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上投摩根双息平衡混合型证券投资基金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上投摩根双息平衡混合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373010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2006</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1,051,207,082.28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本基金重点投资高股息、高债息品种，获得稳定的股息与债息收入，同时把握资本利得机会以争取完全收益，力求为投资者创造绝对回报。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E32D50" w:rsidRDefault="00BC27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本基金兼具红利与平衡基金特色，在借鉴</w:t>
            </w:r>
            <w:r>
              <w:rPr>
                <w:rFonts w:eastAsiaTheme="minorEastAsia"/>
                <w:color w:val="000000" w:themeColor="text1"/>
                <w:kern w:val="0"/>
                <w:szCs w:val="21"/>
              </w:rPr>
              <w:t>JP</w:t>
            </w:r>
            <w:r>
              <w:rPr>
                <w:rFonts w:eastAsiaTheme="minorEastAsia"/>
                <w:color w:val="000000" w:themeColor="text1"/>
                <w:kern w:val="0"/>
                <w:szCs w:val="21"/>
              </w:rPr>
              <w:t>摩根资产管理集团全球行之有效的投资理念基础上，充分结合国内资本</w:t>
            </w:r>
            <w:r>
              <w:rPr>
                <w:rFonts w:eastAsiaTheme="minorEastAsia"/>
                <w:color w:val="000000" w:themeColor="text1"/>
                <w:kern w:val="0"/>
                <w:szCs w:val="21"/>
              </w:rPr>
              <w:lastRenderedPageBreak/>
              <w:t>市场的实际特征，通过严格的证券选择，深入挖掘股息与债息的获利机会，并积极运用战略资产配置（</w:t>
            </w:r>
            <w:r>
              <w:rPr>
                <w:rFonts w:eastAsiaTheme="minorEastAsia"/>
                <w:color w:val="000000" w:themeColor="text1"/>
                <w:kern w:val="0"/>
                <w:szCs w:val="21"/>
              </w:rPr>
              <w:t>SAA</w:t>
            </w:r>
            <w:r>
              <w:rPr>
                <w:rFonts w:eastAsiaTheme="minorEastAsia"/>
                <w:color w:val="000000" w:themeColor="text1"/>
                <w:kern w:val="0"/>
                <w:szCs w:val="21"/>
              </w:rPr>
              <w:t>）和战术资产配置（</w:t>
            </w:r>
            <w:r>
              <w:rPr>
                <w:rFonts w:eastAsiaTheme="minorEastAsia"/>
                <w:color w:val="000000" w:themeColor="text1"/>
                <w:kern w:val="0"/>
                <w:szCs w:val="21"/>
              </w:rPr>
              <w:t>TAA</w:t>
            </w:r>
            <w:r>
              <w:rPr>
                <w:rFonts w:eastAsiaTheme="minorEastAsia"/>
                <w:color w:val="000000" w:themeColor="text1"/>
                <w:kern w:val="0"/>
                <w:szCs w:val="21"/>
              </w:rPr>
              <w:t>）策略，动态优化投资组合，以实现进可攻、退可守的投资布局。在达到预期投资回报后，本基金会适度锁定投资收益，及时调整资产配置比例以保证基金表现持续平稳。</w:t>
            </w:r>
          </w:p>
          <w:p w:rsidR="00E32D50" w:rsidRDefault="00BC27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、股票选择策略</w:t>
            </w:r>
          </w:p>
          <w:p w:rsidR="00E32D50" w:rsidRDefault="00BC27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）红利股预筛选。注意考察公司持续盈利能力和分红能力，特别剔除</w:t>
            </w:r>
            <w:r>
              <w:rPr>
                <w:rFonts w:eastAsiaTheme="minorEastAsia"/>
                <w:color w:val="000000" w:themeColor="text1"/>
                <w:kern w:val="0"/>
                <w:szCs w:val="21"/>
              </w:rPr>
              <w:t>“</w:t>
            </w:r>
            <w:r>
              <w:rPr>
                <w:rFonts w:eastAsiaTheme="minorEastAsia"/>
                <w:color w:val="000000" w:themeColor="text1"/>
                <w:kern w:val="0"/>
                <w:szCs w:val="21"/>
              </w:rPr>
              <w:t>超能力现金分红</w:t>
            </w:r>
            <w:r>
              <w:rPr>
                <w:rFonts w:eastAsiaTheme="minorEastAsia"/>
                <w:color w:val="000000" w:themeColor="text1"/>
                <w:kern w:val="0"/>
                <w:szCs w:val="21"/>
              </w:rPr>
              <w:t>”</w:t>
            </w:r>
            <w:r>
              <w:rPr>
                <w:rFonts w:eastAsiaTheme="minorEastAsia"/>
                <w:color w:val="000000" w:themeColor="text1"/>
                <w:kern w:val="0"/>
                <w:szCs w:val="21"/>
              </w:rPr>
              <w:t>的公司。</w:t>
            </w:r>
          </w:p>
          <w:p w:rsidR="00E32D50" w:rsidRDefault="00BC27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）红利股甄别。筛选出现金</w:t>
            </w:r>
            <w:r>
              <w:rPr>
                <w:rFonts w:eastAsiaTheme="minorEastAsia"/>
                <w:color w:val="000000" w:themeColor="text1"/>
                <w:kern w:val="0"/>
                <w:szCs w:val="21"/>
              </w:rPr>
              <w:t>股息率高、分红稳定、行业布局合理的高品质上市公司，最终形成本基金的备选股票池。</w:t>
            </w:r>
          </w:p>
          <w:p w:rsidR="00E32D50" w:rsidRDefault="00BC27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）红利股再调整。为构建核心股票池，以增加投资品种的长期稳定效益。</w:t>
            </w:r>
          </w:p>
          <w:p w:rsidR="00E32D50" w:rsidRDefault="00BC27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E32D50" w:rsidRDefault="00BC27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为有效控制股票投资风险，优化组合流动性管理，并显著提高投资组合债息收益，本基金将考虑稳健性资产配置，进行债券、货币市场工具等品种的投资，并主要通过类属配置与券种选择两个层次进行投资管理。</w:t>
            </w:r>
          </w:p>
          <w:p w:rsidR="00E32D50" w:rsidRDefault="00BC27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、资产配置策略</w:t>
            </w:r>
          </w:p>
          <w:p w:rsidR="00E32D50" w:rsidRDefault="00BC27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本基金将以</w:t>
            </w:r>
            <w:r>
              <w:rPr>
                <w:rFonts w:eastAsiaTheme="minorEastAsia"/>
                <w:color w:val="000000" w:themeColor="text1"/>
                <w:kern w:val="0"/>
                <w:szCs w:val="21"/>
              </w:rPr>
              <w:t>SAA</w:t>
            </w:r>
            <w:r>
              <w:rPr>
                <w:rFonts w:eastAsiaTheme="minorEastAsia"/>
                <w:color w:val="000000" w:themeColor="text1"/>
                <w:kern w:val="0"/>
                <w:szCs w:val="21"/>
              </w:rPr>
              <w:t>资产配置策略为基准，更侧重运用</w:t>
            </w:r>
            <w:r>
              <w:rPr>
                <w:rFonts w:eastAsiaTheme="minorEastAsia"/>
                <w:color w:val="000000" w:themeColor="text1"/>
                <w:kern w:val="0"/>
                <w:szCs w:val="21"/>
              </w:rPr>
              <w:t>TAA</w:t>
            </w:r>
            <w:r>
              <w:rPr>
                <w:rFonts w:eastAsiaTheme="minorEastAsia"/>
                <w:color w:val="000000" w:themeColor="text1"/>
                <w:kern w:val="0"/>
                <w:szCs w:val="21"/>
              </w:rPr>
              <w:t>资产配置策略，积极构建稳健型投资组合。</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中证红利指数收益率</w:t>
            </w:r>
            <w:r w:rsidRPr="00B27A29">
              <w:rPr>
                <w:rFonts w:eastAsiaTheme="minorEastAsia"/>
                <w:color w:val="000000" w:themeColor="text1"/>
                <w:kern w:val="0"/>
                <w:szCs w:val="21"/>
              </w:rPr>
              <w:t>×45%+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×55%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E32D50" w:rsidRDefault="00BC27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本基金是混合型证券投资基金，主要投资于红利股及相似条件下到期收益率较高的优良债券品种，风险高于债券基金和货币市场基金，低于股票基金，属于中低风险的证券投资基金产品。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H</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373010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960005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1,050,128,024.95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1,079,057.33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H</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-40,889,803.08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-35,603.44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-89,930,354.76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-74,031.24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-0.0851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-0.0790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917,915,097.67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947,710.42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0.8741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0.8783</w:t>
            </w:r>
          </w:p>
        </w:tc>
      </w:tr>
    </w:tbl>
    <w:p w:rsidR="00E32D50" w:rsidRDefault="00BC271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w:t>
      </w:r>
      <w:r w:rsidRPr="00B27A29">
        <w:rPr>
          <w:rFonts w:eastAsiaTheme="minorEastAsia"/>
          <w:color w:val="000000" w:themeColor="text1"/>
          <w:szCs w:val="21"/>
        </w:rPr>
        <w:lastRenderedPageBreak/>
        <w:t>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上投摩根双息平衡混合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32D50">
        <w:tc>
          <w:tcPr>
            <w:tcW w:w="1290" w:type="dxa"/>
            <w:vAlign w:val="center"/>
          </w:tcPr>
          <w:p w:rsidR="00E32D50" w:rsidRDefault="00BC2716">
            <w:pPr>
              <w:jc w:val="left"/>
            </w:pPr>
            <w:r>
              <w:rPr>
                <w:rFonts w:eastAsiaTheme="minorEastAsia"/>
                <w:color w:val="000000" w:themeColor="text1"/>
                <w:szCs w:val="21"/>
              </w:rPr>
              <w:t>过去三个月</w:t>
            </w:r>
          </w:p>
        </w:tc>
        <w:tc>
          <w:tcPr>
            <w:tcW w:w="1291" w:type="dxa"/>
            <w:vAlign w:val="center"/>
          </w:tcPr>
          <w:p w:rsidR="00E32D50" w:rsidRDefault="00BC2716">
            <w:pPr>
              <w:jc w:val="right"/>
            </w:pPr>
            <w:r>
              <w:rPr>
                <w:rFonts w:eastAsiaTheme="minorEastAsia"/>
                <w:color w:val="000000" w:themeColor="text1"/>
                <w:szCs w:val="21"/>
              </w:rPr>
              <w:t>-8.84%</w:t>
            </w:r>
          </w:p>
        </w:tc>
        <w:tc>
          <w:tcPr>
            <w:tcW w:w="1291" w:type="dxa"/>
            <w:vAlign w:val="center"/>
          </w:tcPr>
          <w:p w:rsidR="00E32D50" w:rsidRDefault="00BC2716">
            <w:pPr>
              <w:jc w:val="right"/>
            </w:pPr>
            <w:r>
              <w:rPr>
                <w:rFonts w:eastAsiaTheme="minorEastAsia"/>
                <w:color w:val="000000" w:themeColor="text1"/>
                <w:szCs w:val="21"/>
              </w:rPr>
              <w:t>1.20%</w:t>
            </w:r>
          </w:p>
        </w:tc>
        <w:tc>
          <w:tcPr>
            <w:tcW w:w="1291" w:type="dxa"/>
            <w:vAlign w:val="center"/>
          </w:tcPr>
          <w:p w:rsidR="00E32D50" w:rsidRDefault="00BC2716">
            <w:pPr>
              <w:jc w:val="right"/>
            </w:pPr>
            <w:r>
              <w:rPr>
                <w:rFonts w:eastAsiaTheme="minorEastAsia"/>
                <w:color w:val="000000" w:themeColor="text1"/>
                <w:szCs w:val="21"/>
              </w:rPr>
              <w:t>0.65%</w:t>
            </w:r>
          </w:p>
        </w:tc>
        <w:tc>
          <w:tcPr>
            <w:tcW w:w="1291" w:type="dxa"/>
            <w:vAlign w:val="center"/>
          </w:tcPr>
          <w:p w:rsidR="00E32D50" w:rsidRDefault="00BC2716">
            <w:pPr>
              <w:jc w:val="right"/>
            </w:pPr>
            <w:r>
              <w:rPr>
                <w:rFonts w:eastAsiaTheme="minorEastAsia"/>
                <w:color w:val="000000" w:themeColor="text1"/>
                <w:szCs w:val="21"/>
              </w:rPr>
              <w:t>0.70%</w:t>
            </w:r>
          </w:p>
        </w:tc>
        <w:tc>
          <w:tcPr>
            <w:tcW w:w="1291" w:type="dxa"/>
            <w:vAlign w:val="center"/>
          </w:tcPr>
          <w:p w:rsidR="00E32D50" w:rsidRDefault="00BC2716">
            <w:pPr>
              <w:jc w:val="right"/>
            </w:pPr>
            <w:r>
              <w:rPr>
                <w:rFonts w:eastAsiaTheme="minorEastAsia"/>
                <w:color w:val="000000" w:themeColor="text1"/>
                <w:szCs w:val="21"/>
              </w:rPr>
              <w:t>-9.49%</w:t>
            </w:r>
          </w:p>
        </w:tc>
        <w:tc>
          <w:tcPr>
            <w:tcW w:w="1291" w:type="dxa"/>
            <w:vAlign w:val="center"/>
          </w:tcPr>
          <w:p w:rsidR="00E32D50" w:rsidRDefault="00BC2716">
            <w:pPr>
              <w:jc w:val="right"/>
            </w:pPr>
            <w:r>
              <w:rPr>
                <w:rFonts w:eastAsiaTheme="minorEastAsia"/>
                <w:color w:val="000000" w:themeColor="text1"/>
                <w:szCs w:val="21"/>
              </w:rPr>
              <w:t>0.50%</w:t>
            </w:r>
          </w:p>
        </w:tc>
      </w:tr>
      <w:tr w:rsidR="00E32D50">
        <w:tc>
          <w:tcPr>
            <w:tcW w:w="1290" w:type="dxa"/>
            <w:vAlign w:val="center"/>
          </w:tcPr>
          <w:p w:rsidR="00E32D50" w:rsidRDefault="00BC2716">
            <w:pPr>
              <w:jc w:val="left"/>
            </w:pPr>
            <w:r>
              <w:rPr>
                <w:rFonts w:eastAsiaTheme="minorEastAsia"/>
                <w:color w:val="000000" w:themeColor="text1"/>
                <w:szCs w:val="21"/>
              </w:rPr>
              <w:t>过去六个月</w:t>
            </w:r>
          </w:p>
        </w:tc>
        <w:tc>
          <w:tcPr>
            <w:tcW w:w="1291" w:type="dxa"/>
            <w:vAlign w:val="center"/>
          </w:tcPr>
          <w:p w:rsidR="00E32D50" w:rsidRDefault="00BC2716">
            <w:pPr>
              <w:jc w:val="right"/>
            </w:pPr>
            <w:r>
              <w:rPr>
                <w:rFonts w:eastAsiaTheme="minorEastAsia"/>
                <w:color w:val="000000" w:themeColor="text1"/>
                <w:szCs w:val="21"/>
              </w:rPr>
              <w:t>-8.89%</w:t>
            </w:r>
          </w:p>
        </w:tc>
        <w:tc>
          <w:tcPr>
            <w:tcW w:w="1291" w:type="dxa"/>
            <w:vAlign w:val="center"/>
          </w:tcPr>
          <w:p w:rsidR="00E32D50" w:rsidRDefault="00BC2716">
            <w:pPr>
              <w:jc w:val="right"/>
            </w:pPr>
            <w:r>
              <w:rPr>
                <w:rFonts w:eastAsiaTheme="minorEastAsia"/>
                <w:color w:val="000000" w:themeColor="text1"/>
                <w:szCs w:val="21"/>
              </w:rPr>
              <w:t>1.07%</w:t>
            </w:r>
          </w:p>
        </w:tc>
        <w:tc>
          <w:tcPr>
            <w:tcW w:w="1291" w:type="dxa"/>
            <w:vAlign w:val="center"/>
          </w:tcPr>
          <w:p w:rsidR="00E32D50" w:rsidRDefault="00BC2716">
            <w:pPr>
              <w:jc w:val="right"/>
            </w:pPr>
            <w:r>
              <w:rPr>
                <w:rFonts w:eastAsiaTheme="minorEastAsia"/>
                <w:color w:val="000000" w:themeColor="text1"/>
                <w:szCs w:val="21"/>
              </w:rPr>
              <w:t>0.76%</w:t>
            </w:r>
          </w:p>
        </w:tc>
        <w:tc>
          <w:tcPr>
            <w:tcW w:w="1291" w:type="dxa"/>
            <w:vAlign w:val="center"/>
          </w:tcPr>
          <w:p w:rsidR="00E32D50" w:rsidRDefault="00BC2716">
            <w:pPr>
              <w:jc w:val="right"/>
            </w:pPr>
            <w:r>
              <w:rPr>
                <w:rFonts w:eastAsiaTheme="minorEastAsia"/>
                <w:color w:val="000000" w:themeColor="text1"/>
                <w:szCs w:val="21"/>
              </w:rPr>
              <w:t>0.56%</w:t>
            </w:r>
          </w:p>
        </w:tc>
        <w:tc>
          <w:tcPr>
            <w:tcW w:w="1291" w:type="dxa"/>
            <w:vAlign w:val="center"/>
          </w:tcPr>
          <w:p w:rsidR="00E32D50" w:rsidRDefault="00BC2716">
            <w:pPr>
              <w:jc w:val="right"/>
            </w:pPr>
            <w:r>
              <w:rPr>
                <w:rFonts w:eastAsiaTheme="minorEastAsia"/>
                <w:color w:val="000000" w:themeColor="text1"/>
                <w:szCs w:val="21"/>
              </w:rPr>
              <w:t>-9.65%</w:t>
            </w:r>
          </w:p>
        </w:tc>
        <w:tc>
          <w:tcPr>
            <w:tcW w:w="1291" w:type="dxa"/>
            <w:vAlign w:val="center"/>
          </w:tcPr>
          <w:p w:rsidR="00E32D50" w:rsidRDefault="00BC2716">
            <w:pPr>
              <w:jc w:val="right"/>
            </w:pPr>
            <w:r>
              <w:rPr>
                <w:rFonts w:eastAsiaTheme="minorEastAsia"/>
                <w:color w:val="000000" w:themeColor="text1"/>
                <w:szCs w:val="21"/>
              </w:rPr>
              <w:t>0.51%</w:t>
            </w:r>
          </w:p>
        </w:tc>
      </w:tr>
      <w:tr w:rsidR="00E32D50">
        <w:tc>
          <w:tcPr>
            <w:tcW w:w="1290" w:type="dxa"/>
            <w:vAlign w:val="center"/>
          </w:tcPr>
          <w:p w:rsidR="00E32D50" w:rsidRDefault="00BC2716">
            <w:pPr>
              <w:jc w:val="left"/>
            </w:pPr>
            <w:r>
              <w:rPr>
                <w:rFonts w:eastAsiaTheme="minorEastAsia"/>
                <w:color w:val="000000" w:themeColor="text1"/>
                <w:szCs w:val="21"/>
              </w:rPr>
              <w:t>过去一年</w:t>
            </w:r>
          </w:p>
        </w:tc>
        <w:tc>
          <w:tcPr>
            <w:tcW w:w="1291" w:type="dxa"/>
            <w:vAlign w:val="center"/>
          </w:tcPr>
          <w:p w:rsidR="00E32D50" w:rsidRDefault="00BC2716">
            <w:pPr>
              <w:jc w:val="right"/>
            </w:pPr>
            <w:r>
              <w:rPr>
                <w:rFonts w:eastAsiaTheme="minorEastAsia"/>
                <w:color w:val="000000" w:themeColor="text1"/>
                <w:szCs w:val="21"/>
              </w:rPr>
              <w:t>-4.64%</w:t>
            </w:r>
          </w:p>
        </w:tc>
        <w:tc>
          <w:tcPr>
            <w:tcW w:w="1291" w:type="dxa"/>
            <w:vAlign w:val="center"/>
          </w:tcPr>
          <w:p w:rsidR="00E32D50" w:rsidRDefault="00BC2716">
            <w:pPr>
              <w:jc w:val="right"/>
            </w:pPr>
            <w:r>
              <w:rPr>
                <w:rFonts w:eastAsiaTheme="minorEastAsia"/>
                <w:color w:val="000000" w:themeColor="text1"/>
                <w:szCs w:val="21"/>
              </w:rPr>
              <w:t>1.05%</w:t>
            </w:r>
          </w:p>
        </w:tc>
        <w:tc>
          <w:tcPr>
            <w:tcW w:w="1291" w:type="dxa"/>
            <w:vAlign w:val="center"/>
          </w:tcPr>
          <w:p w:rsidR="00E32D50" w:rsidRDefault="00BC2716">
            <w:pPr>
              <w:jc w:val="right"/>
            </w:pPr>
            <w:r>
              <w:rPr>
                <w:rFonts w:eastAsiaTheme="minorEastAsia"/>
                <w:color w:val="000000" w:themeColor="text1"/>
                <w:szCs w:val="21"/>
              </w:rPr>
              <w:t>5.65%</w:t>
            </w:r>
          </w:p>
        </w:tc>
        <w:tc>
          <w:tcPr>
            <w:tcW w:w="1291" w:type="dxa"/>
            <w:vAlign w:val="center"/>
          </w:tcPr>
          <w:p w:rsidR="00E32D50" w:rsidRDefault="00BC2716">
            <w:pPr>
              <w:jc w:val="right"/>
            </w:pPr>
            <w:r>
              <w:rPr>
                <w:rFonts w:eastAsiaTheme="minorEastAsia"/>
                <w:color w:val="000000" w:themeColor="text1"/>
                <w:szCs w:val="21"/>
              </w:rPr>
              <w:t>0.52%</w:t>
            </w:r>
          </w:p>
        </w:tc>
        <w:tc>
          <w:tcPr>
            <w:tcW w:w="1291" w:type="dxa"/>
            <w:vAlign w:val="center"/>
          </w:tcPr>
          <w:p w:rsidR="00E32D50" w:rsidRDefault="00BC2716">
            <w:pPr>
              <w:jc w:val="right"/>
            </w:pPr>
            <w:r>
              <w:rPr>
                <w:rFonts w:eastAsiaTheme="minorEastAsia"/>
                <w:color w:val="000000" w:themeColor="text1"/>
                <w:szCs w:val="21"/>
              </w:rPr>
              <w:t>-10.29%</w:t>
            </w:r>
          </w:p>
        </w:tc>
        <w:tc>
          <w:tcPr>
            <w:tcW w:w="1291" w:type="dxa"/>
            <w:vAlign w:val="center"/>
          </w:tcPr>
          <w:p w:rsidR="00E32D50" w:rsidRDefault="00BC2716">
            <w:pPr>
              <w:jc w:val="right"/>
            </w:pPr>
            <w:r>
              <w:rPr>
                <w:rFonts w:eastAsiaTheme="minorEastAsia"/>
                <w:color w:val="000000" w:themeColor="text1"/>
                <w:szCs w:val="21"/>
              </w:rPr>
              <w:t>0.53%</w:t>
            </w:r>
          </w:p>
        </w:tc>
      </w:tr>
      <w:tr w:rsidR="00E32D50">
        <w:tc>
          <w:tcPr>
            <w:tcW w:w="1290" w:type="dxa"/>
            <w:vAlign w:val="center"/>
          </w:tcPr>
          <w:p w:rsidR="00E32D50" w:rsidRDefault="00BC2716">
            <w:pPr>
              <w:jc w:val="left"/>
            </w:pPr>
            <w:r>
              <w:rPr>
                <w:rFonts w:eastAsiaTheme="minorEastAsia"/>
                <w:color w:val="000000" w:themeColor="text1"/>
                <w:szCs w:val="21"/>
              </w:rPr>
              <w:t>过去三年</w:t>
            </w:r>
          </w:p>
        </w:tc>
        <w:tc>
          <w:tcPr>
            <w:tcW w:w="1291" w:type="dxa"/>
            <w:vAlign w:val="center"/>
          </w:tcPr>
          <w:p w:rsidR="00E32D50" w:rsidRDefault="00BC2716">
            <w:pPr>
              <w:jc w:val="right"/>
            </w:pPr>
            <w:r>
              <w:rPr>
                <w:rFonts w:eastAsiaTheme="minorEastAsia"/>
                <w:color w:val="000000" w:themeColor="text1"/>
                <w:szCs w:val="21"/>
              </w:rPr>
              <w:t>26.50%</w:t>
            </w:r>
          </w:p>
        </w:tc>
        <w:tc>
          <w:tcPr>
            <w:tcW w:w="1291" w:type="dxa"/>
            <w:vAlign w:val="center"/>
          </w:tcPr>
          <w:p w:rsidR="00E32D50" w:rsidRDefault="00BC2716">
            <w:pPr>
              <w:jc w:val="right"/>
            </w:pPr>
            <w:r>
              <w:rPr>
                <w:rFonts w:eastAsiaTheme="minorEastAsia"/>
                <w:color w:val="000000" w:themeColor="text1"/>
                <w:szCs w:val="21"/>
              </w:rPr>
              <w:t>0.99%</w:t>
            </w:r>
          </w:p>
        </w:tc>
        <w:tc>
          <w:tcPr>
            <w:tcW w:w="1291" w:type="dxa"/>
            <w:vAlign w:val="center"/>
          </w:tcPr>
          <w:p w:rsidR="00E32D50" w:rsidRDefault="00BC2716">
            <w:pPr>
              <w:jc w:val="right"/>
            </w:pPr>
            <w:r>
              <w:rPr>
                <w:rFonts w:eastAsiaTheme="minorEastAsia"/>
                <w:color w:val="000000" w:themeColor="text1"/>
                <w:szCs w:val="21"/>
              </w:rPr>
              <w:t>6.84%</w:t>
            </w:r>
          </w:p>
        </w:tc>
        <w:tc>
          <w:tcPr>
            <w:tcW w:w="1291" w:type="dxa"/>
            <w:vAlign w:val="center"/>
          </w:tcPr>
          <w:p w:rsidR="00E32D50" w:rsidRDefault="00BC2716">
            <w:pPr>
              <w:jc w:val="right"/>
            </w:pPr>
            <w:r>
              <w:rPr>
                <w:rFonts w:eastAsiaTheme="minorEastAsia"/>
                <w:color w:val="000000" w:themeColor="text1"/>
                <w:szCs w:val="21"/>
              </w:rPr>
              <w:t>0.52%</w:t>
            </w:r>
          </w:p>
        </w:tc>
        <w:tc>
          <w:tcPr>
            <w:tcW w:w="1291" w:type="dxa"/>
            <w:vAlign w:val="center"/>
          </w:tcPr>
          <w:p w:rsidR="00E32D50" w:rsidRDefault="00BC2716">
            <w:pPr>
              <w:jc w:val="right"/>
            </w:pPr>
            <w:r>
              <w:rPr>
                <w:rFonts w:eastAsiaTheme="minorEastAsia"/>
                <w:color w:val="000000" w:themeColor="text1"/>
                <w:szCs w:val="21"/>
              </w:rPr>
              <w:t>19.66%</w:t>
            </w:r>
          </w:p>
        </w:tc>
        <w:tc>
          <w:tcPr>
            <w:tcW w:w="1291" w:type="dxa"/>
            <w:vAlign w:val="center"/>
          </w:tcPr>
          <w:p w:rsidR="00E32D50" w:rsidRDefault="00BC2716">
            <w:pPr>
              <w:jc w:val="right"/>
            </w:pPr>
            <w:r>
              <w:rPr>
                <w:rFonts w:eastAsiaTheme="minorEastAsia"/>
                <w:color w:val="000000" w:themeColor="text1"/>
                <w:szCs w:val="21"/>
              </w:rPr>
              <w:t>0.47%</w:t>
            </w:r>
          </w:p>
        </w:tc>
      </w:tr>
      <w:tr w:rsidR="00E32D50">
        <w:tc>
          <w:tcPr>
            <w:tcW w:w="1290" w:type="dxa"/>
            <w:vAlign w:val="center"/>
          </w:tcPr>
          <w:p w:rsidR="00E32D50" w:rsidRDefault="00BC2716">
            <w:pPr>
              <w:jc w:val="left"/>
            </w:pPr>
            <w:r>
              <w:rPr>
                <w:rFonts w:eastAsiaTheme="minorEastAsia"/>
                <w:color w:val="000000" w:themeColor="text1"/>
                <w:szCs w:val="21"/>
              </w:rPr>
              <w:t>过去五年</w:t>
            </w:r>
          </w:p>
        </w:tc>
        <w:tc>
          <w:tcPr>
            <w:tcW w:w="1291" w:type="dxa"/>
            <w:vAlign w:val="center"/>
          </w:tcPr>
          <w:p w:rsidR="00E32D50" w:rsidRDefault="00BC2716">
            <w:pPr>
              <w:jc w:val="right"/>
            </w:pPr>
            <w:r>
              <w:rPr>
                <w:rFonts w:eastAsiaTheme="minorEastAsia"/>
                <w:color w:val="000000" w:themeColor="text1"/>
                <w:szCs w:val="21"/>
              </w:rPr>
              <w:t>0.07%</w:t>
            </w:r>
          </w:p>
        </w:tc>
        <w:tc>
          <w:tcPr>
            <w:tcW w:w="1291" w:type="dxa"/>
            <w:vAlign w:val="center"/>
          </w:tcPr>
          <w:p w:rsidR="00E32D50" w:rsidRDefault="00BC2716">
            <w:pPr>
              <w:jc w:val="right"/>
            </w:pPr>
            <w:r>
              <w:rPr>
                <w:rFonts w:eastAsiaTheme="minorEastAsia"/>
                <w:color w:val="000000" w:themeColor="text1"/>
                <w:szCs w:val="21"/>
              </w:rPr>
              <w:t>0.98%</w:t>
            </w:r>
          </w:p>
        </w:tc>
        <w:tc>
          <w:tcPr>
            <w:tcW w:w="1291" w:type="dxa"/>
            <w:vAlign w:val="center"/>
          </w:tcPr>
          <w:p w:rsidR="00E32D50" w:rsidRDefault="00BC2716">
            <w:pPr>
              <w:jc w:val="right"/>
            </w:pPr>
            <w:r>
              <w:rPr>
                <w:rFonts w:eastAsiaTheme="minorEastAsia"/>
                <w:color w:val="000000" w:themeColor="text1"/>
                <w:szCs w:val="21"/>
              </w:rPr>
              <w:t>13.58%</w:t>
            </w:r>
          </w:p>
        </w:tc>
        <w:tc>
          <w:tcPr>
            <w:tcW w:w="1291" w:type="dxa"/>
            <w:vAlign w:val="center"/>
          </w:tcPr>
          <w:p w:rsidR="00E32D50" w:rsidRDefault="00BC2716">
            <w:pPr>
              <w:jc w:val="right"/>
            </w:pPr>
            <w:r>
              <w:rPr>
                <w:rFonts w:eastAsiaTheme="minorEastAsia"/>
                <w:color w:val="000000" w:themeColor="text1"/>
                <w:szCs w:val="21"/>
              </w:rPr>
              <w:t>0.50%</w:t>
            </w:r>
          </w:p>
        </w:tc>
        <w:tc>
          <w:tcPr>
            <w:tcW w:w="1291" w:type="dxa"/>
            <w:vAlign w:val="center"/>
          </w:tcPr>
          <w:p w:rsidR="00E32D50" w:rsidRDefault="00BC2716">
            <w:pPr>
              <w:jc w:val="right"/>
            </w:pPr>
            <w:r>
              <w:rPr>
                <w:rFonts w:eastAsiaTheme="minorEastAsia"/>
                <w:color w:val="000000" w:themeColor="text1"/>
                <w:szCs w:val="21"/>
              </w:rPr>
              <w:t>-13.51%</w:t>
            </w:r>
          </w:p>
        </w:tc>
        <w:tc>
          <w:tcPr>
            <w:tcW w:w="1291" w:type="dxa"/>
            <w:vAlign w:val="center"/>
          </w:tcPr>
          <w:p w:rsidR="00E32D50" w:rsidRDefault="00BC2716">
            <w:pPr>
              <w:jc w:val="right"/>
            </w:pPr>
            <w:r>
              <w:rPr>
                <w:rFonts w:eastAsiaTheme="minorEastAsia"/>
                <w:color w:val="000000" w:themeColor="text1"/>
                <w:szCs w:val="21"/>
              </w:rPr>
              <w:t>0.48%</w:t>
            </w:r>
          </w:p>
        </w:tc>
      </w:tr>
      <w:tr w:rsidR="00E32D50">
        <w:tc>
          <w:tcPr>
            <w:tcW w:w="1290" w:type="dxa"/>
            <w:vAlign w:val="center"/>
          </w:tcPr>
          <w:p w:rsidR="00E32D50" w:rsidRDefault="00BC2716">
            <w:pPr>
              <w:jc w:val="left"/>
            </w:pPr>
            <w:r>
              <w:rPr>
                <w:rFonts w:eastAsiaTheme="minorEastAsia"/>
                <w:color w:val="000000" w:themeColor="text1"/>
                <w:szCs w:val="21"/>
              </w:rPr>
              <w:t>自基金合同生效起至今</w:t>
            </w:r>
          </w:p>
        </w:tc>
        <w:tc>
          <w:tcPr>
            <w:tcW w:w="1291" w:type="dxa"/>
            <w:vAlign w:val="center"/>
          </w:tcPr>
          <w:p w:rsidR="00E32D50" w:rsidRDefault="00BC2716">
            <w:pPr>
              <w:jc w:val="right"/>
            </w:pPr>
            <w:r>
              <w:rPr>
                <w:rFonts w:eastAsiaTheme="minorEastAsia"/>
                <w:color w:val="000000" w:themeColor="text1"/>
                <w:szCs w:val="21"/>
              </w:rPr>
              <w:t>298.47%</w:t>
            </w:r>
          </w:p>
        </w:tc>
        <w:tc>
          <w:tcPr>
            <w:tcW w:w="1291" w:type="dxa"/>
            <w:vAlign w:val="center"/>
          </w:tcPr>
          <w:p w:rsidR="00E32D50" w:rsidRDefault="00BC2716">
            <w:pPr>
              <w:jc w:val="right"/>
            </w:pPr>
            <w:r>
              <w:rPr>
                <w:rFonts w:eastAsiaTheme="minorEastAsia"/>
                <w:color w:val="000000" w:themeColor="text1"/>
                <w:szCs w:val="21"/>
              </w:rPr>
              <w:t>1.29%</w:t>
            </w:r>
          </w:p>
        </w:tc>
        <w:tc>
          <w:tcPr>
            <w:tcW w:w="1291" w:type="dxa"/>
            <w:vAlign w:val="center"/>
          </w:tcPr>
          <w:p w:rsidR="00E32D50" w:rsidRDefault="00BC2716">
            <w:pPr>
              <w:jc w:val="right"/>
            </w:pPr>
            <w:r>
              <w:rPr>
                <w:rFonts w:eastAsiaTheme="minorEastAsia"/>
                <w:color w:val="000000" w:themeColor="text1"/>
                <w:szCs w:val="21"/>
              </w:rPr>
              <w:t>202.22%</w:t>
            </w:r>
          </w:p>
        </w:tc>
        <w:tc>
          <w:tcPr>
            <w:tcW w:w="1291" w:type="dxa"/>
            <w:vAlign w:val="center"/>
          </w:tcPr>
          <w:p w:rsidR="00E32D50" w:rsidRDefault="00BC2716">
            <w:pPr>
              <w:jc w:val="right"/>
            </w:pPr>
            <w:r>
              <w:rPr>
                <w:rFonts w:eastAsiaTheme="minorEastAsia"/>
                <w:color w:val="000000" w:themeColor="text1"/>
                <w:szCs w:val="21"/>
              </w:rPr>
              <w:t>0.79%</w:t>
            </w:r>
          </w:p>
        </w:tc>
        <w:tc>
          <w:tcPr>
            <w:tcW w:w="1291" w:type="dxa"/>
            <w:vAlign w:val="center"/>
          </w:tcPr>
          <w:p w:rsidR="00E32D50" w:rsidRDefault="00BC2716">
            <w:pPr>
              <w:jc w:val="right"/>
            </w:pPr>
            <w:r>
              <w:rPr>
                <w:rFonts w:eastAsiaTheme="minorEastAsia"/>
                <w:color w:val="000000" w:themeColor="text1"/>
                <w:szCs w:val="21"/>
              </w:rPr>
              <w:t>96.25%</w:t>
            </w:r>
          </w:p>
        </w:tc>
        <w:tc>
          <w:tcPr>
            <w:tcW w:w="1291" w:type="dxa"/>
            <w:vAlign w:val="center"/>
          </w:tcPr>
          <w:p w:rsidR="00E32D50" w:rsidRDefault="00BC2716">
            <w:pPr>
              <w:jc w:val="right"/>
            </w:pPr>
            <w:r>
              <w:rPr>
                <w:rFonts w:eastAsiaTheme="minorEastAsia"/>
                <w:color w:val="000000" w:themeColor="text1"/>
                <w:szCs w:val="21"/>
              </w:rPr>
              <w:t>0.50%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上投摩根双息平衡混合</w:t>
      </w:r>
      <w:r w:rsidRPr="00B27A29">
        <w:rPr>
          <w:rFonts w:eastAsiaTheme="minorEastAsia"/>
          <w:b/>
          <w:color w:val="000000" w:themeColor="text1"/>
          <w:kern w:val="0"/>
          <w:szCs w:val="21"/>
        </w:rPr>
        <w:t>H</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32D50">
        <w:tc>
          <w:tcPr>
            <w:tcW w:w="1290" w:type="dxa"/>
            <w:vAlign w:val="center"/>
          </w:tcPr>
          <w:p w:rsidR="00E32D50" w:rsidRDefault="00BC2716">
            <w:pPr>
              <w:jc w:val="left"/>
            </w:pPr>
            <w:r>
              <w:rPr>
                <w:rFonts w:eastAsiaTheme="minorEastAsia"/>
                <w:color w:val="000000" w:themeColor="text1"/>
                <w:szCs w:val="21"/>
              </w:rPr>
              <w:t>过去三个月</w:t>
            </w:r>
          </w:p>
        </w:tc>
        <w:tc>
          <w:tcPr>
            <w:tcW w:w="1291" w:type="dxa"/>
            <w:vAlign w:val="center"/>
          </w:tcPr>
          <w:p w:rsidR="00E32D50" w:rsidRDefault="00BC2716">
            <w:pPr>
              <w:jc w:val="right"/>
            </w:pPr>
            <w:r>
              <w:rPr>
                <w:rFonts w:eastAsiaTheme="minorEastAsia"/>
                <w:color w:val="000000" w:themeColor="text1"/>
                <w:szCs w:val="21"/>
              </w:rPr>
              <w:t>-8.84%</w:t>
            </w:r>
          </w:p>
        </w:tc>
        <w:tc>
          <w:tcPr>
            <w:tcW w:w="1291" w:type="dxa"/>
            <w:vAlign w:val="center"/>
          </w:tcPr>
          <w:p w:rsidR="00E32D50" w:rsidRDefault="00BC2716">
            <w:pPr>
              <w:jc w:val="right"/>
            </w:pPr>
            <w:r>
              <w:rPr>
                <w:rFonts w:eastAsiaTheme="minorEastAsia"/>
                <w:color w:val="000000" w:themeColor="text1"/>
                <w:szCs w:val="21"/>
              </w:rPr>
              <w:t>1.20%</w:t>
            </w:r>
          </w:p>
        </w:tc>
        <w:tc>
          <w:tcPr>
            <w:tcW w:w="1291" w:type="dxa"/>
            <w:vAlign w:val="center"/>
          </w:tcPr>
          <w:p w:rsidR="00E32D50" w:rsidRDefault="00BC2716">
            <w:pPr>
              <w:jc w:val="right"/>
            </w:pPr>
            <w:r>
              <w:rPr>
                <w:rFonts w:eastAsiaTheme="minorEastAsia"/>
                <w:color w:val="000000" w:themeColor="text1"/>
                <w:szCs w:val="21"/>
              </w:rPr>
              <w:t>0.65%</w:t>
            </w:r>
          </w:p>
        </w:tc>
        <w:tc>
          <w:tcPr>
            <w:tcW w:w="1291" w:type="dxa"/>
            <w:vAlign w:val="center"/>
          </w:tcPr>
          <w:p w:rsidR="00E32D50" w:rsidRDefault="00BC2716">
            <w:pPr>
              <w:jc w:val="right"/>
            </w:pPr>
            <w:r>
              <w:rPr>
                <w:rFonts w:eastAsiaTheme="minorEastAsia"/>
                <w:color w:val="000000" w:themeColor="text1"/>
                <w:szCs w:val="21"/>
              </w:rPr>
              <w:t>0.70%</w:t>
            </w:r>
          </w:p>
        </w:tc>
        <w:tc>
          <w:tcPr>
            <w:tcW w:w="1291" w:type="dxa"/>
            <w:vAlign w:val="center"/>
          </w:tcPr>
          <w:p w:rsidR="00E32D50" w:rsidRDefault="00BC2716">
            <w:pPr>
              <w:jc w:val="right"/>
            </w:pPr>
            <w:r>
              <w:rPr>
                <w:rFonts w:eastAsiaTheme="minorEastAsia"/>
                <w:color w:val="000000" w:themeColor="text1"/>
                <w:szCs w:val="21"/>
              </w:rPr>
              <w:t>-9.49%</w:t>
            </w:r>
          </w:p>
        </w:tc>
        <w:tc>
          <w:tcPr>
            <w:tcW w:w="1291" w:type="dxa"/>
            <w:vAlign w:val="center"/>
          </w:tcPr>
          <w:p w:rsidR="00E32D50" w:rsidRDefault="00BC2716">
            <w:pPr>
              <w:jc w:val="right"/>
            </w:pPr>
            <w:r>
              <w:rPr>
                <w:rFonts w:eastAsiaTheme="minorEastAsia"/>
                <w:color w:val="000000" w:themeColor="text1"/>
                <w:szCs w:val="21"/>
              </w:rPr>
              <w:t>0.50%</w:t>
            </w:r>
          </w:p>
        </w:tc>
      </w:tr>
      <w:tr w:rsidR="00E32D50">
        <w:tc>
          <w:tcPr>
            <w:tcW w:w="1290" w:type="dxa"/>
            <w:vAlign w:val="center"/>
          </w:tcPr>
          <w:p w:rsidR="00E32D50" w:rsidRDefault="00BC2716">
            <w:pPr>
              <w:jc w:val="left"/>
            </w:pPr>
            <w:r>
              <w:rPr>
                <w:rFonts w:eastAsiaTheme="minorEastAsia"/>
                <w:color w:val="000000" w:themeColor="text1"/>
                <w:szCs w:val="21"/>
              </w:rPr>
              <w:t>过去六个月</w:t>
            </w:r>
          </w:p>
        </w:tc>
        <w:tc>
          <w:tcPr>
            <w:tcW w:w="1291" w:type="dxa"/>
            <w:vAlign w:val="center"/>
          </w:tcPr>
          <w:p w:rsidR="00E32D50" w:rsidRDefault="00BC2716">
            <w:pPr>
              <w:jc w:val="right"/>
            </w:pPr>
            <w:r>
              <w:rPr>
                <w:rFonts w:eastAsiaTheme="minorEastAsia"/>
                <w:color w:val="000000" w:themeColor="text1"/>
                <w:szCs w:val="21"/>
              </w:rPr>
              <w:t>-8.90%</w:t>
            </w:r>
          </w:p>
        </w:tc>
        <w:tc>
          <w:tcPr>
            <w:tcW w:w="1291" w:type="dxa"/>
            <w:vAlign w:val="center"/>
          </w:tcPr>
          <w:p w:rsidR="00E32D50" w:rsidRDefault="00BC2716">
            <w:pPr>
              <w:jc w:val="right"/>
            </w:pPr>
            <w:r>
              <w:rPr>
                <w:rFonts w:eastAsiaTheme="minorEastAsia"/>
                <w:color w:val="000000" w:themeColor="text1"/>
                <w:szCs w:val="21"/>
              </w:rPr>
              <w:t>1.07%</w:t>
            </w:r>
          </w:p>
        </w:tc>
        <w:tc>
          <w:tcPr>
            <w:tcW w:w="1291" w:type="dxa"/>
            <w:vAlign w:val="center"/>
          </w:tcPr>
          <w:p w:rsidR="00E32D50" w:rsidRDefault="00BC2716">
            <w:pPr>
              <w:jc w:val="right"/>
            </w:pPr>
            <w:r>
              <w:rPr>
                <w:rFonts w:eastAsiaTheme="minorEastAsia"/>
                <w:color w:val="000000" w:themeColor="text1"/>
                <w:szCs w:val="21"/>
              </w:rPr>
              <w:t>0.76%</w:t>
            </w:r>
          </w:p>
        </w:tc>
        <w:tc>
          <w:tcPr>
            <w:tcW w:w="1291" w:type="dxa"/>
            <w:vAlign w:val="center"/>
          </w:tcPr>
          <w:p w:rsidR="00E32D50" w:rsidRDefault="00BC2716">
            <w:pPr>
              <w:jc w:val="right"/>
            </w:pPr>
            <w:r>
              <w:rPr>
                <w:rFonts w:eastAsiaTheme="minorEastAsia"/>
                <w:color w:val="000000" w:themeColor="text1"/>
                <w:szCs w:val="21"/>
              </w:rPr>
              <w:t>0.56%</w:t>
            </w:r>
          </w:p>
        </w:tc>
        <w:tc>
          <w:tcPr>
            <w:tcW w:w="1291" w:type="dxa"/>
            <w:vAlign w:val="center"/>
          </w:tcPr>
          <w:p w:rsidR="00E32D50" w:rsidRDefault="00BC2716">
            <w:pPr>
              <w:jc w:val="right"/>
            </w:pPr>
            <w:r>
              <w:rPr>
                <w:rFonts w:eastAsiaTheme="minorEastAsia"/>
                <w:color w:val="000000" w:themeColor="text1"/>
                <w:szCs w:val="21"/>
              </w:rPr>
              <w:t>-9.66%</w:t>
            </w:r>
          </w:p>
        </w:tc>
        <w:tc>
          <w:tcPr>
            <w:tcW w:w="1291" w:type="dxa"/>
            <w:vAlign w:val="center"/>
          </w:tcPr>
          <w:p w:rsidR="00E32D50" w:rsidRDefault="00BC2716">
            <w:pPr>
              <w:jc w:val="right"/>
            </w:pPr>
            <w:r>
              <w:rPr>
                <w:rFonts w:eastAsiaTheme="minorEastAsia"/>
                <w:color w:val="000000" w:themeColor="text1"/>
                <w:szCs w:val="21"/>
              </w:rPr>
              <w:t>0.51%</w:t>
            </w:r>
          </w:p>
        </w:tc>
      </w:tr>
      <w:tr w:rsidR="00E32D50">
        <w:tc>
          <w:tcPr>
            <w:tcW w:w="1290" w:type="dxa"/>
            <w:vAlign w:val="center"/>
          </w:tcPr>
          <w:p w:rsidR="00E32D50" w:rsidRDefault="00BC2716">
            <w:pPr>
              <w:jc w:val="left"/>
            </w:pPr>
            <w:r>
              <w:rPr>
                <w:rFonts w:eastAsiaTheme="minorEastAsia"/>
                <w:color w:val="000000" w:themeColor="text1"/>
                <w:szCs w:val="21"/>
              </w:rPr>
              <w:t>过去一年</w:t>
            </w:r>
          </w:p>
        </w:tc>
        <w:tc>
          <w:tcPr>
            <w:tcW w:w="1291" w:type="dxa"/>
            <w:vAlign w:val="center"/>
          </w:tcPr>
          <w:p w:rsidR="00E32D50" w:rsidRDefault="00BC2716">
            <w:pPr>
              <w:jc w:val="right"/>
            </w:pPr>
            <w:r>
              <w:rPr>
                <w:rFonts w:eastAsiaTheme="minorEastAsia"/>
                <w:color w:val="000000" w:themeColor="text1"/>
                <w:szCs w:val="21"/>
              </w:rPr>
              <w:t>-4.77%</w:t>
            </w:r>
          </w:p>
        </w:tc>
        <w:tc>
          <w:tcPr>
            <w:tcW w:w="1291" w:type="dxa"/>
            <w:vAlign w:val="center"/>
          </w:tcPr>
          <w:p w:rsidR="00E32D50" w:rsidRDefault="00BC2716">
            <w:pPr>
              <w:jc w:val="right"/>
            </w:pPr>
            <w:r>
              <w:rPr>
                <w:rFonts w:eastAsiaTheme="minorEastAsia"/>
                <w:color w:val="000000" w:themeColor="text1"/>
                <w:szCs w:val="21"/>
              </w:rPr>
              <w:t>1.05%</w:t>
            </w:r>
          </w:p>
        </w:tc>
        <w:tc>
          <w:tcPr>
            <w:tcW w:w="1291" w:type="dxa"/>
            <w:vAlign w:val="center"/>
          </w:tcPr>
          <w:p w:rsidR="00E32D50" w:rsidRDefault="00BC2716">
            <w:pPr>
              <w:jc w:val="right"/>
            </w:pPr>
            <w:r>
              <w:rPr>
                <w:rFonts w:eastAsiaTheme="minorEastAsia"/>
                <w:color w:val="000000" w:themeColor="text1"/>
                <w:szCs w:val="21"/>
              </w:rPr>
              <w:t>5.65%</w:t>
            </w:r>
          </w:p>
        </w:tc>
        <w:tc>
          <w:tcPr>
            <w:tcW w:w="1291" w:type="dxa"/>
            <w:vAlign w:val="center"/>
          </w:tcPr>
          <w:p w:rsidR="00E32D50" w:rsidRDefault="00BC2716">
            <w:pPr>
              <w:jc w:val="right"/>
            </w:pPr>
            <w:r>
              <w:rPr>
                <w:rFonts w:eastAsiaTheme="minorEastAsia"/>
                <w:color w:val="000000" w:themeColor="text1"/>
                <w:szCs w:val="21"/>
              </w:rPr>
              <w:t>0.52%</w:t>
            </w:r>
          </w:p>
        </w:tc>
        <w:tc>
          <w:tcPr>
            <w:tcW w:w="1291" w:type="dxa"/>
            <w:vAlign w:val="center"/>
          </w:tcPr>
          <w:p w:rsidR="00E32D50" w:rsidRDefault="00BC2716">
            <w:pPr>
              <w:jc w:val="right"/>
            </w:pPr>
            <w:r>
              <w:rPr>
                <w:rFonts w:eastAsiaTheme="minorEastAsia"/>
                <w:color w:val="000000" w:themeColor="text1"/>
                <w:szCs w:val="21"/>
              </w:rPr>
              <w:t>-10.42%</w:t>
            </w:r>
          </w:p>
        </w:tc>
        <w:tc>
          <w:tcPr>
            <w:tcW w:w="1291" w:type="dxa"/>
            <w:vAlign w:val="center"/>
          </w:tcPr>
          <w:p w:rsidR="00E32D50" w:rsidRDefault="00BC2716">
            <w:pPr>
              <w:jc w:val="right"/>
            </w:pPr>
            <w:r>
              <w:rPr>
                <w:rFonts w:eastAsiaTheme="minorEastAsia"/>
                <w:color w:val="000000" w:themeColor="text1"/>
                <w:szCs w:val="21"/>
              </w:rPr>
              <w:t>0.53%</w:t>
            </w:r>
          </w:p>
        </w:tc>
      </w:tr>
      <w:tr w:rsidR="00E32D50">
        <w:tc>
          <w:tcPr>
            <w:tcW w:w="1290" w:type="dxa"/>
            <w:vAlign w:val="center"/>
          </w:tcPr>
          <w:p w:rsidR="00E32D50" w:rsidRDefault="00BC2716">
            <w:pPr>
              <w:jc w:val="left"/>
            </w:pPr>
            <w:r>
              <w:rPr>
                <w:rFonts w:eastAsiaTheme="minorEastAsia"/>
                <w:color w:val="000000" w:themeColor="text1"/>
                <w:szCs w:val="21"/>
              </w:rPr>
              <w:t>过去三年</w:t>
            </w:r>
          </w:p>
        </w:tc>
        <w:tc>
          <w:tcPr>
            <w:tcW w:w="1291" w:type="dxa"/>
            <w:vAlign w:val="center"/>
          </w:tcPr>
          <w:p w:rsidR="00E32D50" w:rsidRDefault="00BC2716">
            <w:pPr>
              <w:jc w:val="right"/>
            </w:pPr>
            <w:r>
              <w:rPr>
                <w:rFonts w:eastAsiaTheme="minorEastAsia"/>
                <w:color w:val="000000" w:themeColor="text1"/>
                <w:szCs w:val="21"/>
              </w:rPr>
              <w:t>26.32%</w:t>
            </w:r>
          </w:p>
        </w:tc>
        <w:tc>
          <w:tcPr>
            <w:tcW w:w="1291" w:type="dxa"/>
            <w:vAlign w:val="center"/>
          </w:tcPr>
          <w:p w:rsidR="00E32D50" w:rsidRDefault="00BC2716">
            <w:pPr>
              <w:jc w:val="right"/>
            </w:pPr>
            <w:r>
              <w:rPr>
                <w:rFonts w:eastAsiaTheme="minorEastAsia"/>
                <w:color w:val="000000" w:themeColor="text1"/>
                <w:szCs w:val="21"/>
              </w:rPr>
              <w:t>0.99%</w:t>
            </w:r>
          </w:p>
        </w:tc>
        <w:tc>
          <w:tcPr>
            <w:tcW w:w="1291" w:type="dxa"/>
            <w:vAlign w:val="center"/>
          </w:tcPr>
          <w:p w:rsidR="00E32D50" w:rsidRDefault="00BC2716">
            <w:pPr>
              <w:jc w:val="right"/>
            </w:pPr>
            <w:r>
              <w:rPr>
                <w:rFonts w:eastAsiaTheme="minorEastAsia"/>
                <w:color w:val="000000" w:themeColor="text1"/>
                <w:szCs w:val="21"/>
              </w:rPr>
              <w:t>6.84%</w:t>
            </w:r>
          </w:p>
        </w:tc>
        <w:tc>
          <w:tcPr>
            <w:tcW w:w="1291" w:type="dxa"/>
            <w:vAlign w:val="center"/>
          </w:tcPr>
          <w:p w:rsidR="00E32D50" w:rsidRDefault="00BC2716">
            <w:pPr>
              <w:jc w:val="right"/>
            </w:pPr>
            <w:r>
              <w:rPr>
                <w:rFonts w:eastAsiaTheme="minorEastAsia"/>
                <w:color w:val="000000" w:themeColor="text1"/>
                <w:szCs w:val="21"/>
              </w:rPr>
              <w:t>0.52%</w:t>
            </w:r>
          </w:p>
        </w:tc>
        <w:tc>
          <w:tcPr>
            <w:tcW w:w="1291" w:type="dxa"/>
            <w:vAlign w:val="center"/>
          </w:tcPr>
          <w:p w:rsidR="00E32D50" w:rsidRDefault="00BC2716">
            <w:pPr>
              <w:jc w:val="right"/>
            </w:pPr>
            <w:r>
              <w:rPr>
                <w:rFonts w:eastAsiaTheme="minorEastAsia"/>
                <w:color w:val="000000" w:themeColor="text1"/>
                <w:szCs w:val="21"/>
              </w:rPr>
              <w:t>19.48%</w:t>
            </w:r>
          </w:p>
        </w:tc>
        <w:tc>
          <w:tcPr>
            <w:tcW w:w="1291" w:type="dxa"/>
            <w:vAlign w:val="center"/>
          </w:tcPr>
          <w:p w:rsidR="00E32D50" w:rsidRDefault="00BC2716">
            <w:pPr>
              <w:jc w:val="right"/>
            </w:pPr>
            <w:r>
              <w:rPr>
                <w:rFonts w:eastAsiaTheme="minorEastAsia"/>
                <w:color w:val="000000" w:themeColor="text1"/>
                <w:szCs w:val="21"/>
              </w:rPr>
              <w:t>0.47%</w:t>
            </w:r>
          </w:p>
        </w:tc>
      </w:tr>
      <w:tr w:rsidR="00E32D50">
        <w:tc>
          <w:tcPr>
            <w:tcW w:w="1290" w:type="dxa"/>
            <w:vAlign w:val="center"/>
          </w:tcPr>
          <w:p w:rsidR="00E32D50" w:rsidRDefault="00BC2716">
            <w:pPr>
              <w:jc w:val="left"/>
            </w:pPr>
            <w:r>
              <w:rPr>
                <w:rFonts w:eastAsiaTheme="minorEastAsia"/>
                <w:color w:val="000000" w:themeColor="text1"/>
                <w:szCs w:val="21"/>
              </w:rPr>
              <w:t>过去五年</w:t>
            </w:r>
          </w:p>
        </w:tc>
        <w:tc>
          <w:tcPr>
            <w:tcW w:w="1291" w:type="dxa"/>
            <w:vAlign w:val="center"/>
          </w:tcPr>
          <w:p w:rsidR="00E32D50" w:rsidRDefault="00BC2716">
            <w:pPr>
              <w:jc w:val="right"/>
            </w:pPr>
            <w:r>
              <w:rPr>
                <w:rFonts w:eastAsiaTheme="minorEastAsia"/>
                <w:color w:val="000000" w:themeColor="text1"/>
                <w:szCs w:val="21"/>
              </w:rPr>
              <w:t>0.40%</w:t>
            </w:r>
          </w:p>
        </w:tc>
        <w:tc>
          <w:tcPr>
            <w:tcW w:w="1291" w:type="dxa"/>
            <w:vAlign w:val="center"/>
          </w:tcPr>
          <w:p w:rsidR="00E32D50" w:rsidRDefault="00BC2716">
            <w:pPr>
              <w:jc w:val="right"/>
            </w:pPr>
            <w:r>
              <w:rPr>
                <w:rFonts w:eastAsiaTheme="minorEastAsia"/>
                <w:color w:val="000000" w:themeColor="text1"/>
                <w:szCs w:val="21"/>
              </w:rPr>
              <w:t>0.98%</w:t>
            </w:r>
          </w:p>
        </w:tc>
        <w:tc>
          <w:tcPr>
            <w:tcW w:w="1291" w:type="dxa"/>
            <w:vAlign w:val="center"/>
          </w:tcPr>
          <w:p w:rsidR="00E32D50" w:rsidRDefault="00BC2716">
            <w:pPr>
              <w:jc w:val="right"/>
            </w:pPr>
            <w:r>
              <w:rPr>
                <w:rFonts w:eastAsiaTheme="minorEastAsia"/>
                <w:color w:val="000000" w:themeColor="text1"/>
                <w:szCs w:val="21"/>
              </w:rPr>
              <w:t>13.58%</w:t>
            </w:r>
          </w:p>
        </w:tc>
        <w:tc>
          <w:tcPr>
            <w:tcW w:w="1291" w:type="dxa"/>
            <w:vAlign w:val="center"/>
          </w:tcPr>
          <w:p w:rsidR="00E32D50" w:rsidRDefault="00BC2716">
            <w:pPr>
              <w:jc w:val="right"/>
            </w:pPr>
            <w:r>
              <w:rPr>
                <w:rFonts w:eastAsiaTheme="minorEastAsia"/>
                <w:color w:val="000000" w:themeColor="text1"/>
                <w:szCs w:val="21"/>
              </w:rPr>
              <w:t>0.50%</w:t>
            </w:r>
          </w:p>
        </w:tc>
        <w:tc>
          <w:tcPr>
            <w:tcW w:w="1291" w:type="dxa"/>
            <w:vAlign w:val="center"/>
          </w:tcPr>
          <w:p w:rsidR="00E32D50" w:rsidRDefault="00BC2716">
            <w:pPr>
              <w:jc w:val="right"/>
            </w:pPr>
            <w:r>
              <w:rPr>
                <w:rFonts w:eastAsiaTheme="minorEastAsia"/>
                <w:color w:val="000000" w:themeColor="text1"/>
                <w:szCs w:val="21"/>
              </w:rPr>
              <w:t>-13.18%</w:t>
            </w:r>
          </w:p>
        </w:tc>
        <w:tc>
          <w:tcPr>
            <w:tcW w:w="1291" w:type="dxa"/>
            <w:vAlign w:val="center"/>
          </w:tcPr>
          <w:p w:rsidR="00E32D50" w:rsidRDefault="00BC2716">
            <w:pPr>
              <w:jc w:val="right"/>
            </w:pPr>
            <w:r>
              <w:rPr>
                <w:rFonts w:eastAsiaTheme="minorEastAsia"/>
                <w:color w:val="000000" w:themeColor="text1"/>
                <w:szCs w:val="21"/>
              </w:rPr>
              <w:t>0.48%</w:t>
            </w:r>
          </w:p>
        </w:tc>
      </w:tr>
      <w:tr w:rsidR="00E32D50">
        <w:tc>
          <w:tcPr>
            <w:tcW w:w="1290" w:type="dxa"/>
            <w:vAlign w:val="center"/>
          </w:tcPr>
          <w:p w:rsidR="00E32D50" w:rsidRDefault="00BC2716">
            <w:pPr>
              <w:jc w:val="left"/>
            </w:pPr>
            <w:r>
              <w:rPr>
                <w:rFonts w:eastAsiaTheme="minorEastAsia"/>
                <w:color w:val="000000" w:themeColor="text1"/>
                <w:szCs w:val="21"/>
              </w:rPr>
              <w:t>自基金合同生效起至今</w:t>
            </w:r>
          </w:p>
        </w:tc>
        <w:tc>
          <w:tcPr>
            <w:tcW w:w="1291" w:type="dxa"/>
            <w:vAlign w:val="center"/>
          </w:tcPr>
          <w:p w:rsidR="00E32D50" w:rsidRDefault="00BC2716">
            <w:pPr>
              <w:jc w:val="right"/>
            </w:pPr>
            <w:r>
              <w:rPr>
                <w:rFonts w:eastAsiaTheme="minorEastAsia"/>
                <w:color w:val="000000" w:themeColor="text1"/>
                <w:szCs w:val="21"/>
              </w:rPr>
              <w:t>15.57%</w:t>
            </w:r>
          </w:p>
        </w:tc>
        <w:tc>
          <w:tcPr>
            <w:tcW w:w="1291" w:type="dxa"/>
            <w:vAlign w:val="center"/>
          </w:tcPr>
          <w:p w:rsidR="00E32D50" w:rsidRDefault="00BC2716">
            <w:pPr>
              <w:jc w:val="right"/>
            </w:pPr>
            <w:r>
              <w:rPr>
                <w:rFonts w:eastAsiaTheme="minorEastAsia"/>
                <w:color w:val="000000" w:themeColor="text1"/>
                <w:szCs w:val="21"/>
              </w:rPr>
              <w:t>0.97%</w:t>
            </w:r>
          </w:p>
        </w:tc>
        <w:tc>
          <w:tcPr>
            <w:tcW w:w="1291" w:type="dxa"/>
            <w:vAlign w:val="center"/>
          </w:tcPr>
          <w:p w:rsidR="00E32D50" w:rsidRDefault="00BC2716">
            <w:pPr>
              <w:jc w:val="right"/>
            </w:pPr>
            <w:r>
              <w:rPr>
                <w:rFonts w:eastAsiaTheme="minorEastAsia"/>
                <w:color w:val="000000" w:themeColor="text1"/>
                <w:szCs w:val="21"/>
              </w:rPr>
              <w:t>22.06%</w:t>
            </w:r>
          </w:p>
        </w:tc>
        <w:tc>
          <w:tcPr>
            <w:tcW w:w="1291" w:type="dxa"/>
            <w:vAlign w:val="center"/>
          </w:tcPr>
          <w:p w:rsidR="00E32D50" w:rsidRDefault="00BC2716">
            <w:pPr>
              <w:jc w:val="right"/>
            </w:pPr>
            <w:r>
              <w:rPr>
                <w:rFonts w:eastAsiaTheme="minorEastAsia"/>
                <w:color w:val="000000" w:themeColor="text1"/>
                <w:szCs w:val="21"/>
              </w:rPr>
              <w:t>0.48%</w:t>
            </w:r>
          </w:p>
        </w:tc>
        <w:tc>
          <w:tcPr>
            <w:tcW w:w="1291" w:type="dxa"/>
            <w:vAlign w:val="center"/>
          </w:tcPr>
          <w:p w:rsidR="00E32D50" w:rsidRDefault="00BC2716">
            <w:pPr>
              <w:jc w:val="right"/>
            </w:pPr>
            <w:r>
              <w:rPr>
                <w:rFonts w:eastAsiaTheme="minorEastAsia"/>
                <w:color w:val="000000" w:themeColor="text1"/>
                <w:szCs w:val="21"/>
              </w:rPr>
              <w:t>-6.49%</w:t>
            </w:r>
          </w:p>
        </w:tc>
        <w:tc>
          <w:tcPr>
            <w:tcW w:w="1291" w:type="dxa"/>
            <w:vAlign w:val="center"/>
          </w:tcPr>
          <w:p w:rsidR="00E32D50" w:rsidRDefault="00BC2716">
            <w:pPr>
              <w:jc w:val="right"/>
            </w:pPr>
            <w:r>
              <w:rPr>
                <w:rFonts w:eastAsiaTheme="minorEastAsia"/>
                <w:color w:val="000000" w:themeColor="text1"/>
                <w:szCs w:val="21"/>
              </w:rPr>
              <w:t>0.49%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上投摩根双息平衡混合型证券投资基金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(2006</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．上投摩根双息平衡混合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150</w:t>
      </w:r>
      <w:r w:rsidRPr="00B27A29">
        <w:rPr>
          <w:rFonts w:eastAsiaTheme="minorEastAsia"/>
          <w:color w:val="000000" w:themeColor="text1"/>
          <w:szCs w:val="21"/>
        </w:rPr>
        <w:t>红利指数收益率</w:t>
      </w:r>
      <w:r w:rsidRPr="00B27A29">
        <w:rPr>
          <w:rFonts w:eastAsiaTheme="minorEastAsia"/>
          <w:color w:val="000000" w:themeColor="text1"/>
          <w:szCs w:val="21"/>
        </w:rPr>
        <w:t>×45%+</w:t>
      </w:r>
      <w:r w:rsidRPr="00B27A29">
        <w:rPr>
          <w:rFonts w:eastAsiaTheme="minorEastAsia"/>
          <w:color w:val="000000" w:themeColor="text1"/>
          <w:szCs w:val="21"/>
        </w:rPr>
        <w:t>富时中国国债指数收益率</w:t>
      </w:r>
      <w:r w:rsidRPr="00B27A29">
        <w:rPr>
          <w:rFonts w:eastAsiaTheme="minorEastAsia"/>
          <w:color w:val="000000" w:themeColor="text1"/>
          <w:szCs w:val="21"/>
        </w:rPr>
        <w:t>×45%+</w:t>
      </w:r>
      <w:r w:rsidRPr="00B27A29">
        <w:rPr>
          <w:rFonts w:eastAsiaTheme="minorEastAsia"/>
          <w:color w:val="000000" w:themeColor="text1"/>
          <w:szCs w:val="21"/>
        </w:rPr>
        <w:t>同业存款利率</w:t>
      </w:r>
      <w:r w:rsidRPr="00B27A29">
        <w:rPr>
          <w:rFonts w:eastAsiaTheme="minorEastAsia"/>
          <w:color w:val="000000" w:themeColor="text1"/>
          <w:szCs w:val="21"/>
        </w:rPr>
        <w:t>×10%”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中证红利指数收益率</w:t>
      </w:r>
      <w:r w:rsidRPr="00B27A29">
        <w:rPr>
          <w:rFonts w:eastAsiaTheme="minorEastAsia"/>
          <w:color w:val="000000" w:themeColor="text1"/>
          <w:szCs w:val="21"/>
        </w:rPr>
        <w:t>×45%+</w:t>
      </w:r>
      <w:r w:rsidRPr="00B27A29">
        <w:rPr>
          <w:rFonts w:eastAsiaTheme="minorEastAsia"/>
          <w:color w:val="000000" w:themeColor="text1"/>
          <w:szCs w:val="21"/>
        </w:rPr>
        <w:t>中债总指数收益率</w:t>
      </w:r>
      <w:r w:rsidRPr="00B27A29">
        <w:rPr>
          <w:rFonts w:eastAsiaTheme="minorEastAsia"/>
          <w:color w:val="000000" w:themeColor="text1"/>
          <w:szCs w:val="21"/>
        </w:rPr>
        <w:t>×55%”</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．上投摩根双息平衡混合</w:t>
      </w:r>
      <w:r w:rsidRPr="00B27A29">
        <w:rPr>
          <w:rFonts w:eastAsiaTheme="minorEastAsia"/>
          <w:color w:val="000000" w:themeColor="text1"/>
          <w:szCs w:val="21"/>
        </w:rPr>
        <w:t>H</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日，图示的时间段为本类份额生效日至本报告期末。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150</w:t>
      </w:r>
      <w:r w:rsidRPr="00B27A29">
        <w:rPr>
          <w:rFonts w:eastAsiaTheme="minorEastAsia"/>
          <w:color w:val="000000" w:themeColor="text1"/>
          <w:szCs w:val="21"/>
        </w:rPr>
        <w:t>红利指数收益率</w:t>
      </w:r>
      <w:r w:rsidRPr="00B27A29">
        <w:rPr>
          <w:rFonts w:eastAsiaTheme="minorEastAsia"/>
          <w:color w:val="000000" w:themeColor="text1"/>
          <w:szCs w:val="21"/>
        </w:rPr>
        <w:t>×45%+</w:t>
      </w:r>
      <w:r w:rsidRPr="00B27A29">
        <w:rPr>
          <w:rFonts w:eastAsiaTheme="minorEastAsia"/>
          <w:color w:val="000000" w:themeColor="text1"/>
          <w:szCs w:val="21"/>
        </w:rPr>
        <w:t>富时中国国债指数收益率</w:t>
      </w:r>
      <w:r w:rsidRPr="00B27A29">
        <w:rPr>
          <w:rFonts w:eastAsiaTheme="minorEastAsia"/>
          <w:color w:val="000000" w:themeColor="text1"/>
          <w:szCs w:val="21"/>
        </w:rPr>
        <w:t>×45%+</w:t>
      </w:r>
      <w:r w:rsidRPr="00B27A29">
        <w:rPr>
          <w:rFonts w:eastAsiaTheme="minorEastAsia"/>
          <w:color w:val="000000" w:themeColor="text1"/>
          <w:szCs w:val="21"/>
        </w:rPr>
        <w:t>同业存款利率</w:t>
      </w:r>
      <w:r w:rsidRPr="00B27A29">
        <w:rPr>
          <w:rFonts w:eastAsiaTheme="minorEastAsia"/>
          <w:color w:val="000000" w:themeColor="text1"/>
          <w:szCs w:val="21"/>
        </w:rPr>
        <w:t>×10%”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中证红利指数收益率</w:t>
      </w:r>
      <w:r w:rsidRPr="00B27A29">
        <w:rPr>
          <w:rFonts w:eastAsiaTheme="minorEastAsia"/>
          <w:color w:val="000000" w:themeColor="text1"/>
          <w:szCs w:val="21"/>
        </w:rPr>
        <w:t>×45%+</w:t>
      </w:r>
      <w:r w:rsidRPr="00B27A29">
        <w:rPr>
          <w:rFonts w:eastAsiaTheme="minorEastAsia"/>
          <w:color w:val="000000" w:themeColor="text1"/>
          <w:szCs w:val="21"/>
        </w:rPr>
        <w:t>中债总指数收益率</w:t>
      </w:r>
      <w:r w:rsidRPr="00B27A29">
        <w:rPr>
          <w:rFonts w:eastAsiaTheme="minorEastAsia"/>
          <w:color w:val="000000" w:themeColor="text1"/>
          <w:szCs w:val="21"/>
        </w:rPr>
        <w:t>×55%”</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32D50">
        <w:tc>
          <w:tcPr>
            <w:tcW w:w="952" w:type="dxa"/>
            <w:vAlign w:val="center"/>
          </w:tcPr>
          <w:p w:rsidR="00E32D50" w:rsidRDefault="00BC2716">
            <w:pPr>
              <w:jc w:val="center"/>
            </w:pPr>
            <w:r>
              <w:rPr>
                <w:rFonts w:eastAsiaTheme="minorEastAsia"/>
                <w:color w:val="000000" w:themeColor="text1"/>
                <w:szCs w:val="21"/>
              </w:rPr>
              <w:t>李博</w:t>
            </w:r>
          </w:p>
        </w:tc>
        <w:tc>
          <w:tcPr>
            <w:tcW w:w="930" w:type="dxa"/>
            <w:vAlign w:val="center"/>
          </w:tcPr>
          <w:p w:rsidR="00E32D50" w:rsidRDefault="00BC2716">
            <w:pPr>
              <w:jc w:val="center"/>
            </w:pPr>
            <w:r>
              <w:rPr>
                <w:rFonts w:eastAsiaTheme="minorEastAsia"/>
                <w:color w:val="000000" w:themeColor="text1"/>
                <w:szCs w:val="21"/>
              </w:rPr>
              <w:t>本基金基金经理</w:t>
            </w:r>
          </w:p>
        </w:tc>
        <w:tc>
          <w:tcPr>
            <w:tcW w:w="1210" w:type="dxa"/>
            <w:vAlign w:val="center"/>
          </w:tcPr>
          <w:p w:rsidR="00E32D50" w:rsidRDefault="00BC2716">
            <w:pPr>
              <w:jc w:val="center"/>
            </w:pPr>
            <w:r>
              <w:rPr>
                <w:rFonts w:eastAsiaTheme="minorEastAsia"/>
                <w:color w:val="000000" w:themeColor="text1"/>
                <w:szCs w:val="21"/>
              </w:rPr>
              <w:t>2016-10-28</w:t>
            </w:r>
          </w:p>
        </w:tc>
        <w:tc>
          <w:tcPr>
            <w:tcW w:w="1309" w:type="dxa"/>
            <w:vAlign w:val="center"/>
          </w:tcPr>
          <w:p w:rsidR="00E32D50" w:rsidRDefault="00BC2716">
            <w:pPr>
              <w:jc w:val="center"/>
            </w:pPr>
            <w:r>
              <w:rPr>
                <w:rFonts w:eastAsiaTheme="minorEastAsia"/>
                <w:color w:val="000000" w:themeColor="text1"/>
                <w:szCs w:val="21"/>
              </w:rPr>
              <w:t>-</w:t>
            </w:r>
          </w:p>
        </w:tc>
        <w:tc>
          <w:tcPr>
            <w:tcW w:w="1254" w:type="dxa"/>
            <w:vAlign w:val="center"/>
          </w:tcPr>
          <w:p w:rsidR="00E32D50" w:rsidRDefault="00BC2716">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E32D50" w:rsidRDefault="00BC2716">
            <w:r>
              <w:rPr>
                <w:rFonts w:eastAsiaTheme="minorEastAsia"/>
                <w:color w:val="000000" w:themeColor="text1"/>
                <w:szCs w:val="21"/>
              </w:rPr>
              <w:t>李博先生，上海交通大学硕士，自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月在中银国际证券有限公司担任研究员，负责研究方面的工作。自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月起加入上投摩根基金管理有限公司，先后担任行业专家、基金经理、资深基金经理、国内权益投资部价值成长组组长兼资深基金</w:t>
            </w:r>
            <w:r>
              <w:rPr>
                <w:rFonts w:eastAsiaTheme="minorEastAsia"/>
                <w:color w:val="000000" w:themeColor="text1"/>
                <w:szCs w:val="21"/>
              </w:rPr>
              <w:lastRenderedPageBreak/>
              <w:t>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月起担任上投摩根核心成长股票型证券投资基金基金经理，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月同时担任上投摩根科技前沿灵活配置混合型证券投资基金基金经理，自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月起同时担任上投摩根阿尔法混合型证券投资基金基金经理，自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w:t>
            </w:r>
            <w:r>
              <w:rPr>
                <w:rFonts w:eastAsiaTheme="minorEastAsia"/>
                <w:color w:val="000000" w:themeColor="text1"/>
                <w:szCs w:val="21"/>
              </w:rPr>
              <w:t>摩根双息平衡混合型证券投资基金基金经理，自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月起同时担任上投摩根核心精选股票型证券投资基金基金经理。</w:t>
            </w:r>
          </w:p>
        </w:tc>
      </w:tr>
      <w:tr w:rsidR="00E32D50">
        <w:tc>
          <w:tcPr>
            <w:tcW w:w="952" w:type="dxa"/>
            <w:vAlign w:val="center"/>
          </w:tcPr>
          <w:p w:rsidR="00E32D50" w:rsidRDefault="00BC2716">
            <w:pPr>
              <w:jc w:val="center"/>
            </w:pPr>
            <w:r>
              <w:rPr>
                <w:rFonts w:eastAsiaTheme="minorEastAsia"/>
                <w:color w:val="000000" w:themeColor="text1"/>
                <w:szCs w:val="21"/>
              </w:rPr>
              <w:lastRenderedPageBreak/>
              <w:t>孙芳</w:t>
            </w:r>
          </w:p>
        </w:tc>
        <w:tc>
          <w:tcPr>
            <w:tcW w:w="930" w:type="dxa"/>
            <w:vAlign w:val="center"/>
          </w:tcPr>
          <w:p w:rsidR="00E32D50" w:rsidRDefault="00BC2716">
            <w:pPr>
              <w:jc w:val="center"/>
            </w:pPr>
            <w:r>
              <w:rPr>
                <w:rFonts w:eastAsiaTheme="minorEastAsia"/>
                <w:color w:val="000000" w:themeColor="text1"/>
                <w:szCs w:val="21"/>
              </w:rPr>
              <w:t>本基金基金经理、副总经理兼投资副总监</w:t>
            </w:r>
          </w:p>
        </w:tc>
        <w:tc>
          <w:tcPr>
            <w:tcW w:w="1210" w:type="dxa"/>
            <w:vAlign w:val="center"/>
          </w:tcPr>
          <w:p w:rsidR="00E32D50" w:rsidRDefault="00BC2716">
            <w:pPr>
              <w:jc w:val="center"/>
            </w:pPr>
            <w:r>
              <w:rPr>
                <w:rFonts w:eastAsiaTheme="minorEastAsia"/>
                <w:color w:val="000000" w:themeColor="text1"/>
                <w:szCs w:val="21"/>
              </w:rPr>
              <w:t>2011-12-08</w:t>
            </w:r>
          </w:p>
        </w:tc>
        <w:tc>
          <w:tcPr>
            <w:tcW w:w="1309" w:type="dxa"/>
            <w:vAlign w:val="center"/>
          </w:tcPr>
          <w:p w:rsidR="00E32D50" w:rsidRDefault="00BC2716">
            <w:pPr>
              <w:jc w:val="center"/>
            </w:pPr>
            <w:r>
              <w:rPr>
                <w:rFonts w:eastAsiaTheme="minorEastAsia"/>
                <w:color w:val="000000" w:themeColor="text1"/>
                <w:szCs w:val="21"/>
              </w:rPr>
              <w:t>-</w:t>
            </w:r>
          </w:p>
        </w:tc>
        <w:tc>
          <w:tcPr>
            <w:tcW w:w="1254" w:type="dxa"/>
            <w:vAlign w:val="center"/>
          </w:tcPr>
          <w:p w:rsidR="00E32D50" w:rsidRDefault="00BC2716">
            <w:pPr>
              <w:jc w:val="center"/>
            </w:pPr>
            <w:r>
              <w:rPr>
                <w:rFonts w:eastAsiaTheme="minorEastAsia"/>
                <w:color w:val="000000" w:themeColor="text1"/>
                <w:szCs w:val="21"/>
              </w:rPr>
              <w:t>19</w:t>
            </w:r>
            <w:r>
              <w:rPr>
                <w:rFonts w:eastAsiaTheme="minorEastAsia"/>
                <w:color w:val="000000" w:themeColor="text1"/>
                <w:szCs w:val="21"/>
              </w:rPr>
              <w:t>年</w:t>
            </w:r>
          </w:p>
        </w:tc>
        <w:tc>
          <w:tcPr>
            <w:tcW w:w="3276" w:type="dxa"/>
            <w:vAlign w:val="center"/>
          </w:tcPr>
          <w:p w:rsidR="00E32D50" w:rsidRDefault="00BC2716">
            <w:r>
              <w:rPr>
                <w:rFonts w:eastAsiaTheme="minorEastAsia"/>
                <w:color w:val="000000" w:themeColor="text1"/>
                <w:szCs w:val="21"/>
              </w:rPr>
              <w:t>孙芳女士，华东师范大学经济学硕士，</w:t>
            </w:r>
            <w:r>
              <w:rPr>
                <w:rFonts w:eastAsiaTheme="minorEastAsia"/>
                <w:color w:val="000000" w:themeColor="text1"/>
                <w:szCs w:val="21"/>
              </w:rPr>
              <w:t>2003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月任华宝兴业基金行业研究员。</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月起加入上投摩根基金管理有限公司，先后担任行业专家、基金经理助理、研究部副总监、基金经理、总经理助理</w:t>
            </w:r>
            <w:r>
              <w:rPr>
                <w:rFonts w:eastAsiaTheme="minorEastAsia"/>
                <w:color w:val="000000" w:themeColor="text1"/>
                <w:szCs w:val="21"/>
              </w:rPr>
              <w:t>/</w:t>
            </w:r>
            <w:r>
              <w:rPr>
                <w:rFonts w:eastAsiaTheme="minorEastAsia"/>
                <w:color w:val="000000" w:themeColor="text1"/>
                <w:szCs w:val="21"/>
              </w:rPr>
              <w:t>国内权益投资二部总监兼资深基金经理、副总经理兼投资副总监。自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月起担任上投摩根双息平衡混合型证券投资基金基金经理，自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月起同时担任上投摩根核心优选混合型证券投资基金基金经理，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月同时担任上投摩根核心成长股票型证券投资基金基金经理，自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w:t>
            </w:r>
            <w:r>
              <w:rPr>
                <w:rFonts w:eastAsiaTheme="minorEastAsia"/>
                <w:color w:val="000000" w:themeColor="text1"/>
                <w:szCs w:val="21"/>
              </w:rPr>
              <w:t>担任上投摩根行业轮动混合型证券投资基金基金经理，自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月起同时担任上投摩根行业睿选股票型证券投资基金基金经理。</w:t>
            </w:r>
          </w:p>
        </w:tc>
      </w:tr>
    </w:tbl>
    <w:p w:rsidR="00E32D50" w:rsidRDefault="00BC271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双息平衡混合型证券投资基金基金合同》的规定。除以下情况外，基金经理对个股和投资组合的比例遵</w:t>
      </w:r>
      <w:r w:rsidRPr="00B27A29">
        <w:rPr>
          <w:rFonts w:eastAsiaTheme="minorEastAsia"/>
          <w:color w:val="000000" w:themeColor="text1"/>
          <w:szCs w:val="21"/>
        </w:rPr>
        <w:lastRenderedPageBreak/>
        <w:t>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年一季度的市场可谓黑天鹅频出</w:t>
      </w:r>
      <w:r>
        <w:rPr>
          <w:rFonts w:eastAsiaTheme="minorEastAsia"/>
          <w:color w:val="000000" w:themeColor="text1"/>
          <w:szCs w:val="21"/>
        </w:rPr>
        <w:t>——</w:t>
      </w:r>
      <w:r>
        <w:rPr>
          <w:rFonts w:eastAsiaTheme="minorEastAsia"/>
          <w:color w:val="000000" w:themeColor="text1"/>
          <w:szCs w:val="21"/>
        </w:rPr>
        <w:t>俄乌战争爆发、奥密克戎新冠疫情在国内部分省市扩散，叠加国内宏观经济承压，市场在多重压力下出现了明显回调和分化。地缘政治导致能源大宗品价格飙升，石油、煤炭、镍、铝以及农化等商品的价格在一季度出现新一轮上涨。原材料价格上涨对中下游制造商造成日益严重的成本压力和涨价需求，进而对需求造成一定程度的压制，</w:t>
      </w:r>
      <w:r>
        <w:rPr>
          <w:rFonts w:eastAsiaTheme="minorEastAsia"/>
          <w:color w:val="000000" w:themeColor="text1"/>
          <w:szCs w:val="21"/>
        </w:rPr>
        <w:lastRenderedPageBreak/>
        <w:t>对宏观经济形成拖累。</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从宽基指</w:t>
      </w:r>
      <w:r>
        <w:rPr>
          <w:rFonts w:eastAsiaTheme="minorEastAsia"/>
          <w:color w:val="000000" w:themeColor="text1"/>
          <w:szCs w:val="21"/>
        </w:rPr>
        <w:t>数表现看，代表大市值传统行业龙头的上证指数和沪深</w:t>
      </w:r>
      <w:r>
        <w:rPr>
          <w:rFonts w:eastAsiaTheme="minorEastAsia"/>
          <w:color w:val="000000" w:themeColor="text1"/>
          <w:szCs w:val="21"/>
        </w:rPr>
        <w:t>300</w:t>
      </w:r>
      <w:r>
        <w:rPr>
          <w:rFonts w:eastAsiaTheme="minorEastAsia"/>
          <w:color w:val="000000" w:themeColor="text1"/>
          <w:szCs w:val="21"/>
        </w:rPr>
        <w:t>指数分别下跌</w:t>
      </w:r>
      <w:r>
        <w:rPr>
          <w:rFonts w:eastAsiaTheme="minorEastAsia"/>
          <w:color w:val="000000" w:themeColor="text1"/>
          <w:szCs w:val="21"/>
        </w:rPr>
        <w:t>10.65%</w:t>
      </w:r>
      <w:r>
        <w:rPr>
          <w:rFonts w:eastAsiaTheme="minorEastAsia"/>
          <w:color w:val="000000" w:themeColor="text1"/>
          <w:szCs w:val="21"/>
        </w:rPr>
        <w:t>和</w:t>
      </w:r>
      <w:r>
        <w:rPr>
          <w:rFonts w:eastAsiaTheme="minorEastAsia"/>
          <w:color w:val="000000" w:themeColor="text1"/>
          <w:szCs w:val="21"/>
        </w:rPr>
        <w:t>14.53%</w:t>
      </w:r>
      <w:r>
        <w:rPr>
          <w:rFonts w:eastAsiaTheme="minorEastAsia"/>
          <w:color w:val="000000" w:themeColor="text1"/>
          <w:szCs w:val="21"/>
        </w:rPr>
        <w:t>，而代表科技龙头企业的创业板指下跌</w:t>
      </w:r>
      <w:r>
        <w:rPr>
          <w:rFonts w:eastAsiaTheme="minorEastAsia"/>
          <w:color w:val="000000" w:themeColor="text1"/>
          <w:szCs w:val="21"/>
        </w:rPr>
        <w:t>19.96%</w:t>
      </w:r>
      <w:r>
        <w:rPr>
          <w:rFonts w:eastAsiaTheme="minorEastAsia"/>
          <w:color w:val="000000" w:themeColor="text1"/>
          <w:szCs w:val="21"/>
        </w:rPr>
        <w:t>。在美联储进入加息周期的大环境下，全市场风险偏好下降，成长股龙头出现了估值收缩，而传统的价值股则表现出相对收益。从行业表现上也充分体现了价值与成长板块估值的逆向而行。一季度表现最好的行业为煤炭、房地产、银行、和农业，均为前期估值偏低的板块，期间涨幅分别为</w:t>
      </w:r>
      <w:r>
        <w:rPr>
          <w:rFonts w:eastAsiaTheme="minorEastAsia"/>
          <w:color w:val="000000" w:themeColor="text1"/>
          <w:szCs w:val="21"/>
        </w:rPr>
        <w:t>22.3%</w:t>
      </w:r>
      <w:r>
        <w:rPr>
          <w:rFonts w:eastAsiaTheme="minorEastAsia"/>
          <w:color w:val="000000" w:themeColor="text1"/>
          <w:szCs w:val="21"/>
        </w:rPr>
        <w:t>、</w:t>
      </w:r>
      <w:r>
        <w:rPr>
          <w:rFonts w:eastAsiaTheme="minorEastAsia"/>
          <w:color w:val="000000" w:themeColor="text1"/>
          <w:szCs w:val="21"/>
        </w:rPr>
        <w:t>9%</w:t>
      </w:r>
      <w:r>
        <w:rPr>
          <w:rFonts w:eastAsiaTheme="minorEastAsia"/>
          <w:color w:val="000000" w:themeColor="text1"/>
          <w:szCs w:val="21"/>
        </w:rPr>
        <w:t>、</w:t>
      </w:r>
      <w:r>
        <w:rPr>
          <w:rFonts w:eastAsiaTheme="minorEastAsia"/>
          <w:color w:val="000000" w:themeColor="text1"/>
          <w:szCs w:val="21"/>
        </w:rPr>
        <w:t>1.7%</w:t>
      </w:r>
      <w:r>
        <w:rPr>
          <w:rFonts w:eastAsiaTheme="minorEastAsia"/>
          <w:color w:val="000000" w:themeColor="text1"/>
          <w:szCs w:val="21"/>
        </w:rPr>
        <w:t>、</w:t>
      </w:r>
      <w:r>
        <w:rPr>
          <w:rFonts w:eastAsiaTheme="minorEastAsia"/>
          <w:color w:val="000000" w:themeColor="text1"/>
          <w:szCs w:val="21"/>
        </w:rPr>
        <w:t>0.7%</w:t>
      </w:r>
      <w:r>
        <w:rPr>
          <w:rFonts w:eastAsiaTheme="minorEastAsia"/>
          <w:color w:val="000000" w:themeColor="text1"/>
          <w:szCs w:val="21"/>
        </w:rPr>
        <w:t>。煤炭板块的普涨缘于传统能源在供需失衡、地缘政治扰动下出现的价格持续上涨；地产板块则</w:t>
      </w:r>
      <w:r>
        <w:rPr>
          <w:rFonts w:eastAsiaTheme="minorEastAsia"/>
          <w:color w:val="000000" w:themeColor="text1"/>
          <w:szCs w:val="21"/>
        </w:rPr>
        <w:t>在国内房地产政策逐步放松下出现估值修复。一季度领跌的行业是电子、军工、汽车、食品饮料与家用电器，跌幅在</w:t>
      </w:r>
      <w:r>
        <w:rPr>
          <w:rFonts w:eastAsiaTheme="minorEastAsia"/>
          <w:color w:val="000000" w:themeColor="text1"/>
          <w:szCs w:val="21"/>
        </w:rPr>
        <w:t>20.3%-25.6%</w:t>
      </w:r>
      <w:r>
        <w:rPr>
          <w:rFonts w:eastAsiaTheme="minorEastAsia"/>
          <w:color w:val="000000" w:themeColor="text1"/>
          <w:szCs w:val="21"/>
        </w:rPr>
        <w:t>不等，这些板块的下跌主要缘于估值收缩、以及在疫情和原材料涨价背景下的行业景气度下行。</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就本基金而言，过往本基金采取的以高股息个股为基础、以少数成长个股加强收益的策略，在今年一季度并不适用。在春节前后本基金对组合进行了积极调整，考虑到原料上涨因素降低了汽车和家电配置比例，因疫情影响销售缘故降低了食品饮料配置比重，并增加了房地产、煤炭、铜铝黄金的持仓；但一季度表现依然跑输基准，主要源于表现</w:t>
      </w:r>
      <w:r>
        <w:rPr>
          <w:rFonts w:eastAsiaTheme="minorEastAsia"/>
          <w:color w:val="000000" w:themeColor="text1"/>
          <w:szCs w:val="21"/>
        </w:rPr>
        <w:t>最好的煤炭和房地产只是标配，未能重仓；而在汽车、食品饮料、钢铁等行业的原有配置产生了负收益，综合导致业绩不如人意。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展望后市，政策方面</w:t>
      </w:r>
      <w:r w:rsidRPr="00B27A29">
        <w:rPr>
          <w:rFonts w:eastAsiaTheme="minorEastAsia"/>
          <w:color w:val="000000" w:themeColor="text1"/>
          <w:szCs w:val="21"/>
        </w:rPr>
        <w:t>“</w:t>
      </w:r>
      <w:r w:rsidRPr="00B27A29">
        <w:rPr>
          <w:rFonts w:eastAsiaTheme="minorEastAsia"/>
          <w:color w:val="000000" w:themeColor="text1"/>
          <w:szCs w:val="21"/>
        </w:rPr>
        <w:t>稳增长</w:t>
      </w:r>
      <w:r w:rsidRPr="00B27A29">
        <w:rPr>
          <w:rFonts w:eastAsiaTheme="minorEastAsia"/>
          <w:color w:val="000000" w:themeColor="text1"/>
          <w:szCs w:val="21"/>
        </w:rPr>
        <w:t>”</w:t>
      </w:r>
      <w:r w:rsidRPr="00B27A29">
        <w:rPr>
          <w:rFonts w:eastAsiaTheme="minorEastAsia"/>
          <w:color w:val="000000" w:themeColor="text1"/>
          <w:szCs w:val="21"/>
        </w:rPr>
        <w:t>的基调非常清晰，</w:t>
      </w:r>
      <w:r w:rsidRPr="00B27A29">
        <w:rPr>
          <w:rFonts w:eastAsiaTheme="minorEastAsia"/>
          <w:color w:val="000000" w:themeColor="text1"/>
          <w:szCs w:val="21"/>
        </w:rPr>
        <w:t>3</w:t>
      </w:r>
      <w:r w:rsidRPr="00B27A29">
        <w:rPr>
          <w:rFonts w:eastAsiaTheme="minorEastAsia"/>
          <w:color w:val="000000" w:themeColor="text1"/>
          <w:szCs w:val="21"/>
        </w:rPr>
        <w:t>月国务院金融委会议更明确传达了</w:t>
      </w:r>
      <w:r w:rsidRPr="00B27A29">
        <w:rPr>
          <w:rFonts w:eastAsiaTheme="minorEastAsia"/>
          <w:color w:val="000000" w:themeColor="text1"/>
          <w:szCs w:val="21"/>
        </w:rPr>
        <w:t>“</w:t>
      </w:r>
      <w:r w:rsidRPr="00B27A29">
        <w:rPr>
          <w:rFonts w:eastAsiaTheme="minorEastAsia"/>
          <w:color w:val="000000" w:themeColor="text1"/>
          <w:szCs w:val="21"/>
        </w:rPr>
        <w:t>保持经济运行在合理区间，保持资本市场平稳运行</w:t>
      </w:r>
      <w:r w:rsidRPr="00B27A29">
        <w:rPr>
          <w:rFonts w:eastAsiaTheme="minorEastAsia"/>
          <w:color w:val="000000" w:themeColor="text1"/>
          <w:szCs w:val="21"/>
        </w:rPr>
        <w:t>”</w:t>
      </w:r>
      <w:r w:rsidRPr="00B27A29">
        <w:rPr>
          <w:rFonts w:eastAsiaTheme="minorEastAsia"/>
          <w:color w:val="000000" w:themeColor="text1"/>
          <w:szCs w:val="21"/>
        </w:rPr>
        <w:t>的思想。虽然在内外多种条件的约束之下，稳增长不能</w:t>
      </w:r>
      <w:r w:rsidRPr="00B27A29">
        <w:rPr>
          <w:rFonts w:eastAsiaTheme="minorEastAsia"/>
          <w:color w:val="000000" w:themeColor="text1"/>
          <w:szCs w:val="21"/>
        </w:rPr>
        <w:t>“</w:t>
      </w:r>
      <w:r w:rsidRPr="00B27A29">
        <w:rPr>
          <w:rFonts w:eastAsiaTheme="minorEastAsia"/>
          <w:color w:val="000000" w:themeColor="text1"/>
          <w:szCs w:val="21"/>
        </w:rPr>
        <w:t>大水漫灌</w:t>
      </w:r>
      <w:r w:rsidRPr="00B27A29">
        <w:rPr>
          <w:rFonts w:eastAsiaTheme="minorEastAsia"/>
          <w:color w:val="000000" w:themeColor="text1"/>
          <w:szCs w:val="21"/>
        </w:rPr>
        <w:t>”</w:t>
      </w:r>
      <w:r w:rsidRPr="00B27A29">
        <w:rPr>
          <w:rFonts w:eastAsiaTheme="minorEastAsia"/>
          <w:color w:val="000000" w:themeColor="text1"/>
          <w:szCs w:val="21"/>
        </w:rPr>
        <w:t>，也不能短期下猛药，但我们认为，政策必然徐徐图之，控风险、稳就业、保民生，在</w:t>
      </w:r>
      <w:r w:rsidRPr="00B27A29">
        <w:rPr>
          <w:rFonts w:eastAsiaTheme="minorEastAsia"/>
          <w:color w:val="000000" w:themeColor="text1"/>
          <w:szCs w:val="21"/>
        </w:rPr>
        <w:t>“</w:t>
      </w:r>
      <w:r w:rsidRPr="00B27A29">
        <w:rPr>
          <w:rFonts w:eastAsiaTheme="minorEastAsia"/>
          <w:color w:val="000000" w:themeColor="text1"/>
          <w:szCs w:val="21"/>
        </w:rPr>
        <w:t>高质量增长</w:t>
      </w:r>
      <w:r w:rsidRPr="00B27A29">
        <w:rPr>
          <w:rFonts w:eastAsiaTheme="minorEastAsia"/>
          <w:color w:val="000000" w:themeColor="text1"/>
          <w:szCs w:val="21"/>
        </w:rPr>
        <w:t>”</w:t>
      </w:r>
      <w:r w:rsidRPr="00B27A29">
        <w:rPr>
          <w:rFonts w:eastAsiaTheme="minorEastAsia"/>
          <w:color w:val="000000" w:themeColor="text1"/>
          <w:szCs w:val="21"/>
        </w:rPr>
        <w:t>的底色上尽量去促使经济尽早企稳上行。我们认为积极的财政政策和适度宽松的货币政策将是未来一段时间宏观政策的主要方向，市场大概率延续结构性行情。我们预估二季度高股息策略或还将有超额收益，但企业经营趋势的持续稳健是必要条件，博弈因素减少，基本面保障要求提高。部分行业政策已经有所变化，国内地产产业链和基建产业链景气度将有边际改善，对股价形成支撑。大宗商品的价格有赖于全球的需求变化，需进行持续跟踪。此外，估值是安全边际也是价值之锚，上游行业的估值若在二季度达到较高水平，同时近半年持续回调的其他板块若落入历史低位水平，则后市还有可能出现结构转换。</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本报告期上投摩根双息平衡混合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:-8.84</w:t>
      </w:r>
      <w:r>
        <w:rPr>
          <w:rFonts w:eastAsiaTheme="minorEastAsia"/>
          <w:color w:val="000000" w:themeColor="text1"/>
          <w:szCs w:val="21"/>
        </w:rPr>
        <w:t>%</w:t>
      </w:r>
      <w:r>
        <w:rPr>
          <w:rFonts w:eastAsiaTheme="minorEastAsia"/>
          <w:color w:val="000000" w:themeColor="text1"/>
          <w:szCs w:val="21"/>
        </w:rPr>
        <w:t>，同期业绩比较基准收益率为</w:t>
      </w:r>
      <w:r>
        <w:rPr>
          <w:rFonts w:eastAsiaTheme="minorEastAsia"/>
          <w:color w:val="000000" w:themeColor="text1"/>
          <w:szCs w:val="21"/>
        </w:rPr>
        <w:t>:0.65%,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H</w:t>
      </w:r>
      <w:r w:rsidRPr="00B27A29">
        <w:rPr>
          <w:rFonts w:eastAsiaTheme="minorEastAsia"/>
          <w:color w:val="000000" w:themeColor="text1"/>
          <w:szCs w:val="21"/>
        </w:rPr>
        <w:t>份额净值增长率为</w:t>
      </w:r>
      <w:r w:rsidRPr="00B27A29">
        <w:rPr>
          <w:rFonts w:eastAsiaTheme="minorEastAsia"/>
          <w:color w:val="000000" w:themeColor="text1"/>
          <w:szCs w:val="21"/>
        </w:rPr>
        <w:t>:-8.84%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:0.65%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lastRenderedPageBreak/>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648,479,006.27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69.77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648,479,006.27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69.77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213,544,708.43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213,544,708.43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60,595,520.15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6,886,108.76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929,505,343.61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13,681,823.78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1.49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87,361,975.26</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304,304,129.03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33.12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63,724,787.72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17,844,579.17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20,567,727.02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7,603.20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7,203,968.46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65,148,171.91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68,074,170.00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560,070.72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648,479,006.27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70.57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E32D50">
        <w:tc>
          <w:tcPr>
            <w:tcW w:w="817" w:type="dxa"/>
            <w:vAlign w:val="center"/>
          </w:tcPr>
          <w:p w:rsidR="00E32D50" w:rsidRDefault="00BC2716">
            <w:pPr>
              <w:jc w:val="center"/>
            </w:pPr>
            <w:r>
              <w:rPr>
                <w:rFonts w:eastAsiaTheme="minorEastAsia"/>
                <w:kern w:val="0"/>
                <w:szCs w:val="21"/>
              </w:rPr>
              <w:t>1</w:t>
            </w:r>
          </w:p>
        </w:tc>
        <w:tc>
          <w:tcPr>
            <w:tcW w:w="1276" w:type="dxa"/>
            <w:vAlign w:val="center"/>
          </w:tcPr>
          <w:p w:rsidR="00E32D50" w:rsidRDefault="00BC2716">
            <w:pPr>
              <w:jc w:val="center"/>
            </w:pPr>
            <w:r>
              <w:rPr>
                <w:rFonts w:eastAsiaTheme="minorEastAsia"/>
                <w:kern w:val="0"/>
                <w:szCs w:val="21"/>
              </w:rPr>
              <w:t>601899</w:t>
            </w:r>
          </w:p>
        </w:tc>
        <w:tc>
          <w:tcPr>
            <w:tcW w:w="1701" w:type="dxa"/>
            <w:vAlign w:val="center"/>
          </w:tcPr>
          <w:p w:rsidR="00E32D50" w:rsidRDefault="00BC2716">
            <w:pPr>
              <w:jc w:val="center"/>
            </w:pPr>
            <w:r>
              <w:rPr>
                <w:rFonts w:eastAsiaTheme="minorEastAsia"/>
                <w:kern w:val="0"/>
                <w:szCs w:val="21"/>
              </w:rPr>
              <w:t>紫金矿业</w:t>
            </w:r>
          </w:p>
        </w:tc>
        <w:tc>
          <w:tcPr>
            <w:tcW w:w="1276" w:type="dxa"/>
            <w:vAlign w:val="center"/>
          </w:tcPr>
          <w:p w:rsidR="00E32D50" w:rsidRDefault="00BC2716">
            <w:pPr>
              <w:jc w:val="right"/>
            </w:pPr>
            <w:r>
              <w:rPr>
                <w:rFonts w:eastAsiaTheme="minorEastAsia"/>
                <w:kern w:val="0"/>
                <w:szCs w:val="21"/>
              </w:rPr>
              <w:t>4,368,200</w:t>
            </w:r>
          </w:p>
        </w:tc>
        <w:tc>
          <w:tcPr>
            <w:tcW w:w="1842" w:type="dxa"/>
            <w:vAlign w:val="center"/>
          </w:tcPr>
          <w:p w:rsidR="00E32D50" w:rsidRDefault="00BC2716">
            <w:pPr>
              <w:jc w:val="right"/>
            </w:pPr>
            <w:r>
              <w:rPr>
                <w:rFonts w:eastAsiaTheme="minorEastAsia"/>
                <w:kern w:val="0"/>
                <w:szCs w:val="21"/>
              </w:rPr>
              <w:t>49,535,388.00</w:t>
            </w:r>
          </w:p>
        </w:tc>
        <w:tc>
          <w:tcPr>
            <w:tcW w:w="1616" w:type="dxa"/>
            <w:vAlign w:val="center"/>
          </w:tcPr>
          <w:p w:rsidR="00E32D50" w:rsidRDefault="00BC2716">
            <w:pPr>
              <w:jc w:val="right"/>
            </w:pPr>
            <w:r>
              <w:rPr>
                <w:rFonts w:eastAsiaTheme="minorEastAsia"/>
                <w:kern w:val="0"/>
                <w:szCs w:val="21"/>
              </w:rPr>
              <w:t>5.39</w:t>
            </w:r>
          </w:p>
        </w:tc>
      </w:tr>
      <w:tr w:rsidR="00E32D50">
        <w:tc>
          <w:tcPr>
            <w:tcW w:w="817" w:type="dxa"/>
            <w:vAlign w:val="center"/>
          </w:tcPr>
          <w:p w:rsidR="00E32D50" w:rsidRDefault="00BC2716">
            <w:pPr>
              <w:jc w:val="center"/>
            </w:pPr>
            <w:r>
              <w:rPr>
                <w:rFonts w:eastAsiaTheme="minorEastAsia"/>
                <w:kern w:val="0"/>
                <w:szCs w:val="21"/>
              </w:rPr>
              <w:t>2</w:t>
            </w:r>
          </w:p>
        </w:tc>
        <w:tc>
          <w:tcPr>
            <w:tcW w:w="1276" w:type="dxa"/>
            <w:vAlign w:val="center"/>
          </w:tcPr>
          <w:p w:rsidR="00E32D50" w:rsidRDefault="00BC2716">
            <w:pPr>
              <w:jc w:val="center"/>
            </w:pPr>
            <w:r>
              <w:rPr>
                <w:rFonts w:eastAsiaTheme="minorEastAsia"/>
                <w:kern w:val="0"/>
                <w:szCs w:val="21"/>
              </w:rPr>
              <w:t>000069</w:t>
            </w:r>
          </w:p>
        </w:tc>
        <w:tc>
          <w:tcPr>
            <w:tcW w:w="1701" w:type="dxa"/>
            <w:vAlign w:val="center"/>
          </w:tcPr>
          <w:p w:rsidR="00E32D50" w:rsidRDefault="00BC2716">
            <w:pPr>
              <w:jc w:val="center"/>
            </w:pPr>
            <w:r>
              <w:rPr>
                <w:rFonts w:eastAsiaTheme="minorEastAsia"/>
                <w:kern w:val="0"/>
                <w:szCs w:val="21"/>
              </w:rPr>
              <w:t>华侨城</w:t>
            </w:r>
            <w:r>
              <w:rPr>
                <w:rFonts w:eastAsiaTheme="minorEastAsia"/>
                <w:kern w:val="0"/>
                <w:szCs w:val="21"/>
              </w:rPr>
              <w:t>A</w:t>
            </w:r>
          </w:p>
        </w:tc>
        <w:tc>
          <w:tcPr>
            <w:tcW w:w="1276" w:type="dxa"/>
            <w:vAlign w:val="center"/>
          </w:tcPr>
          <w:p w:rsidR="00E32D50" w:rsidRDefault="00BC2716">
            <w:pPr>
              <w:jc w:val="right"/>
            </w:pPr>
            <w:r>
              <w:rPr>
                <w:rFonts w:eastAsiaTheme="minorEastAsia"/>
                <w:kern w:val="0"/>
                <w:szCs w:val="21"/>
              </w:rPr>
              <w:t>4,044,600</w:t>
            </w:r>
          </w:p>
        </w:tc>
        <w:tc>
          <w:tcPr>
            <w:tcW w:w="1842" w:type="dxa"/>
            <w:vAlign w:val="center"/>
          </w:tcPr>
          <w:p w:rsidR="00E32D50" w:rsidRDefault="00BC2716">
            <w:pPr>
              <w:jc w:val="right"/>
            </w:pPr>
            <w:r>
              <w:rPr>
                <w:rFonts w:eastAsiaTheme="minorEastAsia"/>
                <w:kern w:val="0"/>
                <w:szCs w:val="21"/>
              </w:rPr>
              <w:t>29,768,256.00</w:t>
            </w:r>
          </w:p>
        </w:tc>
        <w:tc>
          <w:tcPr>
            <w:tcW w:w="1616" w:type="dxa"/>
            <w:vAlign w:val="center"/>
          </w:tcPr>
          <w:p w:rsidR="00E32D50" w:rsidRDefault="00BC2716">
            <w:pPr>
              <w:jc w:val="right"/>
            </w:pPr>
            <w:r>
              <w:rPr>
                <w:rFonts w:eastAsiaTheme="minorEastAsia"/>
                <w:kern w:val="0"/>
                <w:szCs w:val="21"/>
              </w:rPr>
              <w:t>3.24</w:t>
            </w:r>
          </w:p>
        </w:tc>
      </w:tr>
      <w:tr w:rsidR="00E32D50">
        <w:tc>
          <w:tcPr>
            <w:tcW w:w="817" w:type="dxa"/>
            <w:vAlign w:val="center"/>
          </w:tcPr>
          <w:p w:rsidR="00E32D50" w:rsidRDefault="00BC2716">
            <w:pPr>
              <w:jc w:val="center"/>
            </w:pPr>
            <w:r>
              <w:rPr>
                <w:rFonts w:eastAsiaTheme="minorEastAsia"/>
                <w:kern w:val="0"/>
                <w:szCs w:val="21"/>
              </w:rPr>
              <w:t>3</w:t>
            </w:r>
          </w:p>
        </w:tc>
        <w:tc>
          <w:tcPr>
            <w:tcW w:w="1276" w:type="dxa"/>
            <w:vAlign w:val="center"/>
          </w:tcPr>
          <w:p w:rsidR="00E32D50" w:rsidRDefault="00BC2716">
            <w:pPr>
              <w:jc w:val="center"/>
            </w:pPr>
            <w:r>
              <w:rPr>
                <w:rFonts w:eastAsiaTheme="minorEastAsia"/>
                <w:kern w:val="0"/>
                <w:szCs w:val="21"/>
              </w:rPr>
              <w:t>600089</w:t>
            </w:r>
          </w:p>
        </w:tc>
        <w:tc>
          <w:tcPr>
            <w:tcW w:w="1701" w:type="dxa"/>
            <w:vAlign w:val="center"/>
          </w:tcPr>
          <w:p w:rsidR="00E32D50" w:rsidRDefault="00BC2716">
            <w:pPr>
              <w:jc w:val="center"/>
            </w:pPr>
            <w:r>
              <w:rPr>
                <w:rFonts w:eastAsiaTheme="minorEastAsia"/>
                <w:kern w:val="0"/>
                <w:szCs w:val="21"/>
              </w:rPr>
              <w:t>特变电工</w:t>
            </w:r>
          </w:p>
        </w:tc>
        <w:tc>
          <w:tcPr>
            <w:tcW w:w="1276" w:type="dxa"/>
            <w:vAlign w:val="center"/>
          </w:tcPr>
          <w:p w:rsidR="00E32D50" w:rsidRDefault="00BC2716">
            <w:pPr>
              <w:jc w:val="right"/>
            </w:pPr>
            <w:r>
              <w:rPr>
                <w:rFonts w:eastAsiaTheme="minorEastAsia"/>
                <w:kern w:val="0"/>
                <w:szCs w:val="21"/>
              </w:rPr>
              <w:t>1,415,134</w:t>
            </w:r>
          </w:p>
        </w:tc>
        <w:tc>
          <w:tcPr>
            <w:tcW w:w="1842" w:type="dxa"/>
            <w:vAlign w:val="center"/>
          </w:tcPr>
          <w:p w:rsidR="00E32D50" w:rsidRDefault="00BC2716">
            <w:pPr>
              <w:jc w:val="right"/>
            </w:pPr>
            <w:r>
              <w:rPr>
                <w:rFonts w:eastAsiaTheme="minorEastAsia"/>
                <w:kern w:val="0"/>
                <w:szCs w:val="21"/>
              </w:rPr>
              <w:t>28,840,430.92</w:t>
            </w:r>
          </w:p>
        </w:tc>
        <w:tc>
          <w:tcPr>
            <w:tcW w:w="1616" w:type="dxa"/>
            <w:vAlign w:val="center"/>
          </w:tcPr>
          <w:p w:rsidR="00E32D50" w:rsidRDefault="00BC2716">
            <w:pPr>
              <w:jc w:val="right"/>
            </w:pPr>
            <w:r>
              <w:rPr>
                <w:rFonts w:eastAsiaTheme="minorEastAsia"/>
                <w:kern w:val="0"/>
                <w:szCs w:val="21"/>
              </w:rPr>
              <w:t>3.14</w:t>
            </w:r>
          </w:p>
        </w:tc>
      </w:tr>
      <w:tr w:rsidR="00E32D50">
        <w:tc>
          <w:tcPr>
            <w:tcW w:w="817" w:type="dxa"/>
            <w:vAlign w:val="center"/>
          </w:tcPr>
          <w:p w:rsidR="00E32D50" w:rsidRDefault="00BC2716">
            <w:pPr>
              <w:jc w:val="center"/>
            </w:pPr>
            <w:r>
              <w:rPr>
                <w:rFonts w:eastAsiaTheme="minorEastAsia"/>
                <w:kern w:val="0"/>
                <w:szCs w:val="21"/>
              </w:rPr>
              <w:t>4</w:t>
            </w:r>
          </w:p>
        </w:tc>
        <w:tc>
          <w:tcPr>
            <w:tcW w:w="1276" w:type="dxa"/>
            <w:vAlign w:val="center"/>
          </w:tcPr>
          <w:p w:rsidR="00E32D50" w:rsidRDefault="00BC2716">
            <w:pPr>
              <w:jc w:val="center"/>
            </w:pPr>
            <w:r>
              <w:rPr>
                <w:rFonts w:eastAsiaTheme="minorEastAsia"/>
                <w:kern w:val="0"/>
                <w:szCs w:val="21"/>
              </w:rPr>
              <w:t>601166</w:t>
            </w:r>
          </w:p>
        </w:tc>
        <w:tc>
          <w:tcPr>
            <w:tcW w:w="1701" w:type="dxa"/>
            <w:vAlign w:val="center"/>
          </w:tcPr>
          <w:p w:rsidR="00E32D50" w:rsidRDefault="00BC2716">
            <w:pPr>
              <w:jc w:val="center"/>
            </w:pPr>
            <w:r>
              <w:rPr>
                <w:rFonts w:eastAsiaTheme="minorEastAsia"/>
                <w:kern w:val="0"/>
                <w:szCs w:val="21"/>
              </w:rPr>
              <w:t>兴业银行</w:t>
            </w:r>
          </w:p>
        </w:tc>
        <w:tc>
          <w:tcPr>
            <w:tcW w:w="1276" w:type="dxa"/>
            <w:vAlign w:val="center"/>
          </w:tcPr>
          <w:p w:rsidR="00E32D50" w:rsidRDefault="00BC2716">
            <w:pPr>
              <w:jc w:val="right"/>
            </w:pPr>
            <w:r>
              <w:rPr>
                <w:rFonts w:eastAsiaTheme="minorEastAsia"/>
                <w:kern w:val="0"/>
                <w:szCs w:val="21"/>
              </w:rPr>
              <w:t>1,342,461</w:t>
            </w:r>
          </w:p>
        </w:tc>
        <w:tc>
          <w:tcPr>
            <w:tcW w:w="1842" w:type="dxa"/>
            <w:vAlign w:val="center"/>
          </w:tcPr>
          <w:p w:rsidR="00E32D50" w:rsidRDefault="00BC2716">
            <w:pPr>
              <w:jc w:val="right"/>
            </w:pPr>
            <w:r>
              <w:rPr>
                <w:rFonts w:eastAsiaTheme="minorEastAsia"/>
                <w:kern w:val="0"/>
                <w:szCs w:val="21"/>
              </w:rPr>
              <w:t>27,748,668.87</w:t>
            </w:r>
          </w:p>
        </w:tc>
        <w:tc>
          <w:tcPr>
            <w:tcW w:w="1616" w:type="dxa"/>
            <w:vAlign w:val="center"/>
          </w:tcPr>
          <w:p w:rsidR="00E32D50" w:rsidRDefault="00BC2716">
            <w:pPr>
              <w:jc w:val="right"/>
            </w:pPr>
            <w:r>
              <w:rPr>
                <w:rFonts w:eastAsiaTheme="minorEastAsia"/>
                <w:kern w:val="0"/>
                <w:szCs w:val="21"/>
              </w:rPr>
              <w:t>3.02</w:t>
            </w:r>
          </w:p>
        </w:tc>
      </w:tr>
      <w:tr w:rsidR="00E32D50">
        <w:tc>
          <w:tcPr>
            <w:tcW w:w="817" w:type="dxa"/>
            <w:vAlign w:val="center"/>
          </w:tcPr>
          <w:p w:rsidR="00E32D50" w:rsidRDefault="00BC2716">
            <w:pPr>
              <w:jc w:val="center"/>
            </w:pPr>
            <w:r>
              <w:rPr>
                <w:rFonts w:eastAsiaTheme="minorEastAsia"/>
                <w:kern w:val="0"/>
                <w:szCs w:val="21"/>
              </w:rPr>
              <w:t>5</w:t>
            </w:r>
          </w:p>
        </w:tc>
        <w:tc>
          <w:tcPr>
            <w:tcW w:w="1276" w:type="dxa"/>
            <w:vAlign w:val="center"/>
          </w:tcPr>
          <w:p w:rsidR="00E32D50" w:rsidRDefault="00BC2716">
            <w:pPr>
              <w:jc w:val="center"/>
            </w:pPr>
            <w:r>
              <w:rPr>
                <w:rFonts w:eastAsiaTheme="minorEastAsia"/>
                <w:kern w:val="0"/>
                <w:szCs w:val="21"/>
              </w:rPr>
              <w:t>601985</w:t>
            </w:r>
          </w:p>
        </w:tc>
        <w:tc>
          <w:tcPr>
            <w:tcW w:w="1701" w:type="dxa"/>
            <w:vAlign w:val="center"/>
          </w:tcPr>
          <w:p w:rsidR="00E32D50" w:rsidRDefault="00BC2716">
            <w:pPr>
              <w:jc w:val="center"/>
            </w:pPr>
            <w:r>
              <w:rPr>
                <w:rFonts w:eastAsiaTheme="minorEastAsia"/>
                <w:kern w:val="0"/>
                <w:szCs w:val="21"/>
              </w:rPr>
              <w:t>中国核电</w:t>
            </w:r>
          </w:p>
        </w:tc>
        <w:tc>
          <w:tcPr>
            <w:tcW w:w="1276" w:type="dxa"/>
            <w:vAlign w:val="center"/>
          </w:tcPr>
          <w:p w:rsidR="00E32D50" w:rsidRDefault="00BC2716">
            <w:pPr>
              <w:jc w:val="right"/>
            </w:pPr>
            <w:r>
              <w:rPr>
                <w:rFonts w:eastAsiaTheme="minorEastAsia"/>
                <w:kern w:val="0"/>
                <w:szCs w:val="21"/>
              </w:rPr>
              <w:t>3,380,900</w:t>
            </w:r>
          </w:p>
        </w:tc>
        <w:tc>
          <w:tcPr>
            <w:tcW w:w="1842" w:type="dxa"/>
            <w:vAlign w:val="center"/>
          </w:tcPr>
          <w:p w:rsidR="00E32D50" w:rsidRDefault="00BC2716">
            <w:pPr>
              <w:jc w:val="right"/>
            </w:pPr>
            <w:r>
              <w:rPr>
                <w:rFonts w:eastAsiaTheme="minorEastAsia"/>
                <w:kern w:val="0"/>
                <w:szCs w:val="21"/>
              </w:rPr>
              <w:t>27,419,099.00</w:t>
            </w:r>
          </w:p>
        </w:tc>
        <w:tc>
          <w:tcPr>
            <w:tcW w:w="1616" w:type="dxa"/>
            <w:vAlign w:val="center"/>
          </w:tcPr>
          <w:p w:rsidR="00E32D50" w:rsidRDefault="00BC2716">
            <w:pPr>
              <w:jc w:val="right"/>
            </w:pPr>
            <w:r>
              <w:rPr>
                <w:rFonts w:eastAsiaTheme="minorEastAsia"/>
                <w:kern w:val="0"/>
                <w:szCs w:val="21"/>
              </w:rPr>
              <w:t>2.98</w:t>
            </w:r>
          </w:p>
        </w:tc>
      </w:tr>
      <w:tr w:rsidR="00E32D50">
        <w:tc>
          <w:tcPr>
            <w:tcW w:w="817" w:type="dxa"/>
            <w:vAlign w:val="center"/>
          </w:tcPr>
          <w:p w:rsidR="00E32D50" w:rsidRDefault="00BC2716">
            <w:pPr>
              <w:jc w:val="center"/>
            </w:pPr>
            <w:r>
              <w:rPr>
                <w:rFonts w:eastAsiaTheme="minorEastAsia"/>
                <w:kern w:val="0"/>
                <w:szCs w:val="21"/>
              </w:rPr>
              <w:t>6</w:t>
            </w:r>
          </w:p>
        </w:tc>
        <w:tc>
          <w:tcPr>
            <w:tcW w:w="1276" w:type="dxa"/>
            <w:vAlign w:val="center"/>
          </w:tcPr>
          <w:p w:rsidR="00E32D50" w:rsidRDefault="00BC2716">
            <w:pPr>
              <w:jc w:val="center"/>
            </w:pPr>
            <w:r>
              <w:rPr>
                <w:rFonts w:eastAsiaTheme="minorEastAsia"/>
                <w:kern w:val="0"/>
                <w:szCs w:val="21"/>
              </w:rPr>
              <w:t>600519</w:t>
            </w:r>
          </w:p>
        </w:tc>
        <w:tc>
          <w:tcPr>
            <w:tcW w:w="1701" w:type="dxa"/>
            <w:vAlign w:val="center"/>
          </w:tcPr>
          <w:p w:rsidR="00E32D50" w:rsidRDefault="00BC2716">
            <w:pPr>
              <w:jc w:val="center"/>
            </w:pPr>
            <w:r>
              <w:rPr>
                <w:rFonts w:eastAsiaTheme="minorEastAsia"/>
                <w:kern w:val="0"/>
                <w:szCs w:val="21"/>
              </w:rPr>
              <w:t>贵州茅台</w:t>
            </w:r>
          </w:p>
        </w:tc>
        <w:tc>
          <w:tcPr>
            <w:tcW w:w="1276" w:type="dxa"/>
            <w:vAlign w:val="center"/>
          </w:tcPr>
          <w:p w:rsidR="00E32D50" w:rsidRDefault="00BC2716">
            <w:pPr>
              <w:jc w:val="right"/>
            </w:pPr>
            <w:r>
              <w:rPr>
                <w:rFonts w:eastAsiaTheme="minorEastAsia"/>
                <w:kern w:val="0"/>
                <w:szCs w:val="21"/>
              </w:rPr>
              <w:t>15,600</w:t>
            </w:r>
          </w:p>
        </w:tc>
        <w:tc>
          <w:tcPr>
            <w:tcW w:w="1842" w:type="dxa"/>
            <w:vAlign w:val="center"/>
          </w:tcPr>
          <w:p w:rsidR="00E32D50" w:rsidRDefault="00BC2716">
            <w:pPr>
              <w:jc w:val="right"/>
            </w:pPr>
            <w:r>
              <w:rPr>
                <w:rFonts w:eastAsiaTheme="minorEastAsia"/>
                <w:kern w:val="0"/>
                <w:szCs w:val="21"/>
              </w:rPr>
              <w:t>26,816,400.00</w:t>
            </w:r>
          </w:p>
        </w:tc>
        <w:tc>
          <w:tcPr>
            <w:tcW w:w="1616" w:type="dxa"/>
            <w:vAlign w:val="center"/>
          </w:tcPr>
          <w:p w:rsidR="00E32D50" w:rsidRDefault="00BC2716">
            <w:pPr>
              <w:jc w:val="right"/>
            </w:pPr>
            <w:r>
              <w:rPr>
                <w:rFonts w:eastAsiaTheme="minorEastAsia"/>
                <w:kern w:val="0"/>
                <w:szCs w:val="21"/>
              </w:rPr>
              <w:t>2.92</w:t>
            </w:r>
          </w:p>
        </w:tc>
      </w:tr>
      <w:tr w:rsidR="00E32D50">
        <w:tc>
          <w:tcPr>
            <w:tcW w:w="817" w:type="dxa"/>
            <w:vAlign w:val="center"/>
          </w:tcPr>
          <w:p w:rsidR="00E32D50" w:rsidRDefault="00BC2716">
            <w:pPr>
              <w:jc w:val="center"/>
            </w:pPr>
            <w:r>
              <w:rPr>
                <w:rFonts w:eastAsiaTheme="minorEastAsia"/>
                <w:kern w:val="0"/>
                <w:szCs w:val="21"/>
              </w:rPr>
              <w:t>7</w:t>
            </w:r>
          </w:p>
        </w:tc>
        <w:tc>
          <w:tcPr>
            <w:tcW w:w="1276" w:type="dxa"/>
            <w:vAlign w:val="center"/>
          </w:tcPr>
          <w:p w:rsidR="00E32D50" w:rsidRDefault="00BC2716">
            <w:pPr>
              <w:jc w:val="center"/>
            </w:pPr>
            <w:r>
              <w:rPr>
                <w:rFonts w:eastAsiaTheme="minorEastAsia"/>
                <w:kern w:val="0"/>
                <w:szCs w:val="21"/>
              </w:rPr>
              <w:t>300750</w:t>
            </w:r>
          </w:p>
        </w:tc>
        <w:tc>
          <w:tcPr>
            <w:tcW w:w="1701" w:type="dxa"/>
            <w:vAlign w:val="center"/>
          </w:tcPr>
          <w:p w:rsidR="00E32D50" w:rsidRDefault="00BC2716">
            <w:pPr>
              <w:jc w:val="center"/>
            </w:pPr>
            <w:r>
              <w:rPr>
                <w:rFonts w:eastAsiaTheme="minorEastAsia"/>
                <w:kern w:val="0"/>
                <w:szCs w:val="21"/>
              </w:rPr>
              <w:t>宁德时代</w:t>
            </w:r>
          </w:p>
        </w:tc>
        <w:tc>
          <w:tcPr>
            <w:tcW w:w="1276" w:type="dxa"/>
            <w:vAlign w:val="center"/>
          </w:tcPr>
          <w:p w:rsidR="00E32D50" w:rsidRDefault="00BC2716">
            <w:pPr>
              <w:jc w:val="right"/>
            </w:pPr>
            <w:r>
              <w:rPr>
                <w:rFonts w:eastAsiaTheme="minorEastAsia"/>
                <w:kern w:val="0"/>
                <w:szCs w:val="21"/>
              </w:rPr>
              <w:t>44,500</w:t>
            </w:r>
          </w:p>
        </w:tc>
        <w:tc>
          <w:tcPr>
            <w:tcW w:w="1842" w:type="dxa"/>
            <w:vAlign w:val="center"/>
          </w:tcPr>
          <w:p w:rsidR="00E32D50" w:rsidRDefault="00BC2716">
            <w:pPr>
              <w:jc w:val="right"/>
            </w:pPr>
            <w:r>
              <w:rPr>
                <w:rFonts w:eastAsiaTheme="minorEastAsia"/>
                <w:kern w:val="0"/>
                <w:szCs w:val="21"/>
              </w:rPr>
              <w:t>22,797,350.00</w:t>
            </w:r>
          </w:p>
        </w:tc>
        <w:tc>
          <w:tcPr>
            <w:tcW w:w="1616" w:type="dxa"/>
            <w:vAlign w:val="center"/>
          </w:tcPr>
          <w:p w:rsidR="00E32D50" w:rsidRDefault="00BC2716">
            <w:pPr>
              <w:jc w:val="right"/>
            </w:pPr>
            <w:r>
              <w:rPr>
                <w:rFonts w:eastAsiaTheme="minorEastAsia"/>
                <w:kern w:val="0"/>
                <w:szCs w:val="21"/>
              </w:rPr>
              <w:t>2.48</w:t>
            </w:r>
          </w:p>
        </w:tc>
      </w:tr>
      <w:tr w:rsidR="00E32D50">
        <w:tc>
          <w:tcPr>
            <w:tcW w:w="817" w:type="dxa"/>
            <w:vAlign w:val="center"/>
          </w:tcPr>
          <w:p w:rsidR="00E32D50" w:rsidRDefault="00BC2716">
            <w:pPr>
              <w:jc w:val="center"/>
            </w:pPr>
            <w:r>
              <w:rPr>
                <w:rFonts w:eastAsiaTheme="minorEastAsia"/>
                <w:kern w:val="0"/>
                <w:szCs w:val="21"/>
              </w:rPr>
              <w:t>8</w:t>
            </w:r>
          </w:p>
        </w:tc>
        <w:tc>
          <w:tcPr>
            <w:tcW w:w="1276" w:type="dxa"/>
            <w:vAlign w:val="center"/>
          </w:tcPr>
          <w:p w:rsidR="00E32D50" w:rsidRDefault="00BC2716">
            <w:pPr>
              <w:jc w:val="center"/>
            </w:pPr>
            <w:r>
              <w:rPr>
                <w:rFonts w:eastAsiaTheme="minorEastAsia"/>
                <w:kern w:val="0"/>
                <w:szCs w:val="21"/>
              </w:rPr>
              <w:t>601636</w:t>
            </w:r>
          </w:p>
        </w:tc>
        <w:tc>
          <w:tcPr>
            <w:tcW w:w="1701" w:type="dxa"/>
            <w:vAlign w:val="center"/>
          </w:tcPr>
          <w:p w:rsidR="00E32D50" w:rsidRDefault="00BC2716">
            <w:pPr>
              <w:jc w:val="center"/>
            </w:pPr>
            <w:r>
              <w:rPr>
                <w:rFonts w:eastAsiaTheme="minorEastAsia"/>
                <w:kern w:val="0"/>
                <w:szCs w:val="21"/>
              </w:rPr>
              <w:t>旗滨集团</w:t>
            </w:r>
          </w:p>
        </w:tc>
        <w:tc>
          <w:tcPr>
            <w:tcW w:w="1276" w:type="dxa"/>
            <w:vAlign w:val="center"/>
          </w:tcPr>
          <w:p w:rsidR="00E32D50" w:rsidRDefault="00BC2716">
            <w:pPr>
              <w:jc w:val="right"/>
            </w:pPr>
            <w:r>
              <w:rPr>
                <w:rFonts w:eastAsiaTheme="minorEastAsia"/>
                <w:kern w:val="0"/>
                <w:szCs w:val="21"/>
              </w:rPr>
              <w:t>1,507,100</w:t>
            </w:r>
          </w:p>
        </w:tc>
        <w:tc>
          <w:tcPr>
            <w:tcW w:w="1842" w:type="dxa"/>
            <w:vAlign w:val="center"/>
          </w:tcPr>
          <w:p w:rsidR="00E32D50" w:rsidRDefault="00BC2716">
            <w:pPr>
              <w:jc w:val="right"/>
            </w:pPr>
            <w:r>
              <w:rPr>
                <w:rFonts w:eastAsiaTheme="minorEastAsia"/>
                <w:kern w:val="0"/>
                <w:szCs w:val="21"/>
              </w:rPr>
              <w:t>19,999,217.00</w:t>
            </w:r>
          </w:p>
        </w:tc>
        <w:tc>
          <w:tcPr>
            <w:tcW w:w="1616" w:type="dxa"/>
            <w:vAlign w:val="center"/>
          </w:tcPr>
          <w:p w:rsidR="00E32D50" w:rsidRDefault="00BC2716">
            <w:pPr>
              <w:jc w:val="right"/>
            </w:pPr>
            <w:r>
              <w:rPr>
                <w:rFonts w:eastAsiaTheme="minorEastAsia"/>
                <w:kern w:val="0"/>
                <w:szCs w:val="21"/>
              </w:rPr>
              <w:t>2.18</w:t>
            </w:r>
          </w:p>
        </w:tc>
      </w:tr>
      <w:tr w:rsidR="00E32D50">
        <w:tc>
          <w:tcPr>
            <w:tcW w:w="817" w:type="dxa"/>
            <w:vAlign w:val="center"/>
          </w:tcPr>
          <w:p w:rsidR="00E32D50" w:rsidRDefault="00BC2716">
            <w:pPr>
              <w:jc w:val="center"/>
            </w:pPr>
            <w:r>
              <w:rPr>
                <w:rFonts w:eastAsiaTheme="minorEastAsia"/>
                <w:kern w:val="0"/>
                <w:szCs w:val="21"/>
              </w:rPr>
              <w:t>9</w:t>
            </w:r>
          </w:p>
        </w:tc>
        <w:tc>
          <w:tcPr>
            <w:tcW w:w="1276" w:type="dxa"/>
            <w:vAlign w:val="center"/>
          </w:tcPr>
          <w:p w:rsidR="00E32D50" w:rsidRDefault="00BC2716">
            <w:pPr>
              <w:jc w:val="center"/>
            </w:pPr>
            <w:r>
              <w:rPr>
                <w:rFonts w:eastAsiaTheme="minorEastAsia"/>
                <w:kern w:val="0"/>
                <w:szCs w:val="21"/>
              </w:rPr>
              <w:t>002318</w:t>
            </w:r>
          </w:p>
        </w:tc>
        <w:tc>
          <w:tcPr>
            <w:tcW w:w="1701" w:type="dxa"/>
            <w:vAlign w:val="center"/>
          </w:tcPr>
          <w:p w:rsidR="00E32D50" w:rsidRDefault="00BC2716">
            <w:pPr>
              <w:jc w:val="center"/>
            </w:pPr>
            <w:r>
              <w:rPr>
                <w:rFonts w:eastAsiaTheme="minorEastAsia"/>
                <w:kern w:val="0"/>
                <w:szCs w:val="21"/>
              </w:rPr>
              <w:t>久立特材</w:t>
            </w:r>
          </w:p>
        </w:tc>
        <w:tc>
          <w:tcPr>
            <w:tcW w:w="1276" w:type="dxa"/>
            <w:vAlign w:val="center"/>
          </w:tcPr>
          <w:p w:rsidR="00E32D50" w:rsidRDefault="00BC2716">
            <w:pPr>
              <w:jc w:val="right"/>
            </w:pPr>
            <w:r>
              <w:rPr>
                <w:rFonts w:eastAsiaTheme="minorEastAsia"/>
                <w:kern w:val="0"/>
                <w:szCs w:val="21"/>
              </w:rPr>
              <w:t>1,298,417</w:t>
            </w:r>
          </w:p>
        </w:tc>
        <w:tc>
          <w:tcPr>
            <w:tcW w:w="1842" w:type="dxa"/>
            <w:vAlign w:val="center"/>
          </w:tcPr>
          <w:p w:rsidR="00E32D50" w:rsidRDefault="00BC2716">
            <w:pPr>
              <w:jc w:val="right"/>
            </w:pPr>
            <w:r>
              <w:rPr>
                <w:rFonts w:eastAsiaTheme="minorEastAsia"/>
                <w:kern w:val="0"/>
                <w:szCs w:val="21"/>
              </w:rPr>
              <w:t>19,125,682.41</w:t>
            </w:r>
          </w:p>
        </w:tc>
        <w:tc>
          <w:tcPr>
            <w:tcW w:w="1616" w:type="dxa"/>
            <w:vAlign w:val="center"/>
          </w:tcPr>
          <w:p w:rsidR="00E32D50" w:rsidRDefault="00BC2716">
            <w:pPr>
              <w:jc w:val="right"/>
            </w:pPr>
            <w:r>
              <w:rPr>
                <w:rFonts w:eastAsiaTheme="minorEastAsia"/>
                <w:kern w:val="0"/>
                <w:szCs w:val="21"/>
              </w:rPr>
              <w:t>2.08</w:t>
            </w:r>
          </w:p>
        </w:tc>
      </w:tr>
      <w:tr w:rsidR="00E32D50">
        <w:tc>
          <w:tcPr>
            <w:tcW w:w="817" w:type="dxa"/>
            <w:vAlign w:val="center"/>
          </w:tcPr>
          <w:p w:rsidR="00E32D50" w:rsidRDefault="00BC2716">
            <w:pPr>
              <w:jc w:val="center"/>
            </w:pPr>
            <w:r>
              <w:rPr>
                <w:rFonts w:eastAsiaTheme="minorEastAsia"/>
                <w:kern w:val="0"/>
                <w:szCs w:val="21"/>
              </w:rPr>
              <w:t>10</w:t>
            </w:r>
          </w:p>
        </w:tc>
        <w:tc>
          <w:tcPr>
            <w:tcW w:w="1276" w:type="dxa"/>
            <w:vAlign w:val="center"/>
          </w:tcPr>
          <w:p w:rsidR="00E32D50" w:rsidRDefault="00BC2716">
            <w:pPr>
              <w:jc w:val="center"/>
            </w:pPr>
            <w:r>
              <w:rPr>
                <w:rFonts w:eastAsiaTheme="minorEastAsia"/>
                <w:kern w:val="0"/>
                <w:szCs w:val="21"/>
              </w:rPr>
              <w:t>600690</w:t>
            </w:r>
          </w:p>
        </w:tc>
        <w:tc>
          <w:tcPr>
            <w:tcW w:w="1701" w:type="dxa"/>
            <w:vAlign w:val="center"/>
          </w:tcPr>
          <w:p w:rsidR="00E32D50" w:rsidRDefault="00BC2716">
            <w:pPr>
              <w:jc w:val="center"/>
            </w:pPr>
            <w:r>
              <w:rPr>
                <w:rFonts w:eastAsiaTheme="minorEastAsia"/>
                <w:kern w:val="0"/>
                <w:szCs w:val="21"/>
              </w:rPr>
              <w:t>海尔智家</w:t>
            </w:r>
          </w:p>
        </w:tc>
        <w:tc>
          <w:tcPr>
            <w:tcW w:w="1276" w:type="dxa"/>
            <w:vAlign w:val="center"/>
          </w:tcPr>
          <w:p w:rsidR="00E32D50" w:rsidRDefault="00BC2716">
            <w:pPr>
              <w:jc w:val="right"/>
            </w:pPr>
            <w:r>
              <w:rPr>
                <w:rFonts w:eastAsiaTheme="minorEastAsia"/>
                <w:kern w:val="0"/>
                <w:szCs w:val="21"/>
              </w:rPr>
              <w:t>799,200</w:t>
            </w:r>
          </w:p>
        </w:tc>
        <w:tc>
          <w:tcPr>
            <w:tcW w:w="1842" w:type="dxa"/>
            <w:vAlign w:val="center"/>
          </w:tcPr>
          <w:p w:rsidR="00E32D50" w:rsidRDefault="00BC2716">
            <w:pPr>
              <w:jc w:val="right"/>
            </w:pPr>
            <w:r>
              <w:rPr>
                <w:rFonts w:eastAsiaTheme="minorEastAsia"/>
                <w:kern w:val="0"/>
                <w:szCs w:val="21"/>
              </w:rPr>
              <w:t>18,461,520.00</w:t>
            </w:r>
          </w:p>
        </w:tc>
        <w:tc>
          <w:tcPr>
            <w:tcW w:w="1616" w:type="dxa"/>
            <w:vAlign w:val="center"/>
          </w:tcPr>
          <w:p w:rsidR="00E32D50" w:rsidRDefault="00BC2716">
            <w:pPr>
              <w:jc w:val="right"/>
            </w:pPr>
            <w:r>
              <w:rPr>
                <w:rFonts w:eastAsiaTheme="minorEastAsia"/>
                <w:kern w:val="0"/>
                <w:szCs w:val="21"/>
              </w:rPr>
              <w:t>2.01</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90,762,540.75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103,586,347.95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11.27</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72,720,506.85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19,195,819.73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213,544,708.43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E32D50">
        <w:tc>
          <w:tcPr>
            <w:tcW w:w="1504" w:type="dxa"/>
            <w:vAlign w:val="center"/>
          </w:tcPr>
          <w:p w:rsidR="00E32D50" w:rsidRDefault="00BC2716">
            <w:pPr>
              <w:jc w:val="center"/>
            </w:pPr>
            <w:r>
              <w:rPr>
                <w:rFonts w:eastAsiaTheme="minorEastAsia"/>
                <w:color w:val="000000" w:themeColor="text1"/>
                <w:szCs w:val="21"/>
              </w:rPr>
              <w:t>1</w:t>
            </w:r>
          </w:p>
        </w:tc>
        <w:tc>
          <w:tcPr>
            <w:tcW w:w="1504" w:type="dxa"/>
            <w:vAlign w:val="center"/>
          </w:tcPr>
          <w:p w:rsidR="00E32D50" w:rsidRDefault="00BC2716">
            <w:pPr>
              <w:jc w:val="center"/>
            </w:pPr>
            <w:r>
              <w:rPr>
                <w:rFonts w:eastAsiaTheme="minorEastAsia"/>
                <w:color w:val="000000" w:themeColor="text1"/>
                <w:szCs w:val="21"/>
              </w:rPr>
              <w:t>019658</w:t>
            </w:r>
          </w:p>
        </w:tc>
        <w:tc>
          <w:tcPr>
            <w:tcW w:w="1504" w:type="dxa"/>
            <w:vAlign w:val="center"/>
          </w:tcPr>
          <w:p w:rsidR="00E32D50" w:rsidRDefault="00BC2716">
            <w:pPr>
              <w:jc w:val="center"/>
            </w:pPr>
            <w:r>
              <w:rPr>
                <w:rFonts w:eastAsiaTheme="minorEastAsia"/>
                <w:color w:val="000000" w:themeColor="text1"/>
                <w:szCs w:val="21"/>
              </w:rPr>
              <w:t>21</w:t>
            </w:r>
            <w:r>
              <w:rPr>
                <w:rFonts w:eastAsiaTheme="minorEastAsia"/>
                <w:color w:val="000000" w:themeColor="text1"/>
                <w:szCs w:val="21"/>
              </w:rPr>
              <w:t>国债</w:t>
            </w:r>
            <w:r>
              <w:rPr>
                <w:rFonts w:eastAsiaTheme="minorEastAsia"/>
                <w:color w:val="000000" w:themeColor="text1"/>
                <w:szCs w:val="21"/>
              </w:rPr>
              <w:t>10</w:t>
            </w:r>
          </w:p>
        </w:tc>
        <w:tc>
          <w:tcPr>
            <w:tcW w:w="1503" w:type="dxa"/>
            <w:vAlign w:val="center"/>
          </w:tcPr>
          <w:p w:rsidR="00E32D50" w:rsidRDefault="00BC2716">
            <w:pPr>
              <w:jc w:val="right"/>
            </w:pPr>
            <w:r>
              <w:rPr>
                <w:rFonts w:eastAsiaTheme="minorEastAsia"/>
                <w:color w:val="000000" w:themeColor="text1"/>
                <w:szCs w:val="21"/>
              </w:rPr>
              <w:t>895,480</w:t>
            </w:r>
          </w:p>
        </w:tc>
        <w:tc>
          <w:tcPr>
            <w:tcW w:w="1503" w:type="dxa"/>
            <w:vAlign w:val="center"/>
          </w:tcPr>
          <w:p w:rsidR="00E32D50" w:rsidRDefault="00BC2716">
            <w:pPr>
              <w:jc w:val="right"/>
            </w:pPr>
            <w:r>
              <w:rPr>
                <w:rFonts w:eastAsiaTheme="minorEastAsia"/>
                <w:color w:val="000000" w:themeColor="text1"/>
                <w:szCs w:val="21"/>
              </w:rPr>
              <w:t>90,762,540.75</w:t>
            </w:r>
          </w:p>
        </w:tc>
        <w:tc>
          <w:tcPr>
            <w:tcW w:w="1503" w:type="dxa"/>
            <w:vAlign w:val="center"/>
          </w:tcPr>
          <w:p w:rsidR="00E32D50" w:rsidRDefault="00BC2716">
            <w:pPr>
              <w:jc w:val="right"/>
            </w:pPr>
            <w:r>
              <w:rPr>
                <w:rFonts w:eastAsiaTheme="minorEastAsia"/>
                <w:color w:val="000000" w:themeColor="text1"/>
                <w:szCs w:val="21"/>
              </w:rPr>
              <w:t>9.88</w:t>
            </w:r>
          </w:p>
        </w:tc>
      </w:tr>
      <w:tr w:rsidR="00E32D50">
        <w:tc>
          <w:tcPr>
            <w:tcW w:w="1504" w:type="dxa"/>
            <w:vAlign w:val="center"/>
          </w:tcPr>
          <w:p w:rsidR="00E32D50" w:rsidRDefault="00BC2716">
            <w:pPr>
              <w:jc w:val="center"/>
            </w:pPr>
            <w:r>
              <w:rPr>
                <w:rFonts w:eastAsiaTheme="minorEastAsia"/>
                <w:color w:val="000000" w:themeColor="text1"/>
                <w:szCs w:val="21"/>
              </w:rPr>
              <w:t>2</w:t>
            </w:r>
          </w:p>
        </w:tc>
        <w:tc>
          <w:tcPr>
            <w:tcW w:w="1504" w:type="dxa"/>
            <w:vAlign w:val="center"/>
          </w:tcPr>
          <w:p w:rsidR="00E32D50" w:rsidRDefault="00BC2716">
            <w:pPr>
              <w:jc w:val="center"/>
            </w:pPr>
            <w:r>
              <w:rPr>
                <w:rFonts w:eastAsiaTheme="minorEastAsia"/>
                <w:color w:val="000000" w:themeColor="text1"/>
                <w:szCs w:val="21"/>
              </w:rPr>
              <w:t>018006</w:t>
            </w:r>
          </w:p>
        </w:tc>
        <w:tc>
          <w:tcPr>
            <w:tcW w:w="1504" w:type="dxa"/>
            <w:vAlign w:val="center"/>
          </w:tcPr>
          <w:p w:rsidR="00E32D50" w:rsidRDefault="00BC2716">
            <w:pPr>
              <w:jc w:val="center"/>
            </w:pPr>
            <w:r>
              <w:rPr>
                <w:rFonts w:eastAsiaTheme="minorEastAsia"/>
                <w:color w:val="000000" w:themeColor="text1"/>
                <w:szCs w:val="21"/>
              </w:rPr>
              <w:t>国开</w:t>
            </w:r>
            <w:r>
              <w:rPr>
                <w:rFonts w:eastAsiaTheme="minorEastAsia"/>
                <w:color w:val="000000" w:themeColor="text1"/>
                <w:szCs w:val="21"/>
              </w:rPr>
              <w:t>1702</w:t>
            </w:r>
          </w:p>
        </w:tc>
        <w:tc>
          <w:tcPr>
            <w:tcW w:w="1503" w:type="dxa"/>
            <w:vAlign w:val="center"/>
          </w:tcPr>
          <w:p w:rsidR="00E32D50" w:rsidRDefault="00BC2716">
            <w:pPr>
              <w:jc w:val="right"/>
            </w:pPr>
            <w:r>
              <w:rPr>
                <w:rFonts w:eastAsiaTheme="minorEastAsia"/>
                <w:color w:val="000000" w:themeColor="text1"/>
                <w:szCs w:val="21"/>
              </w:rPr>
              <w:t>700,000</w:t>
            </w:r>
          </w:p>
        </w:tc>
        <w:tc>
          <w:tcPr>
            <w:tcW w:w="1503" w:type="dxa"/>
            <w:vAlign w:val="center"/>
          </w:tcPr>
          <w:p w:rsidR="00E32D50" w:rsidRDefault="00BC2716">
            <w:pPr>
              <w:jc w:val="right"/>
            </w:pPr>
            <w:r>
              <w:rPr>
                <w:rFonts w:eastAsiaTheme="minorEastAsia"/>
                <w:color w:val="000000" w:themeColor="text1"/>
                <w:szCs w:val="21"/>
              </w:rPr>
              <w:t>72,720,506.85</w:t>
            </w:r>
          </w:p>
        </w:tc>
        <w:tc>
          <w:tcPr>
            <w:tcW w:w="1503" w:type="dxa"/>
            <w:vAlign w:val="center"/>
          </w:tcPr>
          <w:p w:rsidR="00E32D50" w:rsidRDefault="00BC2716">
            <w:pPr>
              <w:jc w:val="right"/>
            </w:pPr>
            <w:r>
              <w:rPr>
                <w:rFonts w:eastAsiaTheme="minorEastAsia"/>
                <w:color w:val="000000" w:themeColor="text1"/>
                <w:szCs w:val="21"/>
              </w:rPr>
              <w:t>7.91</w:t>
            </w:r>
          </w:p>
        </w:tc>
      </w:tr>
      <w:tr w:rsidR="00E32D50">
        <w:tc>
          <w:tcPr>
            <w:tcW w:w="1504" w:type="dxa"/>
            <w:vAlign w:val="center"/>
          </w:tcPr>
          <w:p w:rsidR="00E32D50" w:rsidRDefault="00BC2716">
            <w:pPr>
              <w:jc w:val="center"/>
            </w:pPr>
            <w:r>
              <w:rPr>
                <w:rFonts w:eastAsiaTheme="minorEastAsia"/>
                <w:color w:val="000000" w:themeColor="text1"/>
                <w:szCs w:val="21"/>
              </w:rPr>
              <w:t>3</w:t>
            </w:r>
          </w:p>
        </w:tc>
        <w:tc>
          <w:tcPr>
            <w:tcW w:w="1504" w:type="dxa"/>
            <w:vAlign w:val="center"/>
          </w:tcPr>
          <w:p w:rsidR="00E32D50" w:rsidRDefault="00BC2716">
            <w:pPr>
              <w:jc w:val="center"/>
            </w:pPr>
            <w:r>
              <w:rPr>
                <w:rFonts w:eastAsiaTheme="minorEastAsia"/>
                <w:color w:val="000000" w:themeColor="text1"/>
                <w:szCs w:val="21"/>
              </w:rPr>
              <w:t>2120065</w:t>
            </w:r>
          </w:p>
        </w:tc>
        <w:tc>
          <w:tcPr>
            <w:tcW w:w="1504" w:type="dxa"/>
            <w:vAlign w:val="center"/>
          </w:tcPr>
          <w:p w:rsidR="00E32D50" w:rsidRDefault="00BC2716">
            <w:pPr>
              <w:jc w:val="center"/>
            </w:pPr>
            <w:r>
              <w:rPr>
                <w:rFonts w:eastAsiaTheme="minorEastAsia"/>
                <w:color w:val="000000" w:themeColor="text1"/>
                <w:szCs w:val="21"/>
              </w:rPr>
              <w:t>21</w:t>
            </w:r>
            <w:r>
              <w:rPr>
                <w:rFonts w:eastAsiaTheme="minorEastAsia"/>
                <w:color w:val="000000" w:themeColor="text1"/>
                <w:szCs w:val="21"/>
              </w:rPr>
              <w:t>桂林银行三农债</w:t>
            </w:r>
            <w:r>
              <w:rPr>
                <w:rFonts w:eastAsiaTheme="minorEastAsia"/>
                <w:color w:val="000000" w:themeColor="text1"/>
                <w:szCs w:val="21"/>
              </w:rPr>
              <w:t>02</w:t>
            </w:r>
          </w:p>
        </w:tc>
        <w:tc>
          <w:tcPr>
            <w:tcW w:w="1503" w:type="dxa"/>
            <w:vAlign w:val="center"/>
          </w:tcPr>
          <w:p w:rsidR="00E32D50" w:rsidRDefault="00BC2716">
            <w:pPr>
              <w:jc w:val="right"/>
            </w:pPr>
            <w:r>
              <w:rPr>
                <w:rFonts w:eastAsiaTheme="minorEastAsia"/>
                <w:color w:val="000000" w:themeColor="text1"/>
                <w:szCs w:val="21"/>
              </w:rPr>
              <w:t>300,000</w:t>
            </w:r>
          </w:p>
        </w:tc>
        <w:tc>
          <w:tcPr>
            <w:tcW w:w="1503" w:type="dxa"/>
            <w:vAlign w:val="center"/>
          </w:tcPr>
          <w:p w:rsidR="00E32D50" w:rsidRDefault="00BC2716">
            <w:pPr>
              <w:jc w:val="right"/>
            </w:pPr>
            <w:r>
              <w:rPr>
                <w:rFonts w:eastAsiaTheme="minorEastAsia"/>
                <w:color w:val="000000" w:themeColor="text1"/>
                <w:szCs w:val="21"/>
              </w:rPr>
              <w:t>30,865,841.10</w:t>
            </w:r>
          </w:p>
        </w:tc>
        <w:tc>
          <w:tcPr>
            <w:tcW w:w="1503" w:type="dxa"/>
            <w:vAlign w:val="center"/>
          </w:tcPr>
          <w:p w:rsidR="00E32D50" w:rsidRDefault="00BC2716">
            <w:pPr>
              <w:jc w:val="right"/>
            </w:pPr>
            <w:r>
              <w:rPr>
                <w:rFonts w:eastAsiaTheme="minorEastAsia"/>
                <w:color w:val="000000" w:themeColor="text1"/>
                <w:szCs w:val="21"/>
              </w:rPr>
              <w:t>3.36</w:t>
            </w:r>
          </w:p>
        </w:tc>
      </w:tr>
      <w:tr w:rsidR="00E32D50">
        <w:tc>
          <w:tcPr>
            <w:tcW w:w="1504" w:type="dxa"/>
            <w:vAlign w:val="center"/>
          </w:tcPr>
          <w:p w:rsidR="00E32D50" w:rsidRDefault="00BC2716">
            <w:pPr>
              <w:jc w:val="center"/>
            </w:pPr>
            <w:r>
              <w:rPr>
                <w:rFonts w:eastAsiaTheme="minorEastAsia"/>
                <w:color w:val="000000" w:themeColor="text1"/>
                <w:szCs w:val="21"/>
              </w:rPr>
              <w:t>4</w:t>
            </w:r>
          </w:p>
        </w:tc>
        <w:tc>
          <w:tcPr>
            <w:tcW w:w="1504" w:type="dxa"/>
            <w:vAlign w:val="center"/>
          </w:tcPr>
          <w:p w:rsidR="00E32D50" w:rsidRDefault="00BC2716">
            <w:pPr>
              <w:jc w:val="center"/>
            </w:pPr>
            <w:r>
              <w:rPr>
                <w:rFonts w:eastAsiaTheme="minorEastAsia"/>
                <w:color w:val="000000" w:themeColor="text1"/>
                <w:szCs w:val="21"/>
              </w:rPr>
              <w:t>136767</w:t>
            </w:r>
          </w:p>
        </w:tc>
        <w:tc>
          <w:tcPr>
            <w:tcW w:w="1504" w:type="dxa"/>
            <w:vAlign w:val="center"/>
          </w:tcPr>
          <w:p w:rsidR="00E32D50" w:rsidRDefault="00BC2716">
            <w:pPr>
              <w:jc w:val="center"/>
            </w:pPr>
            <w:r>
              <w:rPr>
                <w:rFonts w:eastAsiaTheme="minorEastAsia"/>
                <w:color w:val="000000" w:themeColor="text1"/>
                <w:szCs w:val="21"/>
              </w:rPr>
              <w:t>16</w:t>
            </w:r>
            <w:r>
              <w:rPr>
                <w:rFonts w:eastAsiaTheme="minorEastAsia"/>
                <w:color w:val="000000" w:themeColor="text1"/>
                <w:szCs w:val="21"/>
              </w:rPr>
              <w:t>油服</w:t>
            </w:r>
            <w:r>
              <w:rPr>
                <w:rFonts w:eastAsiaTheme="minorEastAsia"/>
                <w:color w:val="000000" w:themeColor="text1"/>
                <w:szCs w:val="21"/>
              </w:rPr>
              <w:t>04</w:t>
            </w:r>
          </w:p>
        </w:tc>
        <w:tc>
          <w:tcPr>
            <w:tcW w:w="1503" w:type="dxa"/>
            <w:vAlign w:val="center"/>
          </w:tcPr>
          <w:p w:rsidR="00E32D50" w:rsidRDefault="00BC2716">
            <w:pPr>
              <w:jc w:val="right"/>
            </w:pPr>
            <w:r>
              <w:rPr>
                <w:rFonts w:eastAsiaTheme="minorEastAsia"/>
                <w:color w:val="000000" w:themeColor="text1"/>
                <w:szCs w:val="21"/>
              </w:rPr>
              <w:t>190,000</w:t>
            </w:r>
          </w:p>
        </w:tc>
        <w:tc>
          <w:tcPr>
            <w:tcW w:w="1503" w:type="dxa"/>
            <w:vAlign w:val="center"/>
          </w:tcPr>
          <w:p w:rsidR="00E32D50" w:rsidRDefault="00BC2716">
            <w:pPr>
              <w:jc w:val="right"/>
            </w:pPr>
            <w:r>
              <w:rPr>
                <w:rFonts w:eastAsiaTheme="minorEastAsia"/>
                <w:color w:val="000000" w:themeColor="text1"/>
                <w:szCs w:val="21"/>
              </w:rPr>
              <w:t>19,195,819.73</w:t>
            </w:r>
          </w:p>
        </w:tc>
        <w:tc>
          <w:tcPr>
            <w:tcW w:w="1503" w:type="dxa"/>
            <w:vAlign w:val="center"/>
          </w:tcPr>
          <w:p w:rsidR="00E32D50" w:rsidRDefault="00BC2716">
            <w:pPr>
              <w:jc w:val="right"/>
            </w:pPr>
            <w:r>
              <w:rPr>
                <w:rFonts w:eastAsiaTheme="minorEastAsia"/>
                <w:color w:val="000000" w:themeColor="text1"/>
                <w:szCs w:val="21"/>
              </w:rPr>
              <w:t>2.09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248,893.93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6,608,202.42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29,008.57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6,886,108.76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H</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1,061,320,915.61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692,643.66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9,059,244.47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542,696.00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20,252,135.13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156,282.33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1,050,128,024.95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1,079,057.33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中国证监会批准上投摩根双息平衡混合型证券投资基金设立的文件；</w:t>
      </w:r>
      <w:r>
        <w:rPr>
          <w:rFonts w:eastAsiaTheme="minorEastAsia"/>
          <w:color w:val="000000" w:themeColor="text1"/>
          <w:szCs w:val="21"/>
        </w:rPr>
        <w:t xml:space="preserve"> </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《上投摩根双息平衡混合型证券投资基金基金合同》；</w:t>
      </w:r>
      <w:r>
        <w:rPr>
          <w:rFonts w:eastAsiaTheme="minorEastAsia"/>
          <w:color w:val="000000" w:themeColor="text1"/>
          <w:szCs w:val="21"/>
        </w:rPr>
        <w:t xml:space="preserve"> </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《上投摩根双息平衡混合型证券投资基金托管协议》；</w:t>
      </w:r>
      <w:r>
        <w:rPr>
          <w:rFonts w:eastAsiaTheme="minorEastAsia"/>
          <w:color w:val="000000" w:themeColor="text1"/>
          <w:szCs w:val="21"/>
        </w:rPr>
        <w:t xml:space="preserve"> </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E32D50" w:rsidRDefault="00BC271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C271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C2716">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C2716">
      <w:rPr>
        <w:rStyle w:val="af6"/>
        <w:noProof/>
      </w:rPr>
      <w:t>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上投摩根双息平衡混合型证券投资基金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716"/>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2D50"/>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7B103C-6A92-450D-B092-0D60972A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16</Pages>
  <Words>1430</Words>
  <Characters>8151</Characters>
  <Application>Microsoft Office Word</Application>
  <DocSecurity>0</DocSecurity>
  <Lines>67</Lines>
  <Paragraphs>19</Paragraphs>
  <ScaleCrop>false</ScaleCrop>
  <Company>TRT. Ltd. Co.</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218</cp:revision>
  <cp:lastPrinted>2007-07-19T00:46:00Z</cp:lastPrinted>
  <dcterms:created xsi:type="dcterms:W3CDTF">2013-06-21T06:56:00Z</dcterms:created>
  <dcterms:modified xsi:type="dcterms:W3CDTF">2022-04-21T02:15:00Z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