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上投摩根双核平衡混合型证券投资基金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基金托管人中国工商银行股份有限公司根据本基金合同规定，于</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上投摩根双核平衡混合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373020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373020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2008年5月21日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234,206,311.01</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、股票投资策略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价值投资注重股票内在价值的发现。在内在价值确定以后，通过股票市场价格和内在价值的比较，就可以明确投</w:t>
            </w:r>
            <w:r>
              <w:rPr>
                <w:rFonts w:asciiTheme="minorEastAsia" w:eastAsiaTheme="minorEastAsia" w:hAnsiTheme="minorEastAsia"/>
                <w:color w:val="000000" w:themeColor="text1"/>
                <w:kern w:val="0"/>
              </w:rPr>
              <w:lastRenderedPageBreak/>
              <w:t>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本基金将运用安全边际策略有</w:t>
            </w:r>
            <w:r>
              <w:rPr>
                <w:rFonts w:asciiTheme="minorEastAsia" w:eastAsiaTheme="minorEastAsia" w:hAnsiTheme="minorEastAsia"/>
                <w:color w:val="000000" w:themeColor="text1"/>
                <w:kern w:val="0"/>
              </w:rPr>
              <w:t>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asciiTheme="minorEastAsia" w:eastAsiaTheme="minorEastAsia" w:hAnsiTheme="minorEastAsia"/>
                <w:color w:val="000000" w:themeColor="text1"/>
                <w:kern w:val="0"/>
              </w:rPr>
              <w:t>P/E</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P/CFPS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P/B</w:t>
            </w:r>
            <w:r>
              <w:rPr>
                <w:rFonts w:asciiTheme="minorEastAsia" w:eastAsiaTheme="minorEastAsia" w:hAnsiTheme="minorEastAsia"/>
                <w:color w:val="000000" w:themeColor="text1"/>
                <w:kern w:val="0"/>
              </w:rPr>
              <w:t>等乘数法和</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增长模型建立股票选择池。</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）宏观经济分析</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本基金基于对宏观经济运行状况及政策分析、财政政策与货币政策运行状况分析、行业运行景气状况分析的基础上，重点判断宏观经济周期对市场不同行业的影响，作为</w:t>
            </w:r>
            <w:r>
              <w:rPr>
                <w:rFonts w:asciiTheme="minorEastAsia" w:eastAsiaTheme="minorEastAsia" w:hAnsiTheme="minorEastAsia"/>
                <w:color w:val="000000" w:themeColor="text1"/>
                <w:kern w:val="0"/>
              </w:rPr>
              <w:t>资产配置的依据。同时根据宏观经济对市场影响的分析，初步判断市场的多空方向，决定大类资产配置。</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）行业分析</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）公司质地分析</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w:t>
            </w:r>
            <w:r>
              <w:rPr>
                <w:rFonts w:asciiTheme="minorEastAsia" w:eastAsiaTheme="minorEastAsia" w:hAnsiTheme="minorEastAsia"/>
                <w:color w:val="000000" w:themeColor="text1"/>
                <w:kern w:val="0"/>
              </w:rPr>
              <w:lastRenderedPageBreak/>
              <w:t>方面或多个方面具有竞争对手在短时间内难以模仿的显著优势，从而能够获得超越行业平均的盈利水平和增长速度。本基金将通过包括实际调研在内的多种分析手段，对上市公司质地进行判断。</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）股票估值水平分析</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）计算出股票的内在价值，然后在第二阶段采用乘数估值法（</w:t>
            </w:r>
            <w:r>
              <w:rPr>
                <w:rFonts w:asciiTheme="minorEastAsia" w:eastAsiaTheme="minorEastAsia" w:hAnsiTheme="minorEastAsia"/>
                <w:color w:val="000000" w:themeColor="text1"/>
                <w:kern w:val="0"/>
              </w:rPr>
              <w:t>Multiple</w:t>
            </w:r>
            <w:r>
              <w:rPr>
                <w:rFonts w:asciiTheme="minorEastAsia" w:eastAsiaTheme="minorEastAsia" w:hAnsiTheme="minorEastAsia"/>
                <w:color w:val="000000" w:themeColor="text1"/>
                <w:kern w:val="0"/>
              </w:rPr>
              <w:t>），通过对对同行业公司的情况对样本公司价值进行比较修正，使得对于股票价值的评估更加准确可靠。</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、固定收益类投资策略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本基金的债券投资策略是建立在对债券核心内在价值的认识上。我们将采用更为有效的</w:t>
            </w:r>
            <w:r>
              <w:rPr>
                <w:rFonts w:asciiTheme="minorEastAsia" w:eastAsiaTheme="minorEastAsia" w:hAnsiTheme="minorEastAsia"/>
                <w:color w:val="000000" w:themeColor="text1"/>
                <w:kern w:val="0"/>
              </w:rPr>
              <w:t>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）骑乘收</w:t>
            </w:r>
            <w:r>
              <w:rPr>
                <w:rFonts w:asciiTheme="minorEastAsia" w:eastAsiaTheme="minorEastAsia" w:hAnsiTheme="minorEastAsia"/>
                <w:color w:val="000000" w:themeColor="text1"/>
                <w:kern w:val="0"/>
              </w:rPr>
              <w:t>益率曲线策略：骑乘收益率曲线策略是短期货币市场证券管理中流行的一种策略。具体操作时买入收</w:t>
            </w:r>
            <w:r>
              <w:rPr>
                <w:rFonts w:asciiTheme="minorEastAsia" w:eastAsiaTheme="minorEastAsia" w:hAnsiTheme="minorEastAsia"/>
                <w:color w:val="000000" w:themeColor="text1"/>
                <w:kern w:val="0"/>
              </w:rPr>
              <w:lastRenderedPageBreak/>
              <w:t>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w:t>
            </w:r>
            <w:r>
              <w:rPr>
                <w:rFonts w:asciiTheme="minorEastAsia" w:eastAsiaTheme="minorEastAsia" w:hAnsiTheme="minorEastAsia"/>
                <w:color w:val="000000" w:themeColor="text1"/>
                <w:kern w:val="0"/>
              </w:rPr>
              <w:t>债、银行间国债、银行间金融债等子市场。结合各类属资产的市场容量、信用等级和流动性特点，在此基础上运用修正的均值</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方差等模型，定期对投资组合类属资产进行最优化配置和调整，确定类属资产的最优权重。</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、权证投资策略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asciiTheme="minorEastAsia" w:eastAsiaTheme="minorEastAsia" w:hAnsiTheme="minorEastAsia"/>
                <w:color w:val="000000" w:themeColor="text1"/>
                <w:kern w:val="0"/>
              </w:rPr>
              <w:t>Black-Scholes Pricing Model(BSPM)</w:t>
            </w:r>
            <w:r>
              <w:rPr>
                <w:rFonts w:asciiTheme="minorEastAsia" w:eastAsiaTheme="minorEastAsia" w:hAnsiTheme="minorEastAsia"/>
                <w:color w:val="000000" w:themeColor="text1"/>
                <w:kern w:val="0"/>
              </w:rPr>
              <w:t>对权证进行估价。对于股票基本面和投资价值的判</w:t>
            </w:r>
            <w:r>
              <w:rPr>
                <w:rFonts w:asciiTheme="minorEastAsia" w:eastAsiaTheme="minorEastAsia" w:hAnsiTheme="minorEastAsia"/>
                <w:color w:val="000000" w:themeColor="text1"/>
                <w:kern w:val="0"/>
              </w:rPr>
              <w:t>断一贯是本公司投资的重要依据。在投资权证前，基金管理人员和研究员应对标的股票的基本面和内在价值作出分析判断。</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、资产支持证券投资策略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lastRenderedPageBreak/>
              <w:t>5</w:t>
            </w:r>
            <w:r>
              <w:rPr>
                <w:rFonts w:asciiTheme="minorEastAsia" w:eastAsiaTheme="minorEastAsia" w:hAnsiTheme="minorEastAsia"/>
                <w:color w:val="000000" w:themeColor="text1"/>
                <w:kern w:val="0"/>
              </w:rPr>
              <w:t>、资产配置策略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资产配置是本基金资产管理的重要环节。本基金是一只注重价值投资的平衡型基金，资产配置策略依据对宏观经济、股市政策、市场趋势等因素的判</w:t>
            </w:r>
            <w:r>
              <w:rPr>
                <w:rFonts w:asciiTheme="minorEastAsia" w:eastAsiaTheme="minorEastAsia" w:hAnsiTheme="minorEastAsia"/>
                <w:color w:val="000000" w:themeColor="text1"/>
                <w:kern w:val="0"/>
              </w:rPr>
              <w:t>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w:t>
            </w:r>
            <w:r>
              <w:rPr>
                <w:rFonts w:asciiTheme="minorEastAsia" w:eastAsiaTheme="minorEastAsia" w:hAnsiTheme="minorEastAsia"/>
                <w:color w:val="000000" w:themeColor="text1"/>
                <w:kern w:val="0"/>
              </w:rPr>
              <w:t>产时，本基金将降低权益类资产的配置比例；相反，在股票市场安全边际增厚时，本基金将相应增加权益类资产的配置比例。</w:t>
            </w:r>
          </w:p>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6</w:t>
            </w:r>
            <w:r>
              <w:rPr>
                <w:rFonts w:asciiTheme="minorEastAsia" w:eastAsiaTheme="minorEastAsia" w:hAnsiTheme="minorEastAsia"/>
                <w:color w:val="000000" w:themeColor="text1"/>
                <w:kern w:val="0"/>
              </w:rPr>
              <w:t>、存托凭证投资策略</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本基金将根据本基金的投资目标和股票投资策略，基于对基础证券投资价值的深入研究判断，进行存托凭证的投资。</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沪深300指数收益率×50%＋上证国债指数收益率×50％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223DF0" w:rsidRDefault="00E72BDA">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本基金是混合型基金，在证券投资基金中属于中高风险品种，其预期风险收益水平低于股票型基金，高于债券基金与货币市场基金。</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w:t>
            </w:r>
            <w:r>
              <w:rPr>
                <w:rFonts w:asciiTheme="minorEastAsia" w:eastAsiaTheme="minorEastAsia" w:hAnsiTheme="minorEastAsia"/>
                <w:color w:val="000000" w:themeColor="text1"/>
                <w:kern w:val="0"/>
              </w:rPr>
              <w:lastRenderedPageBreak/>
              <w:t>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72BDA" w:rsidTr="00E72BDA">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2021年1月1日-2021年3月31日</w:t>
            </w:r>
            <w:r>
              <w:rPr>
                <w:rFonts w:asciiTheme="minorEastAsia" w:eastAsiaTheme="minorEastAsia" w:hAnsiTheme="minorEastAsia" w:cs="宋体" w:hint="eastAsia"/>
                <w:color w:val="000000" w:themeColor="text1"/>
              </w:rPr>
              <w:t>)</w:t>
            </w:r>
          </w:p>
        </w:tc>
      </w:tr>
      <w:tr w:rsidR="00E72BDA" w:rsidTr="00E72BDA">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50,440,518.71</w:t>
            </w:r>
          </w:p>
        </w:tc>
      </w:tr>
      <w:tr w:rsidR="00E72BDA" w:rsidTr="00E72BDA">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-41,052,205.04</w:t>
            </w:r>
          </w:p>
        </w:tc>
      </w:tr>
      <w:tr w:rsidR="00E72BDA" w:rsidTr="00E72BDA">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-0.1716</w:t>
            </w:r>
          </w:p>
        </w:tc>
      </w:tr>
      <w:tr w:rsidR="00E72BDA" w:rsidTr="00E72BDA">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594,446,629.13</w:t>
            </w:r>
          </w:p>
        </w:tc>
      </w:tr>
      <w:tr w:rsidR="00E72BDA" w:rsidTr="00E72BDA">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2.5381</w:t>
            </w:r>
          </w:p>
        </w:tc>
      </w:tr>
    </w:tbl>
    <w:p w:rsidR="00223DF0" w:rsidRDefault="00E72BD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t>过去三个月</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-6.51%</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1.69%</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-1.16%</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0.80%</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-5.35%</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0.89%</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t>过去六个月</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9.71%</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1.41%</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5.63%</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0.66%</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4.08%</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0.75%</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t>过去一年</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47.35%</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1.34%</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19.56%</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0.66%</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27.79%</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0.68%</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lastRenderedPageBreak/>
              <w:t>过去三年</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91.64%</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1.25%</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21.59%</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0.69%</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70.05%</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0.56%</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t>过去五年</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127.36%</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1.12%</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37.58%</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0.59%</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89.78%</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0.53%</w:t>
            </w:r>
          </w:p>
        </w:tc>
      </w:tr>
      <w:tr w:rsidR="00223DF0">
        <w:tc>
          <w:tcPr>
            <w:tcW w:w="1395" w:type="dxa"/>
            <w:vAlign w:val="center"/>
          </w:tcPr>
          <w:p w:rsidR="00223DF0" w:rsidRDefault="00E72BDA">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223DF0" w:rsidRDefault="00E72BDA">
            <w:pPr>
              <w:jc w:val="center"/>
            </w:pPr>
            <w:r>
              <w:rPr>
                <w:rFonts w:asciiTheme="minorEastAsia" w:eastAsiaTheme="minorEastAsia" w:hAnsiTheme="minorEastAsia"/>
                <w:color w:val="000000" w:themeColor="text1"/>
                <w:kern w:val="0"/>
              </w:rPr>
              <w:t>377.50%</w:t>
            </w:r>
          </w:p>
        </w:tc>
        <w:tc>
          <w:tcPr>
            <w:tcW w:w="1161" w:type="dxa"/>
            <w:vAlign w:val="center"/>
          </w:tcPr>
          <w:p w:rsidR="00223DF0" w:rsidRDefault="00E72BDA">
            <w:pPr>
              <w:jc w:val="center"/>
            </w:pPr>
            <w:r>
              <w:rPr>
                <w:rFonts w:asciiTheme="minorEastAsia" w:eastAsiaTheme="minorEastAsia" w:hAnsiTheme="minorEastAsia"/>
                <w:color w:val="000000" w:themeColor="text1"/>
                <w:kern w:val="0"/>
              </w:rPr>
              <w:t>1.22%</w:t>
            </w:r>
          </w:p>
        </w:tc>
        <w:tc>
          <w:tcPr>
            <w:tcW w:w="1181" w:type="dxa"/>
            <w:vAlign w:val="center"/>
          </w:tcPr>
          <w:p w:rsidR="00223DF0" w:rsidRDefault="00E72BDA">
            <w:pPr>
              <w:jc w:val="center"/>
            </w:pPr>
            <w:r>
              <w:rPr>
                <w:rFonts w:asciiTheme="minorEastAsia" w:eastAsiaTheme="minorEastAsia" w:hAnsiTheme="minorEastAsia"/>
                <w:color w:val="000000" w:themeColor="text1"/>
                <w:kern w:val="0"/>
              </w:rPr>
              <w:t>49.76%</w:t>
            </w:r>
          </w:p>
        </w:tc>
        <w:tc>
          <w:tcPr>
            <w:tcW w:w="1188" w:type="dxa"/>
            <w:vAlign w:val="center"/>
          </w:tcPr>
          <w:p w:rsidR="00223DF0" w:rsidRDefault="00E72BDA">
            <w:pPr>
              <w:jc w:val="center"/>
            </w:pPr>
            <w:r>
              <w:rPr>
                <w:rFonts w:asciiTheme="minorEastAsia" w:eastAsiaTheme="minorEastAsia" w:hAnsiTheme="minorEastAsia"/>
                <w:color w:val="000000" w:themeColor="text1"/>
                <w:kern w:val="0"/>
              </w:rPr>
              <w:t>0.81%</w:t>
            </w:r>
          </w:p>
        </w:tc>
        <w:tc>
          <w:tcPr>
            <w:tcW w:w="1199" w:type="dxa"/>
            <w:vAlign w:val="center"/>
          </w:tcPr>
          <w:p w:rsidR="00223DF0" w:rsidRDefault="00E72BDA">
            <w:pPr>
              <w:jc w:val="center"/>
            </w:pPr>
            <w:r>
              <w:rPr>
                <w:rFonts w:asciiTheme="minorEastAsia" w:eastAsiaTheme="minorEastAsia" w:hAnsiTheme="minorEastAsia"/>
                <w:color w:val="000000" w:themeColor="text1"/>
                <w:kern w:val="0"/>
              </w:rPr>
              <w:t>327.74%</w:t>
            </w:r>
          </w:p>
        </w:tc>
        <w:tc>
          <w:tcPr>
            <w:tcW w:w="1204" w:type="dxa"/>
            <w:vAlign w:val="center"/>
          </w:tcPr>
          <w:p w:rsidR="00223DF0" w:rsidRDefault="00E72BDA">
            <w:pPr>
              <w:jc w:val="center"/>
            </w:pPr>
            <w:r>
              <w:rPr>
                <w:rFonts w:asciiTheme="minorEastAsia" w:eastAsiaTheme="minorEastAsia" w:hAnsiTheme="minorEastAsia"/>
                <w:color w:val="000000" w:themeColor="text1"/>
                <w:kern w:val="0"/>
              </w:rPr>
              <w:t>0.41%</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上投摩根双核平衡混合型证券投资基金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2008年5月21日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223DF0" w:rsidRDefault="00E72BD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日，图示的时间段为合同生效日至本报告期末。</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本基金建仓期为本基金合同生效日起6个月，建仓期结束时资产配置比例符合本基金基金合同规定。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223DF0">
        <w:tc>
          <w:tcPr>
            <w:tcW w:w="851" w:type="dxa"/>
            <w:vAlign w:val="center"/>
          </w:tcPr>
          <w:p w:rsidR="00223DF0" w:rsidRDefault="00E72BDA">
            <w:pPr>
              <w:jc w:val="center"/>
            </w:pPr>
            <w:r>
              <w:rPr>
                <w:rFonts w:asciiTheme="minorEastAsia" w:eastAsiaTheme="minorEastAsia" w:hAnsiTheme="minorEastAsia"/>
                <w:color w:val="000000" w:themeColor="text1"/>
              </w:rPr>
              <w:lastRenderedPageBreak/>
              <w:t>陈思郁</w:t>
            </w:r>
          </w:p>
        </w:tc>
        <w:tc>
          <w:tcPr>
            <w:tcW w:w="850" w:type="dxa"/>
            <w:vAlign w:val="center"/>
          </w:tcPr>
          <w:p w:rsidR="00223DF0" w:rsidRDefault="00E72BDA">
            <w:pPr>
              <w:jc w:val="center"/>
            </w:pPr>
            <w:r>
              <w:rPr>
                <w:rFonts w:asciiTheme="minorEastAsia" w:eastAsiaTheme="minorEastAsia" w:hAnsiTheme="minorEastAsia"/>
                <w:color w:val="000000" w:themeColor="text1"/>
              </w:rPr>
              <w:t>本基金基金经理</w:t>
            </w:r>
          </w:p>
        </w:tc>
        <w:tc>
          <w:tcPr>
            <w:tcW w:w="1560" w:type="dxa"/>
            <w:vAlign w:val="center"/>
          </w:tcPr>
          <w:p w:rsidR="00223DF0" w:rsidRDefault="00E72BDA">
            <w:pPr>
              <w:jc w:val="center"/>
            </w:pPr>
            <w:r>
              <w:rPr>
                <w:rFonts w:asciiTheme="minorEastAsia" w:eastAsiaTheme="minorEastAsia" w:hAnsiTheme="minorEastAsia"/>
                <w:color w:val="000000" w:themeColor="text1"/>
              </w:rPr>
              <w:t>2015-08-04</w:t>
            </w:r>
          </w:p>
        </w:tc>
        <w:tc>
          <w:tcPr>
            <w:tcW w:w="1559" w:type="dxa"/>
            <w:vAlign w:val="center"/>
          </w:tcPr>
          <w:p w:rsidR="00223DF0" w:rsidRDefault="00E72BDA">
            <w:pPr>
              <w:jc w:val="center"/>
            </w:pPr>
            <w:r>
              <w:rPr>
                <w:rFonts w:asciiTheme="minorEastAsia" w:eastAsiaTheme="minorEastAsia" w:hAnsiTheme="minorEastAsia"/>
                <w:color w:val="000000" w:themeColor="text1"/>
              </w:rPr>
              <w:t>-</w:t>
            </w:r>
          </w:p>
        </w:tc>
        <w:tc>
          <w:tcPr>
            <w:tcW w:w="1417" w:type="dxa"/>
            <w:vAlign w:val="center"/>
          </w:tcPr>
          <w:p w:rsidR="00223DF0" w:rsidRDefault="00E72BDA">
            <w:pPr>
              <w:jc w:val="center"/>
            </w:pPr>
            <w:r>
              <w:rPr>
                <w:rFonts w:asciiTheme="minorEastAsia" w:eastAsiaTheme="minorEastAsia" w:hAnsiTheme="minorEastAsia"/>
                <w:color w:val="000000" w:themeColor="text1"/>
              </w:rPr>
              <w:t>14</w:t>
            </w:r>
            <w:r>
              <w:rPr>
                <w:rFonts w:asciiTheme="minorEastAsia" w:eastAsiaTheme="minorEastAsia" w:hAnsiTheme="minorEastAsia"/>
                <w:color w:val="000000" w:themeColor="text1"/>
              </w:rPr>
              <w:t>年</w:t>
            </w:r>
          </w:p>
        </w:tc>
        <w:tc>
          <w:tcPr>
            <w:tcW w:w="2694" w:type="dxa"/>
            <w:vAlign w:val="center"/>
          </w:tcPr>
          <w:p w:rsidR="00223DF0" w:rsidRDefault="00E72BDA">
            <w:r>
              <w:rPr>
                <w:rFonts w:asciiTheme="minorEastAsia" w:eastAsiaTheme="minorEastAsia" w:hAnsiTheme="minorEastAsia"/>
                <w:color w:val="000000" w:themeColor="text1"/>
              </w:rPr>
              <w:t>陈思郁女士，英国伦敦大学学院经济学硕士，</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月在国泰君安研究所担任研究员。自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月起加入上投摩根基金管理有限公司，历任行业专家、基金经理助理，现任国内权益投资部基金经理，自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月起担任上投摩根双核平衡混合型证券投资基金基金经理，自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月起同时担任上投摩根安全战略股票型证券投资基金基金经理。</w:t>
            </w:r>
          </w:p>
        </w:tc>
      </w:tr>
    </w:tbl>
    <w:p w:rsidR="00223DF0" w:rsidRDefault="00E72BDA">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w:t>
      </w:r>
      <w:r>
        <w:rPr>
          <w:rFonts w:asciiTheme="minorEastAsia" w:eastAsiaTheme="minorEastAsia" w:hAnsiTheme="minorEastAsia"/>
          <w:color w:val="000000" w:themeColor="text1"/>
        </w:rPr>
        <w:t>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asciiTheme="minorEastAsia" w:eastAsiaTheme="minorEastAsia" w:hAnsiTheme="minorEastAsia"/>
          <w:color w:val="000000" w:themeColor="text1"/>
        </w:rPr>
        <w:t>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一季度，市场波动较大，尤其是春节后的几个交易日，以过去两年涨幅较大的核心资产为首，调整短促而剧烈。究其原因，一方面春节期间美债收益率跳升，提升了全球风险资产的波动，另一方面，更为主要的原因，个人认为这些核心资产过去涨幅已经巨大，本身就有调整的需要和空间。</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此作为应对，本基金较早的进行了减仓处理，本质上也是认为这些核心资产有调整的需要。而事实上，去年年底本基金就已经在陆续的减持，但持仓结构上并没有进行大的调整，依然是短期增速快，中长期空间大的优秀龙头标的。</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市场在一季度也完成了调整，站在目前这个点位如何看待后续市场，我们认为今年虽然收益率不能和过去两年巨大的涨幅相比，但也并不是个系统性的熊市。回顾过去，我们发现，系统性的熊市，如</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年，往往是经济向下和流动性收紧带来估值下杀的双杀格局。而今年，我们认为随着疫情的过去，流动性回</w:t>
      </w:r>
      <w:r>
        <w:rPr>
          <w:rFonts w:asciiTheme="minorEastAsia" w:eastAsiaTheme="minorEastAsia" w:hAnsiTheme="minorEastAsia"/>
          <w:color w:val="000000" w:themeColor="text1"/>
        </w:rPr>
        <w:t>归中性偏紧，但和过去加息、去杠杆的收紧周期完全不是一个概念，另一方面更为关键的是，国内外经济共振向上。从过去历史上看整体经济向上的时候，市场可以因为超涨进行短暂剧烈的调整，但并不会发生系统性的熊市。</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我们已经较早的进行了减仓，基于未来的判断，我们并不认为今年是基本面和流动性双杀的熊市，因此我们会择机加仓，加仓的方向依然是高景气度行业的龙头公司，我们相信，随着这些公司业绩的释放，高增长（甚至不排除超预期高增长）将逐步消化高估值。</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本报告期上投摩根双核平衡混合份额净值增长率为:-6.51%，同期业绩比较基准收益率为:-1.16%。</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345,676,323.73</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57.86</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345,676,323.73</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57.86</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170,433,920.78</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28.53</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170,433,920.78</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28.53</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49,262,422.86</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8.25</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32,060,172.24</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5.37</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597,432,839.61</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243,402,292.61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40.95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26,026,182.25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12,580.00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8,835,860.21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1,183,425.93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10,200.30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37,898,928.80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6.38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23,311,755.00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5,775.48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4,989,323.15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345,676,323.73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58.15</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1</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601888</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中国中免</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110,763</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33,902,339.04</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5.70</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2</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300750</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宁德时代</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97,021</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31,257,255.57</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5.26</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3</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603259</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药明康德</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166,275</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23,311,755.00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3.92</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4</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000568</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泸州老窖</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99,119</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22,303,757.38</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3.75</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5</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603486</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科沃斯</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128,009</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17,473,228.50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2.94</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6</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002812</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恩捷股份</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143,536</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16,064,549.12</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2.70</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7</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600900</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长江电力</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704,500</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15,104,480.00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2.54</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8</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600809</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山西汾酒</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36,868</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12,269,670.40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2.06</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9</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601799</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星宇股份</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51,566</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9,745,974.00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1.64</w:t>
            </w:r>
          </w:p>
        </w:tc>
      </w:tr>
      <w:tr w:rsidR="00223DF0">
        <w:tc>
          <w:tcPr>
            <w:tcW w:w="817" w:type="dxa"/>
            <w:vAlign w:val="center"/>
          </w:tcPr>
          <w:p w:rsidR="00223DF0" w:rsidRDefault="00E72BDA">
            <w:pPr>
              <w:jc w:val="center"/>
            </w:pPr>
            <w:r>
              <w:rPr>
                <w:rFonts w:asciiTheme="minorEastAsia" w:eastAsiaTheme="minorEastAsia" w:hAnsiTheme="minorEastAsia" w:cs="宋体"/>
                <w:color w:val="000000" w:themeColor="text1"/>
                <w:kern w:val="0"/>
              </w:rPr>
              <w:t>10</w:t>
            </w:r>
          </w:p>
        </w:tc>
        <w:tc>
          <w:tcPr>
            <w:tcW w:w="1276" w:type="dxa"/>
            <w:vAlign w:val="center"/>
          </w:tcPr>
          <w:p w:rsidR="00223DF0" w:rsidRDefault="00E72BDA">
            <w:pPr>
              <w:jc w:val="center"/>
            </w:pPr>
            <w:r>
              <w:rPr>
                <w:rFonts w:asciiTheme="minorEastAsia" w:eastAsiaTheme="minorEastAsia" w:hAnsiTheme="minorEastAsia" w:cs="宋体"/>
                <w:color w:val="000000" w:themeColor="text1"/>
                <w:kern w:val="0"/>
              </w:rPr>
              <w:t>600660</w:t>
            </w:r>
          </w:p>
        </w:tc>
        <w:tc>
          <w:tcPr>
            <w:tcW w:w="1701" w:type="dxa"/>
            <w:vAlign w:val="center"/>
          </w:tcPr>
          <w:p w:rsidR="00223DF0" w:rsidRDefault="00E72BDA">
            <w:pPr>
              <w:jc w:val="center"/>
            </w:pPr>
            <w:r>
              <w:rPr>
                <w:rFonts w:asciiTheme="minorEastAsia" w:eastAsiaTheme="minorEastAsia" w:hAnsiTheme="minorEastAsia" w:cs="宋体"/>
                <w:color w:val="000000" w:themeColor="text1"/>
                <w:kern w:val="0"/>
              </w:rPr>
              <w:t>福耀玻璃</w:t>
            </w:r>
          </w:p>
        </w:tc>
        <w:tc>
          <w:tcPr>
            <w:tcW w:w="1276" w:type="dxa"/>
            <w:vAlign w:val="center"/>
          </w:tcPr>
          <w:p w:rsidR="00223DF0" w:rsidRDefault="00E72BDA">
            <w:pPr>
              <w:jc w:val="right"/>
            </w:pPr>
            <w:r>
              <w:rPr>
                <w:rFonts w:asciiTheme="minorEastAsia" w:eastAsiaTheme="minorEastAsia" w:hAnsiTheme="minorEastAsia" w:cs="宋体"/>
                <w:color w:val="000000" w:themeColor="text1"/>
                <w:kern w:val="0"/>
              </w:rPr>
              <w:t>197,700</w:t>
            </w:r>
          </w:p>
        </w:tc>
        <w:tc>
          <w:tcPr>
            <w:tcW w:w="1842" w:type="dxa"/>
            <w:vAlign w:val="center"/>
          </w:tcPr>
          <w:p w:rsidR="00223DF0" w:rsidRDefault="00E72BDA">
            <w:pPr>
              <w:jc w:val="right"/>
            </w:pPr>
            <w:r>
              <w:rPr>
                <w:rFonts w:asciiTheme="minorEastAsia" w:eastAsiaTheme="minorEastAsia" w:hAnsiTheme="minorEastAsia" w:cs="宋体"/>
                <w:color w:val="000000" w:themeColor="text1"/>
                <w:kern w:val="0"/>
              </w:rPr>
              <w:t>9,110,016.00</w:t>
            </w:r>
          </w:p>
        </w:tc>
        <w:tc>
          <w:tcPr>
            <w:tcW w:w="1616" w:type="dxa"/>
            <w:vAlign w:val="center"/>
          </w:tcPr>
          <w:p w:rsidR="00223DF0" w:rsidRDefault="00E72BDA">
            <w:pPr>
              <w:jc w:val="right"/>
            </w:pPr>
            <w:r>
              <w:rPr>
                <w:rFonts w:asciiTheme="minorEastAsia" w:eastAsiaTheme="minorEastAsia" w:hAnsiTheme="minorEastAsia" w:cs="宋体"/>
                <w:color w:val="000000" w:themeColor="text1"/>
                <w:kern w:val="0"/>
              </w:rPr>
              <w:t>1.53</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序号</w:t>
            </w:r>
          </w:p>
        </w:tc>
        <w:tc>
          <w:tcPr>
            <w:tcW w:w="326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131,240,400.60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22.08</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20,250,000.00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3.41</w:t>
            </w:r>
          </w:p>
        </w:tc>
      </w:tr>
      <w:tr w:rsidR="00D06738">
        <w:trPr>
          <w:jc w:val="center"/>
        </w:trPr>
        <w:tc>
          <w:tcPr>
            <w:tcW w:w="817" w:type="dxa"/>
            <w:vAlign w:val="center"/>
          </w:tcPr>
          <w:p w:rsidR="00D06738" w:rsidRDefault="00D06738">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20,250,000.00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3.41</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10,063,000.00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1.69</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8,880,520.18</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1.49</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170,433,920.78</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28.67</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tc>
          <w:tcPr>
            <w:tcW w:w="125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223DF0">
        <w:tc>
          <w:tcPr>
            <w:tcW w:w="1252" w:type="dxa"/>
            <w:vAlign w:val="center"/>
          </w:tcPr>
          <w:p w:rsidR="00223DF0" w:rsidRDefault="00E72BDA">
            <w:pPr>
              <w:jc w:val="center"/>
            </w:pPr>
            <w:r>
              <w:rPr>
                <w:rFonts w:asciiTheme="minorEastAsia" w:eastAsiaTheme="minorEastAsia" w:hAnsiTheme="minorEastAsia" w:cs="宋体"/>
                <w:color w:val="000000" w:themeColor="text1"/>
                <w:kern w:val="0"/>
              </w:rPr>
              <w:t>1</w:t>
            </w:r>
          </w:p>
        </w:tc>
        <w:tc>
          <w:tcPr>
            <w:tcW w:w="1310" w:type="dxa"/>
            <w:vAlign w:val="center"/>
          </w:tcPr>
          <w:p w:rsidR="00223DF0" w:rsidRDefault="00E72BDA">
            <w:pPr>
              <w:jc w:val="center"/>
            </w:pPr>
            <w:r>
              <w:rPr>
                <w:rFonts w:asciiTheme="minorEastAsia" w:eastAsiaTheme="minorEastAsia" w:hAnsiTheme="minorEastAsia" w:cs="宋体"/>
                <w:color w:val="000000" w:themeColor="text1"/>
                <w:kern w:val="0"/>
              </w:rPr>
              <w:t>010107</w:t>
            </w:r>
          </w:p>
        </w:tc>
        <w:tc>
          <w:tcPr>
            <w:tcW w:w="1282" w:type="dxa"/>
            <w:vAlign w:val="center"/>
          </w:tcPr>
          <w:p w:rsidR="00223DF0" w:rsidRDefault="00E72BDA">
            <w:pPr>
              <w:jc w:val="center"/>
            </w:pPr>
            <w:r>
              <w:rPr>
                <w:rFonts w:asciiTheme="minorEastAsia" w:eastAsiaTheme="minorEastAsia" w:hAnsiTheme="minorEastAsia" w:cs="宋体"/>
                <w:color w:val="000000" w:themeColor="text1"/>
                <w:kern w:val="0"/>
              </w:rPr>
              <w:t>21</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⑺</w:t>
            </w:r>
          </w:p>
        </w:tc>
        <w:tc>
          <w:tcPr>
            <w:tcW w:w="1426" w:type="dxa"/>
            <w:vAlign w:val="center"/>
          </w:tcPr>
          <w:p w:rsidR="00223DF0" w:rsidRDefault="00E72BDA">
            <w:pPr>
              <w:jc w:val="right"/>
            </w:pPr>
            <w:r>
              <w:rPr>
                <w:rFonts w:asciiTheme="minorEastAsia" w:eastAsiaTheme="minorEastAsia" w:hAnsiTheme="minorEastAsia" w:cs="宋体"/>
                <w:color w:val="000000" w:themeColor="text1"/>
                <w:kern w:val="0"/>
              </w:rPr>
              <w:t>577,750</w:t>
            </w:r>
          </w:p>
        </w:tc>
        <w:tc>
          <w:tcPr>
            <w:tcW w:w="1646" w:type="dxa"/>
            <w:vAlign w:val="center"/>
          </w:tcPr>
          <w:p w:rsidR="00223DF0" w:rsidRDefault="00E72BDA">
            <w:pPr>
              <w:jc w:val="right"/>
            </w:pPr>
            <w:r>
              <w:rPr>
                <w:rFonts w:asciiTheme="minorEastAsia" w:eastAsiaTheme="minorEastAsia" w:hAnsiTheme="minorEastAsia" w:cs="宋体"/>
                <w:color w:val="000000" w:themeColor="text1"/>
                <w:kern w:val="0"/>
              </w:rPr>
              <w:t>58,225,645.00</w:t>
            </w:r>
          </w:p>
        </w:tc>
        <w:tc>
          <w:tcPr>
            <w:tcW w:w="1612" w:type="dxa"/>
            <w:vAlign w:val="center"/>
          </w:tcPr>
          <w:p w:rsidR="00223DF0" w:rsidRDefault="00E72BDA">
            <w:pPr>
              <w:jc w:val="right"/>
            </w:pPr>
            <w:r>
              <w:rPr>
                <w:rFonts w:asciiTheme="minorEastAsia" w:eastAsiaTheme="minorEastAsia" w:hAnsiTheme="minorEastAsia" w:cs="宋体"/>
                <w:color w:val="000000" w:themeColor="text1"/>
                <w:kern w:val="0"/>
              </w:rPr>
              <w:t>9.79</w:t>
            </w:r>
          </w:p>
        </w:tc>
      </w:tr>
      <w:tr w:rsidR="00223DF0">
        <w:tc>
          <w:tcPr>
            <w:tcW w:w="1252" w:type="dxa"/>
            <w:vAlign w:val="center"/>
          </w:tcPr>
          <w:p w:rsidR="00223DF0" w:rsidRDefault="00E72BDA">
            <w:pPr>
              <w:jc w:val="center"/>
            </w:pPr>
            <w:r>
              <w:rPr>
                <w:rFonts w:asciiTheme="minorEastAsia" w:eastAsiaTheme="minorEastAsia" w:hAnsiTheme="minorEastAsia" w:cs="宋体"/>
                <w:color w:val="000000" w:themeColor="text1"/>
                <w:kern w:val="0"/>
              </w:rPr>
              <w:t>2</w:t>
            </w:r>
          </w:p>
        </w:tc>
        <w:tc>
          <w:tcPr>
            <w:tcW w:w="1310" w:type="dxa"/>
            <w:vAlign w:val="center"/>
          </w:tcPr>
          <w:p w:rsidR="00223DF0" w:rsidRDefault="00E72BDA">
            <w:pPr>
              <w:jc w:val="center"/>
            </w:pPr>
            <w:r>
              <w:rPr>
                <w:rFonts w:asciiTheme="minorEastAsia" w:eastAsiaTheme="minorEastAsia" w:hAnsiTheme="minorEastAsia" w:cs="宋体"/>
                <w:color w:val="000000" w:themeColor="text1"/>
                <w:kern w:val="0"/>
              </w:rPr>
              <w:t>019640</w:t>
            </w:r>
          </w:p>
        </w:tc>
        <w:tc>
          <w:tcPr>
            <w:tcW w:w="1282" w:type="dxa"/>
            <w:vAlign w:val="center"/>
          </w:tcPr>
          <w:p w:rsidR="00223DF0" w:rsidRDefault="00E72BDA">
            <w:pPr>
              <w:jc w:val="center"/>
            </w:pPr>
            <w:r>
              <w:rPr>
                <w:rFonts w:asciiTheme="minorEastAsia" w:eastAsiaTheme="minorEastAsia" w:hAnsiTheme="minorEastAsia" w:cs="宋体"/>
                <w:color w:val="000000" w:themeColor="text1"/>
                <w:kern w:val="0"/>
              </w:rPr>
              <w:t>20</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10</w:t>
            </w:r>
          </w:p>
        </w:tc>
        <w:tc>
          <w:tcPr>
            <w:tcW w:w="1426" w:type="dxa"/>
            <w:vAlign w:val="center"/>
          </w:tcPr>
          <w:p w:rsidR="00223DF0" w:rsidRDefault="00E72BDA">
            <w:pPr>
              <w:jc w:val="right"/>
            </w:pPr>
            <w:r>
              <w:rPr>
                <w:rFonts w:asciiTheme="minorEastAsia" w:eastAsiaTheme="minorEastAsia" w:hAnsiTheme="minorEastAsia" w:cs="宋体"/>
                <w:color w:val="000000" w:themeColor="text1"/>
                <w:kern w:val="0"/>
              </w:rPr>
              <w:t>480,000</w:t>
            </w:r>
          </w:p>
        </w:tc>
        <w:tc>
          <w:tcPr>
            <w:tcW w:w="1646" w:type="dxa"/>
            <w:vAlign w:val="center"/>
          </w:tcPr>
          <w:p w:rsidR="00223DF0" w:rsidRDefault="00E72BDA">
            <w:pPr>
              <w:jc w:val="right"/>
            </w:pPr>
            <w:r>
              <w:rPr>
                <w:rFonts w:asciiTheme="minorEastAsia" w:eastAsiaTheme="minorEastAsia" w:hAnsiTheme="minorEastAsia" w:cs="宋体"/>
                <w:color w:val="000000" w:themeColor="text1"/>
                <w:kern w:val="0"/>
              </w:rPr>
              <w:t>47,980,800.00</w:t>
            </w:r>
          </w:p>
        </w:tc>
        <w:tc>
          <w:tcPr>
            <w:tcW w:w="1612" w:type="dxa"/>
            <w:vAlign w:val="center"/>
          </w:tcPr>
          <w:p w:rsidR="00223DF0" w:rsidRDefault="00E72BDA">
            <w:pPr>
              <w:jc w:val="right"/>
            </w:pPr>
            <w:r>
              <w:rPr>
                <w:rFonts w:asciiTheme="minorEastAsia" w:eastAsiaTheme="minorEastAsia" w:hAnsiTheme="minorEastAsia" w:cs="宋体"/>
                <w:color w:val="000000" w:themeColor="text1"/>
                <w:kern w:val="0"/>
              </w:rPr>
              <w:t>8.07</w:t>
            </w:r>
          </w:p>
        </w:tc>
      </w:tr>
      <w:tr w:rsidR="00223DF0">
        <w:tc>
          <w:tcPr>
            <w:tcW w:w="1252" w:type="dxa"/>
            <w:vAlign w:val="center"/>
          </w:tcPr>
          <w:p w:rsidR="00223DF0" w:rsidRDefault="00E72BDA">
            <w:pPr>
              <w:jc w:val="center"/>
            </w:pPr>
            <w:r>
              <w:rPr>
                <w:rFonts w:asciiTheme="minorEastAsia" w:eastAsiaTheme="minorEastAsia" w:hAnsiTheme="minorEastAsia" w:cs="宋体"/>
                <w:color w:val="000000" w:themeColor="text1"/>
                <w:kern w:val="0"/>
              </w:rPr>
              <w:t>3</w:t>
            </w:r>
          </w:p>
        </w:tc>
        <w:tc>
          <w:tcPr>
            <w:tcW w:w="1310" w:type="dxa"/>
            <w:vAlign w:val="center"/>
          </w:tcPr>
          <w:p w:rsidR="00223DF0" w:rsidRDefault="00E72BDA">
            <w:pPr>
              <w:jc w:val="center"/>
            </w:pPr>
            <w:r>
              <w:rPr>
                <w:rFonts w:asciiTheme="minorEastAsia" w:eastAsiaTheme="minorEastAsia" w:hAnsiTheme="minorEastAsia" w:cs="宋体"/>
                <w:color w:val="000000" w:themeColor="text1"/>
                <w:kern w:val="0"/>
              </w:rPr>
              <w:t>010303</w:t>
            </w:r>
          </w:p>
        </w:tc>
        <w:tc>
          <w:tcPr>
            <w:tcW w:w="1282" w:type="dxa"/>
            <w:vAlign w:val="center"/>
          </w:tcPr>
          <w:p w:rsidR="00223DF0" w:rsidRDefault="00E72BDA">
            <w:pPr>
              <w:jc w:val="center"/>
            </w:pPr>
            <w:r>
              <w:rPr>
                <w:rFonts w:asciiTheme="minorEastAsia" w:eastAsiaTheme="minorEastAsia" w:hAnsiTheme="minorEastAsia" w:cs="宋体"/>
                <w:color w:val="000000" w:themeColor="text1"/>
                <w:kern w:val="0"/>
              </w:rPr>
              <w:t>03</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⑶</w:t>
            </w:r>
          </w:p>
        </w:tc>
        <w:tc>
          <w:tcPr>
            <w:tcW w:w="1426" w:type="dxa"/>
            <w:vAlign w:val="center"/>
          </w:tcPr>
          <w:p w:rsidR="00223DF0" w:rsidRDefault="00E72BDA">
            <w:pPr>
              <w:jc w:val="right"/>
            </w:pPr>
            <w:r>
              <w:rPr>
                <w:rFonts w:asciiTheme="minorEastAsia" w:eastAsiaTheme="minorEastAsia" w:hAnsiTheme="minorEastAsia" w:cs="宋体"/>
                <w:color w:val="000000" w:themeColor="text1"/>
                <w:kern w:val="0"/>
              </w:rPr>
              <w:t>247,420</w:t>
            </w:r>
          </w:p>
        </w:tc>
        <w:tc>
          <w:tcPr>
            <w:tcW w:w="1646" w:type="dxa"/>
            <w:vAlign w:val="center"/>
          </w:tcPr>
          <w:p w:rsidR="00223DF0" w:rsidRDefault="00E72BDA">
            <w:pPr>
              <w:jc w:val="right"/>
            </w:pPr>
            <w:r>
              <w:rPr>
                <w:rFonts w:asciiTheme="minorEastAsia" w:eastAsiaTheme="minorEastAsia" w:hAnsiTheme="minorEastAsia" w:cs="宋体"/>
                <w:color w:val="000000" w:themeColor="text1"/>
                <w:kern w:val="0"/>
              </w:rPr>
              <w:t>25,033,955.60</w:t>
            </w:r>
          </w:p>
        </w:tc>
        <w:tc>
          <w:tcPr>
            <w:tcW w:w="1612" w:type="dxa"/>
            <w:vAlign w:val="center"/>
          </w:tcPr>
          <w:p w:rsidR="00223DF0" w:rsidRDefault="00E72BDA">
            <w:pPr>
              <w:jc w:val="right"/>
            </w:pPr>
            <w:r>
              <w:rPr>
                <w:rFonts w:asciiTheme="minorEastAsia" w:eastAsiaTheme="minorEastAsia" w:hAnsiTheme="minorEastAsia" w:cs="宋体"/>
                <w:color w:val="000000" w:themeColor="text1"/>
                <w:kern w:val="0"/>
              </w:rPr>
              <w:t>4.21</w:t>
            </w:r>
          </w:p>
        </w:tc>
      </w:tr>
      <w:tr w:rsidR="00223DF0">
        <w:tc>
          <w:tcPr>
            <w:tcW w:w="1252" w:type="dxa"/>
            <w:vAlign w:val="center"/>
          </w:tcPr>
          <w:p w:rsidR="00223DF0" w:rsidRDefault="00E72BDA">
            <w:pPr>
              <w:jc w:val="center"/>
            </w:pPr>
            <w:r>
              <w:rPr>
                <w:rFonts w:asciiTheme="minorEastAsia" w:eastAsiaTheme="minorEastAsia" w:hAnsiTheme="minorEastAsia" w:cs="宋体"/>
                <w:color w:val="000000" w:themeColor="text1"/>
                <w:kern w:val="0"/>
              </w:rPr>
              <w:t>4</w:t>
            </w:r>
          </w:p>
        </w:tc>
        <w:tc>
          <w:tcPr>
            <w:tcW w:w="1310" w:type="dxa"/>
            <w:vAlign w:val="center"/>
          </w:tcPr>
          <w:p w:rsidR="00223DF0" w:rsidRDefault="00E72BDA">
            <w:pPr>
              <w:jc w:val="center"/>
            </w:pPr>
            <w:r>
              <w:rPr>
                <w:rFonts w:asciiTheme="minorEastAsia" w:eastAsiaTheme="minorEastAsia" w:hAnsiTheme="minorEastAsia" w:cs="宋体"/>
                <w:color w:val="000000" w:themeColor="text1"/>
                <w:kern w:val="0"/>
              </w:rPr>
              <w:t>018006</w:t>
            </w:r>
          </w:p>
        </w:tc>
        <w:tc>
          <w:tcPr>
            <w:tcW w:w="1282" w:type="dxa"/>
            <w:vAlign w:val="center"/>
          </w:tcPr>
          <w:p w:rsidR="00223DF0" w:rsidRDefault="00E72BDA">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1702</w:t>
            </w:r>
          </w:p>
        </w:tc>
        <w:tc>
          <w:tcPr>
            <w:tcW w:w="1426" w:type="dxa"/>
            <w:vAlign w:val="center"/>
          </w:tcPr>
          <w:p w:rsidR="00223DF0" w:rsidRDefault="00E72BDA">
            <w:pPr>
              <w:jc w:val="right"/>
            </w:pPr>
            <w:r>
              <w:rPr>
                <w:rFonts w:asciiTheme="minorEastAsia" w:eastAsiaTheme="minorEastAsia" w:hAnsiTheme="minorEastAsia" w:cs="宋体"/>
                <w:color w:val="000000" w:themeColor="text1"/>
                <w:kern w:val="0"/>
              </w:rPr>
              <w:t>200,000</w:t>
            </w:r>
          </w:p>
        </w:tc>
        <w:tc>
          <w:tcPr>
            <w:tcW w:w="1646" w:type="dxa"/>
            <w:vAlign w:val="center"/>
          </w:tcPr>
          <w:p w:rsidR="00223DF0" w:rsidRDefault="00E72BDA">
            <w:pPr>
              <w:jc w:val="right"/>
            </w:pPr>
            <w:r>
              <w:rPr>
                <w:rFonts w:asciiTheme="minorEastAsia" w:eastAsiaTheme="minorEastAsia" w:hAnsiTheme="minorEastAsia" w:cs="宋体"/>
                <w:color w:val="000000" w:themeColor="text1"/>
                <w:kern w:val="0"/>
              </w:rPr>
              <w:t>20,250,000.00</w:t>
            </w:r>
          </w:p>
        </w:tc>
        <w:tc>
          <w:tcPr>
            <w:tcW w:w="1612" w:type="dxa"/>
            <w:vAlign w:val="center"/>
          </w:tcPr>
          <w:p w:rsidR="00223DF0" w:rsidRDefault="00E72BDA">
            <w:pPr>
              <w:jc w:val="right"/>
            </w:pPr>
            <w:r>
              <w:rPr>
                <w:rFonts w:asciiTheme="minorEastAsia" w:eastAsiaTheme="minorEastAsia" w:hAnsiTheme="minorEastAsia" w:cs="宋体"/>
                <w:color w:val="000000" w:themeColor="text1"/>
                <w:kern w:val="0"/>
              </w:rPr>
              <w:t>3.41</w:t>
            </w:r>
          </w:p>
        </w:tc>
      </w:tr>
      <w:tr w:rsidR="00223DF0">
        <w:tc>
          <w:tcPr>
            <w:tcW w:w="1252" w:type="dxa"/>
            <w:vAlign w:val="center"/>
          </w:tcPr>
          <w:p w:rsidR="00223DF0" w:rsidRDefault="00E72BDA">
            <w:pPr>
              <w:jc w:val="center"/>
            </w:pPr>
            <w:r>
              <w:rPr>
                <w:rFonts w:asciiTheme="minorEastAsia" w:eastAsiaTheme="minorEastAsia" w:hAnsiTheme="minorEastAsia" w:cs="宋体"/>
                <w:color w:val="000000" w:themeColor="text1"/>
                <w:kern w:val="0"/>
              </w:rPr>
              <w:t>5</w:t>
            </w:r>
          </w:p>
        </w:tc>
        <w:tc>
          <w:tcPr>
            <w:tcW w:w="1310" w:type="dxa"/>
            <w:vAlign w:val="center"/>
          </w:tcPr>
          <w:p w:rsidR="00223DF0" w:rsidRDefault="00E72BDA">
            <w:pPr>
              <w:jc w:val="center"/>
            </w:pPr>
            <w:r>
              <w:rPr>
                <w:rFonts w:asciiTheme="minorEastAsia" w:eastAsiaTheme="minorEastAsia" w:hAnsiTheme="minorEastAsia" w:cs="宋体"/>
                <w:color w:val="000000" w:themeColor="text1"/>
                <w:kern w:val="0"/>
              </w:rPr>
              <w:t>143807</w:t>
            </w:r>
          </w:p>
        </w:tc>
        <w:tc>
          <w:tcPr>
            <w:tcW w:w="1282" w:type="dxa"/>
            <w:vAlign w:val="center"/>
          </w:tcPr>
          <w:p w:rsidR="00223DF0" w:rsidRDefault="00E72BDA">
            <w:pPr>
              <w:jc w:val="center"/>
            </w:pPr>
            <w:r>
              <w:rPr>
                <w:rFonts w:asciiTheme="minorEastAsia" w:eastAsiaTheme="minorEastAsia" w:hAnsiTheme="minorEastAsia" w:cs="宋体"/>
                <w:color w:val="000000" w:themeColor="text1"/>
                <w:kern w:val="0"/>
              </w:rPr>
              <w:t>18</w:t>
            </w:r>
            <w:r>
              <w:rPr>
                <w:rFonts w:asciiTheme="minorEastAsia" w:eastAsiaTheme="minorEastAsia" w:hAnsiTheme="minorEastAsia" w:cs="宋体"/>
                <w:color w:val="000000" w:themeColor="text1"/>
                <w:kern w:val="0"/>
              </w:rPr>
              <w:t>电投</w:t>
            </w:r>
            <w:r>
              <w:rPr>
                <w:rFonts w:asciiTheme="minorEastAsia" w:eastAsiaTheme="minorEastAsia" w:hAnsiTheme="minorEastAsia" w:cs="宋体"/>
                <w:color w:val="000000" w:themeColor="text1"/>
                <w:kern w:val="0"/>
              </w:rPr>
              <w:t>07</w:t>
            </w:r>
          </w:p>
        </w:tc>
        <w:tc>
          <w:tcPr>
            <w:tcW w:w="1426" w:type="dxa"/>
            <w:vAlign w:val="center"/>
          </w:tcPr>
          <w:p w:rsidR="00223DF0" w:rsidRDefault="00E72BDA">
            <w:pPr>
              <w:jc w:val="right"/>
            </w:pPr>
            <w:r>
              <w:rPr>
                <w:rFonts w:asciiTheme="minorEastAsia" w:eastAsiaTheme="minorEastAsia" w:hAnsiTheme="minorEastAsia" w:cs="宋体"/>
                <w:color w:val="000000" w:themeColor="text1"/>
                <w:kern w:val="0"/>
              </w:rPr>
              <w:t>100,000</w:t>
            </w:r>
          </w:p>
        </w:tc>
        <w:tc>
          <w:tcPr>
            <w:tcW w:w="1646" w:type="dxa"/>
            <w:vAlign w:val="center"/>
          </w:tcPr>
          <w:p w:rsidR="00223DF0" w:rsidRDefault="00E72BDA">
            <w:pPr>
              <w:jc w:val="right"/>
            </w:pPr>
            <w:r>
              <w:rPr>
                <w:rFonts w:asciiTheme="minorEastAsia" w:eastAsiaTheme="minorEastAsia" w:hAnsiTheme="minorEastAsia" w:cs="宋体"/>
                <w:color w:val="000000" w:themeColor="text1"/>
                <w:kern w:val="0"/>
              </w:rPr>
              <w:t>10,063,000.00</w:t>
            </w:r>
          </w:p>
        </w:tc>
        <w:tc>
          <w:tcPr>
            <w:tcW w:w="1612" w:type="dxa"/>
            <w:vAlign w:val="center"/>
          </w:tcPr>
          <w:p w:rsidR="00223DF0" w:rsidRDefault="00E72BDA">
            <w:pPr>
              <w:jc w:val="right"/>
            </w:pPr>
            <w:r>
              <w:rPr>
                <w:rFonts w:asciiTheme="minorEastAsia" w:eastAsiaTheme="minorEastAsia" w:hAnsiTheme="minorEastAsia" w:cs="宋体"/>
                <w:color w:val="000000" w:themeColor="text1"/>
                <w:kern w:val="0"/>
              </w:rPr>
              <w:t>1.69</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229,793.07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29,129,546.14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2,510,885.51</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189,947.52</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32,060,172.24</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tc>
          <w:tcPr>
            <w:tcW w:w="1808"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223DF0">
        <w:tc>
          <w:tcPr>
            <w:tcW w:w="1808" w:type="dxa"/>
            <w:vAlign w:val="center"/>
          </w:tcPr>
          <w:p w:rsidR="00223DF0" w:rsidRDefault="00E72BDA">
            <w:pPr>
              <w:jc w:val="center"/>
            </w:pPr>
            <w:r>
              <w:rPr>
                <w:rFonts w:asciiTheme="minorEastAsia" w:eastAsiaTheme="minorEastAsia" w:hAnsiTheme="minorEastAsia" w:cs="宋体"/>
                <w:color w:val="000000" w:themeColor="text1"/>
                <w:kern w:val="0"/>
              </w:rPr>
              <w:lastRenderedPageBreak/>
              <w:t>1</w:t>
            </w:r>
          </w:p>
        </w:tc>
        <w:tc>
          <w:tcPr>
            <w:tcW w:w="1729" w:type="dxa"/>
            <w:vAlign w:val="center"/>
          </w:tcPr>
          <w:p w:rsidR="00223DF0" w:rsidRDefault="00E72BDA">
            <w:pPr>
              <w:jc w:val="center"/>
            </w:pPr>
            <w:r>
              <w:rPr>
                <w:rFonts w:asciiTheme="minorEastAsia" w:eastAsiaTheme="minorEastAsia" w:hAnsiTheme="minorEastAsia" w:cs="宋体"/>
                <w:color w:val="000000" w:themeColor="text1"/>
                <w:kern w:val="0"/>
              </w:rPr>
              <w:t>132004</w:t>
            </w:r>
          </w:p>
        </w:tc>
        <w:tc>
          <w:tcPr>
            <w:tcW w:w="1658" w:type="dxa"/>
            <w:vAlign w:val="center"/>
          </w:tcPr>
          <w:p w:rsidR="00223DF0" w:rsidRDefault="00E72BDA">
            <w:pPr>
              <w:jc w:val="center"/>
            </w:pPr>
            <w:r>
              <w:rPr>
                <w:rFonts w:asciiTheme="minorEastAsia" w:eastAsiaTheme="minorEastAsia" w:hAnsiTheme="minorEastAsia" w:cs="宋体"/>
                <w:color w:val="000000" w:themeColor="text1"/>
                <w:kern w:val="0"/>
              </w:rPr>
              <w:t>15</w:t>
            </w:r>
            <w:r>
              <w:rPr>
                <w:rFonts w:asciiTheme="minorEastAsia" w:eastAsiaTheme="minorEastAsia" w:hAnsiTheme="minorEastAsia" w:cs="宋体"/>
                <w:color w:val="000000" w:themeColor="text1"/>
                <w:kern w:val="0"/>
              </w:rPr>
              <w:t>国盛</w:t>
            </w:r>
            <w:r>
              <w:rPr>
                <w:rFonts w:asciiTheme="minorEastAsia" w:eastAsiaTheme="minorEastAsia" w:hAnsiTheme="minorEastAsia" w:cs="宋体"/>
                <w:color w:val="000000" w:themeColor="text1"/>
                <w:kern w:val="0"/>
              </w:rPr>
              <w:t>EB</w:t>
            </w:r>
          </w:p>
        </w:tc>
        <w:tc>
          <w:tcPr>
            <w:tcW w:w="1697" w:type="dxa"/>
            <w:vAlign w:val="center"/>
          </w:tcPr>
          <w:p w:rsidR="00223DF0" w:rsidRDefault="00E72BDA">
            <w:pPr>
              <w:jc w:val="right"/>
            </w:pPr>
            <w:r>
              <w:rPr>
                <w:rFonts w:asciiTheme="minorEastAsia" w:eastAsiaTheme="minorEastAsia" w:hAnsiTheme="minorEastAsia" w:cs="宋体"/>
                <w:color w:val="000000" w:themeColor="text1"/>
                <w:kern w:val="0"/>
              </w:rPr>
              <w:t>8,647,900.00</w:t>
            </w:r>
          </w:p>
        </w:tc>
        <w:tc>
          <w:tcPr>
            <w:tcW w:w="1621" w:type="dxa"/>
            <w:vAlign w:val="center"/>
          </w:tcPr>
          <w:p w:rsidR="00223DF0" w:rsidRDefault="00E72BDA">
            <w:pPr>
              <w:jc w:val="right"/>
            </w:pPr>
            <w:r>
              <w:rPr>
                <w:rFonts w:asciiTheme="minorEastAsia" w:eastAsiaTheme="minorEastAsia" w:hAnsiTheme="minorEastAsia" w:cs="宋体"/>
                <w:color w:val="000000" w:themeColor="text1"/>
                <w:kern w:val="0"/>
              </w:rPr>
              <w:t>1.45</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254,985,093.23</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40,120,862.97</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60,899,645.19</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234,206,311.01</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、中国证监会批准上投摩根双核平衡混合型证券投资基金设立的文件；</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、《上投摩根双核平衡混合型证券投资基金基金合同》；</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、《上投摩根双核平衡混合型证券投资基金托管协议》；</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、《上投摩根开放式基金业务规则》；</w:t>
      </w:r>
    </w:p>
    <w:p w:rsidR="00223DF0" w:rsidRDefault="00E72BDA">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6、基金托管人业务资格批件和营业执照。</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72BDA" w:rsidRPr="00E72BDA">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72BDA">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上投摩根双核平衡混合型证券投资基金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3DF0"/>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72BDA"/>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45A33-D00E-493B-9598-84AADB01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267</cp:revision>
  <dcterms:created xsi:type="dcterms:W3CDTF">2012-10-16T06:07:00Z</dcterms:created>
  <dcterms:modified xsi:type="dcterms:W3CDTF">2021-04-21T02:51:00Z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