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摩根双核平衡混合型证券投资基金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2023</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bookmarkStart w:id="0" w:name="_GoBack"/>
      <w:bookmarkEnd w:id="0"/>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报告送出日期：二〇二三年七月二十一日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20</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摩根双核平衡混合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373020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2008</w:t>
            </w:r>
            <w:r w:rsidRPr="00B27A29">
              <w:rPr>
                <w:rFonts w:eastAsiaTheme="minorEastAsia"/>
                <w:color w:val="000000" w:themeColor="text1"/>
                <w:kern w:val="0"/>
                <w:szCs w:val="21"/>
              </w:rPr>
              <w:t>年</w:t>
            </w:r>
            <w:r w:rsidRPr="00B27A29">
              <w:rPr>
                <w:rFonts w:eastAsiaTheme="minorEastAsia"/>
                <w:color w:val="000000" w:themeColor="text1"/>
                <w:kern w:val="0"/>
                <w:szCs w:val="21"/>
              </w:rPr>
              <w:t>5</w:t>
            </w:r>
            <w:r w:rsidRPr="00B27A29">
              <w:rPr>
                <w:rFonts w:eastAsiaTheme="minorEastAsia"/>
                <w:color w:val="000000" w:themeColor="text1"/>
                <w:kern w:val="0"/>
                <w:szCs w:val="21"/>
              </w:rPr>
              <w:t>月</w:t>
            </w:r>
            <w:r w:rsidRPr="00B27A29">
              <w:rPr>
                <w:rFonts w:eastAsiaTheme="minorEastAsia"/>
                <w:color w:val="000000" w:themeColor="text1"/>
                <w:kern w:val="0"/>
                <w:szCs w:val="21"/>
              </w:rPr>
              <w:t>21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185,730,728.10</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本基金深化价值投资理念，精选具备较高估值优势的上市公司股票与优质债券等，持续优化投资风险与收益的动态匹配，通过积极主动的组合管理，追求基金资产的长期稳定增值。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价值投资注重股票内在价值的发现。在内在价值确定以后，通过股票市场价格和内在价值的比较，就可以明确投资方向。特别当股票的价格低于它的内在价值时，就存在一个正的安全边际。足够的安全边际使投资拥有更容易取胜的优势，因为在价值引力作用下，股票价格更倾向于上涨。所以，安全边际越高，投资风险就会相对较低。</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运用安全边际策略有效挖掘价值低估的股票类投资品种。在控制宏观经济趋势、产业发展周期等宏观经济环境变量基础上，考察上市公司的商业模式、管理能力、财务状况等影响企业持续经营的因素，然后综合运用量化价值模型来衡量股票价格是高估还是低估。根据不同的产业和行业特征，本基金将有针对性地选用不同的</w:t>
            </w:r>
            <w:r>
              <w:rPr>
                <w:rFonts w:eastAsiaTheme="minorEastAsia"/>
                <w:color w:val="000000" w:themeColor="text1"/>
                <w:kern w:val="0"/>
                <w:szCs w:val="21"/>
              </w:rPr>
              <w:t>P/E</w:t>
            </w:r>
            <w:r>
              <w:rPr>
                <w:rFonts w:eastAsiaTheme="minorEastAsia"/>
                <w:color w:val="000000" w:themeColor="text1"/>
                <w:kern w:val="0"/>
                <w:szCs w:val="21"/>
              </w:rPr>
              <w:t>、</w:t>
            </w:r>
            <w:r>
              <w:rPr>
                <w:rFonts w:eastAsiaTheme="minorEastAsia"/>
                <w:color w:val="000000" w:themeColor="text1"/>
                <w:kern w:val="0"/>
                <w:szCs w:val="21"/>
              </w:rPr>
              <w:t>P/CFPS</w:t>
            </w:r>
            <w:r>
              <w:rPr>
                <w:rFonts w:eastAsiaTheme="minorEastAsia"/>
                <w:color w:val="000000" w:themeColor="text1"/>
                <w:kern w:val="0"/>
                <w:szCs w:val="21"/>
              </w:rPr>
              <w:t>、</w:t>
            </w:r>
            <w:r>
              <w:rPr>
                <w:rFonts w:eastAsiaTheme="minorEastAsia"/>
                <w:color w:val="000000" w:themeColor="text1"/>
                <w:kern w:val="0"/>
                <w:szCs w:val="21"/>
              </w:rPr>
              <w:t>P/S</w:t>
            </w:r>
            <w:r>
              <w:rPr>
                <w:rFonts w:eastAsiaTheme="minorEastAsia"/>
                <w:color w:val="000000" w:themeColor="text1"/>
                <w:kern w:val="0"/>
                <w:szCs w:val="21"/>
              </w:rPr>
              <w:t>、</w:t>
            </w:r>
            <w:r>
              <w:rPr>
                <w:rFonts w:eastAsiaTheme="minorEastAsia"/>
                <w:color w:val="000000" w:themeColor="text1"/>
                <w:kern w:val="0"/>
                <w:szCs w:val="21"/>
              </w:rPr>
              <w:t>P/B</w:t>
            </w:r>
            <w:r>
              <w:rPr>
                <w:rFonts w:eastAsiaTheme="minorEastAsia"/>
                <w:color w:val="000000" w:themeColor="text1"/>
                <w:kern w:val="0"/>
                <w:szCs w:val="21"/>
              </w:rPr>
              <w:t>等乘数法和</w:t>
            </w:r>
            <w:r>
              <w:rPr>
                <w:rFonts w:eastAsiaTheme="minorEastAsia"/>
                <w:color w:val="000000" w:themeColor="text1"/>
                <w:kern w:val="0"/>
                <w:szCs w:val="21"/>
              </w:rPr>
              <w:t>DCF</w:t>
            </w:r>
            <w:r>
              <w:rPr>
                <w:rFonts w:eastAsiaTheme="minorEastAsia"/>
                <w:color w:val="000000" w:themeColor="text1"/>
                <w:kern w:val="0"/>
                <w:szCs w:val="21"/>
              </w:rPr>
              <w:t>增长模型建立股票选择池。</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）宏观经济分析</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本基金基于对宏观经济运行状况及政策分析、财政政策与货币政策运行状况分析、行业运行景气状况分析的基础上，重点判断宏观经济周期</w:t>
            </w:r>
            <w:r>
              <w:rPr>
                <w:rFonts w:eastAsiaTheme="minorEastAsia"/>
                <w:color w:val="000000" w:themeColor="text1"/>
                <w:kern w:val="0"/>
                <w:szCs w:val="21"/>
              </w:rPr>
              <w:t>对市场不同行业的影响，作为资产配置的依据。同时根据宏观经济对市场影响的分析，初步判断市场的多空方向，决定大类资产配置。</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）行业分析</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根据各行业所处生命周期、产业竞争结构、近期发展趋势等方面因素对各行业的相对盈利能力及投资吸引力进行评价，考察净资产收益率、营运周期、销售收入、净利润等指标，对各行业投资机会进行评估，并根据行业综合评价结果确定股票资产中各行业的权重。</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）公司质地分析</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企业在行业中的相对竞争力是决定企业成败和投资价值的关键，本基金将根据公司质地对上市公司当前和未来的竞争优势加以评估</w:t>
            </w:r>
            <w:r>
              <w:rPr>
                <w:rFonts w:eastAsiaTheme="minorEastAsia"/>
                <w:color w:val="000000" w:themeColor="text1"/>
                <w:kern w:val="0"/>
                <w:szCs w:val="21"/>
              </w:rPr>
              <w:t>。公司质地良好的企业通常具备以下特征：企业在管理、品牌、资源、技术、创新能力中的某一方面或多个方面具有竞争对手在短时间内难以模仿的显著优势，从而能够获得超越行业平均的盈利水平和增长速度。本基金将通过包括实际调研在内的多种分析手段，对上市公司质地进行判断。</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4</w:t>
            </w:r>
            <w:r>
              <w:rPr>
                <w:rFonts w:eastAsiaTheme="minorEastAsia"/>
                <w:color w:val="000000" w:themeColor="text1"/>
                <w:kern w:val="0"/>
                <w:szCs w:val="21"/>
              </w:rPr>
              <w:t>）股票估值水平分析</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战略目标是构造可以创造主动管理报酬的投资组合，上市公司经过竞争优势指标筛选之后，将由研究团队进行估值水平考察。通过基本面和估值指标筛选的基础组合即被纳入摩根基金管理（中国）有限公司策略性评价体系。本基金在对股票进行估值时，首</w:t>
            </w:r>
            <w:r>
              <w:rPr>
                <w:rFonts w:eastAsiaTheme="minorEastAsia"/>
                <w:color w:val="000000" w:themeColor="text1"/>
                <w:kern w:val="0"/>
                <w:szCs w:val="21"/>
              </w:rPr>
              <w:t>先采用现金流折现模型（</w:t>
            </w:r>
            <w:r>
              <w:rPr>
                <w:rFonts w:eastAsiaTheme="minorEastAsia"/>
                <w:color w:val="000000" w:themeColor="text1"/>
                <w:kern w:val="0"/>
                <w:szCs w:val="21"/>
              </w:rPr>
              <w:t>DCF</w:t>
            </w:r>
            <w:r>
              <w:rPr>
                <w:rFonts w:eastAsiaTheme="minorEastAsia"/>
                <w:color w:val="000000" w:themeColor="text1"/>
                <w:kern w:val="0"/>
                <w:szCs w:val="21"/>
              </w:rPr>
              <w:t>）计算出股票的内在价值，然后在第二阶段采用乘数估值法（</w:t>
            </w:r>
            <w:r>
              <w:rPr>
                <w:rFonts w:eastAsiaTheme="minorEastAsia"/>
                <w:color w:val="000000" w:themeColor="text1"/>
                <w:kern w:val="0"/>
                <w:szCs w:val="21"/>
              </w:rPr>
              <w:t>Multiple</w:t>
            </w:r>
            <w:r>
              <w:rPr>
                <w:rFonts w:eastAsiaTheme="minorEastAsia"/>
                <w:color w:val="000000" w:themeColor="text1"/>
                <w:kern w:val="0"/>
                <w:szCs w:val="21"/>
              </w:rPr>
              <w:t>），通过对对同行业公司的情况对样本公司价值进行比较修正，使得对于股票价值的评估更加准确可靠。</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的债券投资策略是建立在对债券核心内在价值的认识上。我们将采用更为有效的债券估值模型，同时综合考虑宏观经济运行状况、金融市场环境及利率走势，采取至上而下和至下而上结合的投资策略积极配置资产。在控制利率风险、信用风险以及流动性风险的基础上，通过组合投资为投资者创造长期回报。具体而言，我们将运用</w:t>
            </w:r>
            <w:r>
              <w:rPr>
                <w:rFonts w:eastAsiaTheme="minorEastAsia"/>
                <w:color w:val="000000" w:themeColor="text1"/>
                <w:kern w:val="0"/>
                <w:szCs w:val="21"/>
              </w:rPr>
              <w:t>利率预期策略、骑乘收益曲线策略和类属资产配置策略等积极策略配置各类债券资产。</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利率预期策略：本基金将首先根据对国内外经济形势的预测，分析市场投资环境的变化趋势，重点关注利率趋势变化。通过全面分析宏观经济、货币政策与财政政策、物价水平变化趋势等因素，对利率走势形成合理预期。</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骑乘收益率曲线策略：骑乘收益率曲线策略是短期货币市场证券管理中流行的一种策略。具体操作时买入收益率曲线最突起部位所在剩余期限的债券，这一期限的收益率水平此时处于相对较高的位置，随着一段时间的持有，当收益率下降时，对应的将是债券</w:t>
            </w:r>
            <w:r>
              <w:rPr>
                <w:rFonts w:eastAsiaTheme="minorEastAsia"/>
                <w:color w:val="000000" w:themeColor="text1"/>
                <w:kern w:val="0"/>
                <w:szCs w:val="21"/>
              </w:rPr>
              <w:t>价格的走高，而这一期限债券的涨幅将会高于其他期限，这样就可以获得更好的价差收益。</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类属资产配置：在类属资产配置层次，本基金根据市场和类属资产的风险收益特征，在判断各类属的利率期限结构与交易活跃的国家信用等级短期券利率期限结构应具有的合理利差水平基础上，将市场细分为交易所国债、交易所企业债、银行间国债、银行间金融债等子市场。结合各类属资产的市场容量、信用等级和流动性特点，在此基础上运用修正的均值</w:t>
            </w:r>
            <w:r>
              <w:rPr>
                <w:rFonts w:eastAsiaTheme="minorEastAsia"/>
                <w:color w:val="000000" w:themeColor="text1"/>
                <w:kern w:val="0"/>
                <w:szCs w:val="21"/>
              </w:rPr>
              <w:t>-</w:t>
            </w:r>
            <w:r>
              <w:rPr>
                <w:rFonts w:eastAsiaTheme="minorEastAsia"/>
                <w:color w:val="000000" w:themeColor="text1"/>
                <w:kern w:val="0"/>
                <w:szCs w:val="21"/>
              </w:rPr>
              <w:t>方差等模型，定期对投资组合类属资产进行最优化配置和调整，确定类属资产的最优权重。</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、权证投资策略</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w:t>
            </w:r>
            <w:r>
              <w:rPr>
                <w:rFonts w:eastAsiaTheme="minorEastAsia"/>
                <w:color w:val="000000" w:themeColor="text1"/>
                <w:kern w:val="0"/>
                <w:szCs w:val="21"/>
              </w:rPr>
              <w:t>在法律法规及基金合同规定的范围内，采取积极的态度进行权证投资。权证投资的主要目的在于对冲组合中证券的持有风险，及在正确估值标的证券的基础上获取权证投资收益。本基金将采用业界广泛应用的</w:t>
            </w:r>
            <w:r>
              <w:rPr>
                <w:rFonts w:eastAsiaTheme="minorEastAsia"/>
                <w:color w:val="000000" w:themeColor="text1"/>
                <w:kern w:val="0"/>
                <w:szCs w:val="21"/>
              </w:rPr>
              <w:t>Black-Scholes Pricing Model(BSPM)</w:t>
            </w:r>
            <w:r>
              <w:rPr>
                <w:rFonts w:eastAsiaTheme="minorEastAsia"/>
                <w:color w:val="000000" w:themeColor="text1"/>
                <w:kern w:val="0"/>
                <w:szCs w:val="21"/>
              </w:rPr>
              <w:t>对权证进行估价。对于股票基本面和投资价值的判断一贯是本公司投资的重要依据。在投资权证前，基金管理人员和研究员应对标的股票的基本面和内在价值作出分析判断。</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、资产支持证券投资策略</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本基金投资资产支持证券时，将综合运用久期管理、收益率曲线、个券选择和把握市场交易机会</w:t>
            </w:r>
            <w:r>
              <w:rPr>
                <w:rFonts w:eastAsiaTheme="minorEastAsia"/>
                <w:color w:val="000000" w:themeColor="text1"/>
                <w:kern w:val="0"/>
                <w:szCs w:val="21"/>
              </w:rPr>
              <w:t>等积极策略，在严格控制风险的情况下，通过信用研究和对个案的具体分析，确定资产合理配置比例，在保证资产安全性的前提条件下，以期获得长期稳定收益。</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5</w:t>
            </w:r>
            <w:r>
              <w:rPr>
                <w:rFonts w:eastAsiaTheme="minorEastAsia"/>
                <w:color w:val="000000" w:themeColor="text1"/>
                <w:kern w:val="0"/>
                <w:szCs w:val="21"/>
              </w:rPr>
              <w:t>、资产配置策略</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资产配置是本基金资产管理的重要环节。本基金是一只注重价值投资的平衡型基金，资产配置策略依据对宏观经济、股市政策、市场趋势等因素的判断，对股票市场和债券市场的风险收益特征进行科学的评估后，在本基金投资范围内，将基金资产主要分配在权益类、固定收益类之间，并根据投资环境的实际变化情况，在各类金融资产之间进行实时动态配置，以期承受尽量小的投资风险，并取得尽</w:t>
            </w:r>
            <w:r>
              <w:rPr>
                <w:rFonts w:eastAsiaTheme="minorEastAsia"/>
                <w:color w:val="000000" w:themeColor="text1"/>
                <w:kern w:val="0"/>
                <w:szCs w:val="21"/>
              </w:rPr>
              <w:t>可能大的主动管理回报。</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具体而言，在正常的市场环境下，本基金将保持不同类型资产配置比例的相对稳定。如果出现股票市场整体估值水平较大程度偏离企业基本面的情况，会对权益类和固定收益类资产的配置比例做出相应的调整，以减少投资风险。在股票市场安全边际降低，且综合考虑收益风险后投资吸引力低于固定收益资产时，本基金将降低权益类资产的配置比例；相反，在股票市场安全边际增厚时，本基金将相应增加权益类资产的配置比例。</w:t>
            </w:r>
          </w:p>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6</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×50</w:t>
            </w:r>
            <w:r w:rsidRPr="00B27A29">
              <w:rPr>
                <w:rFonts w:eastAsiaTheme="minorEastAsia"/>
                <w:color w:val="000000" w:themeColor="text1"/>
                <w:kern w:val="0"/>
                <w:szCs w:val="21"/>
              </w:rPr>
              <w:t>％</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03604F" w:rsidRDefault="007A719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本基金是混合型基金，在证券投资基金中属于中高风险品种，其预期风险收益水平低于股票型基金，高于债券基金与货币市场基金。</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373020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015174</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185,563,390.38</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167,337.72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-2023</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-21,242,154.77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-47,237.84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-13,694,750.01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-47,640.32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-0.0705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-0.1365</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284,791,270.86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255,301.94</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1.5347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1.5257</w:t>
            </w:r>
          </w:p>
        </w:tc>
      </w:tr>
    </w:tbl>
    <w:p w:rsidR="0003604F" w:rsidRDefault="007A719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摩根双核平衡混合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3604F">
        <w:tc>
          <w:tcPr>
            <w:tcW w:w="1290" w:type="dxa"/>
            <w:vAlign w:val="center"/>
          </w:tcPr>
          <w:p w:rsidR="0003604F" w:rsidRDefault="007A7193">
            <w:pPr>
              <w:jc w:val="left"/>
            </w:pPr>
            <w:r>
              <w:rPr>
                <w:rFonts w:eastAsiaTheme="minorEastAsia"/>
                <w:color w:val="000000" w:themeColor="text1"/>
                <w:szCs w:val="21"/>
              </w:rPr>
              <w:t>过去三个月</w:t>
            </w:r>
          </w:p>
        </w:tc>
        <w:tc>
          <w:tcPr>
            <w:tcW w:w="1291" w:type="dxa"/>
            <w:vAlign w:val="center"/>
          </w:tcPr>
          <w:p w:rsidR="0003604F" w:rsidRDefault="007A7193">
            <w:pPr>
              <w:jc w:val="right"/>
            </w:pPr>
            <w:r>
              <w:rPr>
                <w:rFonts w:eastAsiaTheme="minorEastAsia"/>
                <w:color w:val="000000" w:themeColor="text1"/>
                <w:szCs w:val="21"/>
              </w:rPr>
              <w:t>-4.27%</w:t>
            </w:r>
          </w:p>
        </w:tc>
        <w:tc>
          <w:tcPr>
            <w:tcW w:w="1291" w:type="dxa"/>
            <w:vAlign w:val="center"/>
          </w:tcPr>
          <w:p w:rsidR="0003604F" w:rsidRDefault="007A7193">
            <w:pPr>
              <w:jc w:val="right"/>
            </w:pPr>
            <w:r>
              <w:rPr>
                <w:rFonts w:eastAsiaTheme="minorEastAsia"/>
                <w:color w:val="000000" w:themeColor="text1"/>
                <w:szCs w:val="21"/>
              </w:rPr>
              <w:t>0.73%</w:t>
            </w:r>
          </w:p>
        </w:tc>
        <w:tc>
          <w:tcPr>
            <w:tcW w:w="1291" w:type="dxa"/>
            <w:vAlign w:val="center"/>
          </w:tcPr>
          <w:p w:rsidR="0003604F" w:rsidRDefault="007A7193">
            <w:pPr>
              <w:jc w:val="right"/>
            </w:pPr>
            <w:r>
              <w:rPr>
                <w:rFonts w:eastAsiaTheme="minorEastAsia"/>
                <w:color w:val="000000" w:themeColor="text1"/>
                <w:szCs w:val="21"/>
              </w:rPr>
              <w:t>-1.87%</w:t>
            </w:r>
          </w:p>
        </w:tc>
        <w:tc>
          <w:tcPr>
            <w:tcW w:w="1291" w:type="dxa"/>
            <w:vAlign w:val="center"/>
          </w:tcPr>
          <w:p w:rsidR="0003604F" w:rsidRDefault="007A7193">
            <w:pPr>
              <w:jc w:val="right"/>
            </w:pPr>
            <w:r>
              <w:rPr>
                <w:rFonts w:eastAsiaTheme="minorEastAsia"/>
                <w:color w:val="000000" w:themeColor="text1"/>
                <w:szCs w:val="21"/>
              </w:rPr>
              <w:t>0.41%</w:t>
            </w:r>
          </w:p>
        </w:tc>
        <w:tc>
          <w:tcPr>
            <w:tcW w:w="1291" w:type="dxa"/>
            <w:vAlign w:val="center"/>
          </w:tcPr>
          <w:p w:rsidR="0003604F" w:rsidRDefault="007A7193">
            <w:pPr>
              <w:jc w:val="right"/>
            </w:pPr>
            <w:r>
              <w:rPr>
                <w:rFonts w:eastAsiaTheme="minorEastAsia"/>
                <w:color w:val="000000" w:themeColor="text1"/>
                <w:szCs w:val="21"/>
              </w:rPr>
              <w:t>-2.40%</w:t>
            </w:r>
          </w:p>
        </w:tc>
        <w:tc>
          <w:tcPr>
            <w:tcW w:w="1291" w:type="dxa"/>
            <w:vAlign w:val="center"/>
          </w:tcPr>
          <w:p w:rsidR="0003604F" w:rsidRDefault="007A7193">
            <w:pPr>
              <w:jc w:val="right"/>
            </w:pPr>
            <w:r>
              <w:rPr>
                <w:rFonts w:eastAsiaTheme="minorEastAsia"/>
                <w:color w:val="000000" w:themeColor="text1"/>
                <w:szCs w:val="21"/>
              </w:rPr>
              <w:t>0.32%</w:t>
            </w:r>
          </w:p>
        </w:tc>
      </w:tr>
      <w:tr w:rsidR="0003604F">
        <w:tc>
          <w:tcPr>
            <w:tcW w:w="1290" w:type="dxa"/>
            <w:vAlign w:val="center"/>
          </w:tcPr>
          <w:p w:rsidR="0003604F" w:rsidRDefault="007A7193">
            <w:pPr>
              <w:jc w:val="left"/>
            </w:pPr>
            <w:r>
              <w:rPr>
                <w:rFonts w:eastAsiaTheme="minorEastAsia"/>
                <w:color w:val="000000" w:themeColor="text1"/>
                <w:szCs w:val="21"/>
              </w:rPr>
              <w:t>过去六个月</w:t>
            </w:r>
          </w:p>
        </w:tc>
        <w:tc>
          <w:tcPr>
            <w:tcW w:w="1291" w:type="dxa"/>
            <w:vAlign w:val="center"/>
          </w:tcPr>
          <w:p w:rsidR="0003604F" w:rsidRDefault="007A7193">
            <w:pPr>
              <w:jc w:val="right"/>
            </w:pPr>
            <w:r>
              <w:rPr>
                <w:rFonts w:eastAsiaTheme="minorEastAsia"/>
                <w:color w:val="000000" w:themeColor="text1"/>
                <w:szCs w:val="21"/>
              </w:rPr>
              <w:t>-8.42%</w:t>
            </w:r>
          </w:p>
        </w:tc>
        <w:tc>
          <w:tcPr>
            <w:tcW w:w="1291" w:type="dxa"/>
            <w:vAlign w:val="center"/>
          </w:tcPr>
          <w:p w:rsidR="0003604F" w:rsidRDefault="007A7193">
            <w:pPr>
              <w:jc w:val="right"/>
            </w:pPr>
            <w:r>
              <w:rPr>
                <w:rFonts w:eastAsiaTheme="minorEastAsia"/>
                <w:color w:val="000000" w:themeColor="text1"/>
                <w:szCs w:val="21"/>
              </w:rPr>
              <w:t>0.72%</w:t>
            </w:r>
          </w:p>
        </w:tc>
        <w:tc>
          <w:tcPr>
            <w:tcW w:w="1291" w:type="dxa"/>
            <w:vAlign w:val="center"/>
          </w:tcPr>
          <w:p w:rsidR="0003604F" w:rsidRDefault="007A7193">
            <w:pPr>
              <w:jc w:val="right"/>
            </w:pPr>
            <w:r>
              <w:rPr>
                <w:rFonts w:eastAsiaTheme="minorEastAsia"/>
                <w:color w:val="000000" w:themeColor="text1"/>
                <w:szCs w:val="21"/>
              </w:rPr>
              <w:t>0.70%</w:t>
            </w:r>
          </w:p>
        </w:tc>
        <w:tc>
          <w:tcPr>
            <w:tcW w:w="1291" w:type="dxa"/>
            <w:vAlign w:val="center"/>
          </w:tcPr>
          <w:p w:rsidR="0003604F" w:rsidRDefault="007A7193">
            <w:pPr>
              <w:jc w:val="right"/>
            </w:pPr>
            <w:r>
              <w:rPr>
                <w:rFonts w:eastAsiaTheme="minorEastAsia"/>
                <w:color w:val="000000" w:themeColor="text1"/>
                <w:szCs w:val="21"/>
              </w:rPr>
              <w:t>0.42%</w:t>
            </w:r>
          </w:p>
        </w:tc>
        <w:tc>
          <w:tcPr>
            <w:tcW w:w="1291" w:type="dxa"/>
            <w:vAlign w:val="center"/>
          </w:tcPr>
          <w:p w:rsidR="0003604F" w:rsidRDefault="007A7193">
            <w:pPr>
              <w:jc w:val="right"/>
            </w:pPr>
            <w:r>
              <w:rPr>
                <w:rFonts w:eastAsiaTheme="minorEastAsia"/>
                <w:color w:val="000000" w:themeColor="text1"/>
                <w:szCs w:val="21"/>
              </w:rPr>
              <w:t>-9.12%</w:t>
            </w:r>
          </w:p>
        </w:tc>
        <w:tc>
          <w:tcPr>
            <w:tcW w:w="1291" w:type="dxa"/>
            <w:vAlign w:val="center"/>
          </w:tcPr>
          <w:p w:rsidR="0003604F" w:rsidRDefault="007A7193">
            <w:pPr>
              <w:jc w:val="right"/>
            </w:pPr>
            <w:r>
              <w:rPr>
                <w:rFonts w:eastAsiaTheme="minorEastAsia"/>
                <w:color w:val="000000" w:themeColor="text1"/>
                <w:szCs w:val="21"/>
              </w:rPr>
              <w:t>0.30%</w:t>
            </w:r>
          </w:p>
        </w:tc>
      </w:tr>
      <w:tr w:rsidR="0003604F">
        <w:tc>
          <w:tcPr>
            <w:tcW w:w="1290" w:type="dxa"/>
            <w:vAlign w:val="center"/>
          </w:tcPr>
          <w:p w:rsidR="0003604F" w:rsidRDefault="007A7193">
            <w:pPr>
              <w:jc w:val="left"/>
            </w:pPr>
            <w:r>
              <w:rPr>
                <w:rFonts w:eastAsiaTheme="minorEastAsia"/>
                <w:color w:val="000000" w:themeColor="text1"/>
                <w:szCs w:val="21"/>
              </w:rPr>
              <w:t>过去一年</w:t>
            </w:r>
          </w:p>
        </w:tc>
        <w:tc>
          <w:tcPr>
            <w:tcW w:w="1291" w:type="dxa"/>
            <w:vAlign w:val="center"/>
          </w:tcPr>
          <w:p w:rsidR="0003604F" w:rsidRDefault="007A7193">
            <w:pPr>
              <w:jc w:val="right"/>
            </w:pPr>
            <w:r>
              <w:rPr>
                <w:rFonts w:eastAsiaTheme="minorEastAsia"/>
                <w:color w:val="000000" w:themeColor="text1"/>
                <w:szCs w:val="21"/>
              </w:rPr>
              <w:t>-22.25%</w:t>
            </w:r>
          </w:p>
        </w:tc>
        <w:tc>
          <w:tcPr>
            <w:tcW w:w="1291" w:type="dxa"/>
            <w:vAlign w:val="center"/>
          </w:tcPr>
          <w:p w:rsidR="0003604F" w:rsidRDefault="007A7193">
            <w:pPr>
              <w:jc w:val="right"/>
            </w:pPr>
            <w:r>
              <w:rPr>
                <w:rFonts w:eastAsiaTheme="minorEastAsia"/>
                <w:color w:val="000000" w:themeColor="text1"/>
                <w:szCs w:val="21"/>
              </w:rPr>
              <w:t>1.16%</w:t>
            </w:r>
          </w:p>
        </w:tc>
        <w:tc>
          <w:tcPr>
            <w:tcW w:w="1291" w:type="dxa"/>
            <w:vAlign w:val="center"/>
          </w:tcPr>
          <w:p w:rsidR="0003604F" w:rsidRDefault="007A7193">
            <w:pPr>
              <w:jc w:val="right"/>
            </w:pPr>
            <w:r>
              <w:rPr>
                <w:rFonts w:eastAsiaTheme="minorEastAsia"/>
                <w:color w:val="000000" w:themeColor="text1"/>
                <w:szCs w:val="21"/>
              </w:rPr>
              <w:t>-5.30%</w:t>
            </w:r>
          </w:p>
        </w:tc>
        <w:tc>
          <w:tcPr>
            <w:tcW w:w="1291" w:type="dxa"/>
            <w:vAlign w:val="center"/>
          </w:tcPr>
          <w:p w:rsidR="0003604F" w:rsidRDefault="007A7193">
            <w:pPr>
              <w:jc w:val="right"/>
            </w:pPr>
            <w:r>
              <w:rPr>
                <w:rFonts w:eastAsiaTheme="minorEastAsia"/>
                <w:color w:val="000000" w:themeColor="text1"/>
                <w:szCs w:val="21"/>
              </w:rPr>
              <w:t>0.49%</w:t>
            </w:r>
          </w:p>
        </w:tc>
        <w:tc>
          <w:tcPr>
            <w:tcW w:w="1291" w:type="dxa"/>
            <w:vAlign w:val="center"/>
          </w:tcPr>
          <w:p w:rsidR="0003604F" w:rsidRDefault="007A7193">
            <w:pPr>
              <w:jc w:val="right"/>
            </w:pPr>
            <w:r>
              <w:rPr>
                <w:rFonts w:eastAsiaTheme="minorEastAsia"/>
                <w:color w:val="000000" w:themeColor="text1"/>
                <w:szCs w:val="21"/>
              </w:rPr>
              <w:t>-16.95%</w:t>
            </w:r>
          </w:p>
        </w:tc>
        <w:tc>
          <w:tcPr>
            <w:tcW w:w="1291" w:type="dxa"/>
            <w:vAlign w:val="center"/>
          </w:tcPr>
          <w:p w:rsidR="0003604F" w:rsidRDefault="007A7193">
            <w:pPr>
              <w:jc w:val="right"/>
            </w:pPr>
            <w:r>
              <w:rPr>
                <w:rFonts w:eastAsiaTheme="minorEastAsia"/>
                <w:color w:val="000000" w:themeColor="text1"/>
                <w:szCs w:val="21"/>
              </w:rPr>
              <w:t>0.67%</w:t>
            </w:r>
          </w:p>
        </w:tc>
      </w:tr>
      <w:tr w:rsidR="0003604F">
        <w:tc>
          <w:tcPr>
            <w:tcW w:w="1290" w:type="dxa"/>
            <w:vAlign w:val="center"/>
          </w:tcPr>
          <w:p w:rsidR="0003604F" w:rsidRDefault="007A7193">
            <w:pPr>
              <w:jc w:val="left"/>
            </w:pPr>
            <w:r>
              <w:rPr>
                <w:rFonts w:eastAsiaTheme="minorEastAsia"/>
                <w:color w:val="000000" w:themeColor="text1"/>
                <w:szCs w:val="21"/>
              </w:rPr>
              <w:t>过去三年</w:t>
            </w:r>
          </w:p>
        </w:tc>
        <w:tc>
          <w:tcPr>
            <w:tcW w:w="1291" w:type="dxa"/>
            <w:vAlign w:val="center"/>
          </w:tcPr>
          <w:p w:rsidR="0003604F" w:rsidRDefault="007A7193">
            <w:pPr>
              <w:jc w:val="right"/>
            </w:pPr>
            <w:r>
              <w:rPr>
                <w:rFonts w:eastAsiaTheme="minorEastAsia"/>
                <w:color w:val="000000" w:themeColor="text1"/>
                <w:szCs w:val="21"/>
              </w:rPr>
              <w:t>-7.50%</w:t>
            </w:r>
          </w:p>
        </w:tc>
        <w:tc>
          <w:tcPr>
            <w:tcW w:w="1291" w:type="dxa"/>
            <w:vAlign w:val="center"/>
          </w:tcPr>
          <w:p w:rsidR="0003604F" w:rsidRDefault="007A7193">
            <w:pPr>
              <w:jc w:val="right"/>
            </w:pPr>
            <w:r>
              <w:rPr>
                <w:rFonts w:eastAsiaTheme="minorEastAsia"/>
                <w:color w:val="000000" w:themeColor="text1"/>
                <w:szCs w:val="21"/>
              </w:rPr>
              <w:t>1.32%</w:t>
            </w:r>
          </w:p>
        </w:tc>
        <w:tc>
          <w:tcPr>
            <w:tcW w:w="1291" w:type="dxa"/>
            <w:vAlign w:val="center"/>
          </w:tcPr>
          <w:p w:rsidR="0003604F" w:rsidRDefault="007A7193">
            <w:pPr>
              <w:jc w:val="right"/>
            </w:pPr>
            <w:r>
              <w:rPr>
                <w:rFonts w:eastAsiaTheme="minorEastAsia"/>
                <w:color w:val="000000" w:themeColor="text1"/>
                <w:szCs w:val="21"/>
              </w:rPr>
              <w:t>1.72%</w:t>
            </w:r>
          </w:p>
        </w:tc>
        <w:tc>
          <w:tcPr>
            <w:tcW w:w="1291" w:type="dxa"/>
            <w:vAlign w:val="center"/>
          </w:tcPr>
          <w:p w:rsidR="0003604F" w:rsidRDefault="007A7193">
            <w:pPr>
              <w:jc w:val="right"/>
            </w:pPr>
            <w:r>
              <w:rPr>
                <w:rFonts w:eastAsiaTheme="minorEastAsia"/>
                <w:color w:val="000000" w:themeColor="text1"/>
                <w:szCs w:val="21"/>
              </w:rPr>
              <w:t>0.60%</w:t>
            </w:r>
          </w:p>
        </w:tc>
        <w:tc>
          <w:tcPr>
            <w:tcW w:w="1291" w:type="dxa"/>
            <w:vAlign w:val="center"/>
          </w:tcPr>
          <w:p w:rsidR="0003604F" w:rsidRDefault="007A7193">
            <w:pPr>
              <w:jc w:val="right"/>
            </w:pPr>
            <w:r>
              <w:rPr>
                <w:rFonts w:eastAsiaTheme="minorEastAsia"/>
                <w:color w:val="000000" w:themeColor="text1"/>
                <w:szCs w:val="21"/>
              </w:rPr>
              <w:t>-9.22%</w:t>
            </w:r>
          </w:p>
        </w:tc>
        <w:tc>
          <w:tcPr>
            <w:tcW w:w="1291" w:type="dxa"/>
            <w:vAlign w:val="center"/>
          </w:tcPr>
          <w:p w:rsidR="0003604F" w:rsidRDefault="007A7193">
            <w:pPr>
              <w:jc w:val="right"/>
            </w:pPr>
            <w:r>
              <w:rPr>
                <w:rFonts w:eastAsiaTheme="minorEastAsia"/>
                <w:color w:val="000000" w:themeColor="text1"/>
                <w:szCs w:val="21"/>
              </w:rPr>
              <w:t>0.72%</w:t>
            </w:r>
          </w:p>
        </w:tc>
      </w:tr>
      <w:tr w:rsidR="0003604F">
        <w:tc>
          <w:tcPr>
            <w:tcW w:w="1290" w:type="dxa"/>
            <w:vAlign w:val="center"/>
          </w:tcPr>
          <w:p w:rsidR="0003604F" w:rsidRDefault="007A7193">
            <w:pPr>
              <w:jc w:val="left"/>
            </w:pPr>
            <w:r>
              <w:rPr>
                <w:rFonts w:eastAsiaTheme="minorEastAsia"/>
                <w:color w:val="000000" w:themeColor="text1"/>
                <w:szCs w:val="21"/>
              </w:rPr>
              <w:t>过去五年</w:t>
            </w:r>
          </w:p>
        </w:tc>
        <w:tc>
          <w:tcPr>
            <w:tcW w:w="1291" w:type="dxa"/>
            <w:vAlign w:val="center"/>
          </w:tcPr>
          <w:p w:rsidR="0003604F" w:rsidRDefault="007A7193">
            <w:pPr>
              <w:jc w:val="right"/>
            </w:pPr>
            <w:r>
              <w:rPr>
                <w:rFonts w:eastAsiaTheme="minorEastAsia"/>
                <w:color w:val="000000" w:themeColor="text1"/>
                <w:szCs w:val="21"/>
              </w:rPr>
              <w:t>51.52%</w:t>
            </w:r>
          </w:p>
        </w:tc>
        <w:tc>
          <w:tcPr>
            <w:tcW w:w="1291" w:type="dxa"/>
            <w:vAlign w:val="center"/>
          </w:tcPr>
          <w:p w:rsidR="0003604F" w:rsidRDefault="007A7193">
            <w:pPr>
              <w:jc w:val="right"/>
            </w:pPr>
            <w:r>
              <w:rPr>
                <w:rFonts w:eastAsiaTheme="minorEastAsia"/>
                <w:color w:val="000000" w:themeColor="text1"/>
                <w:szCs w:val="21"/>
              </w:rPr>
              <w:t>1.28%</w:t>
            </w:r>
          </w:p>
        </w:tc>
        <w:tc>
          <w:tcPr>
            <w:tcW w:w="1291" w:type="dxa"/>
            <w:vAlign w:val="center"/>
          </w:tcPr>
          <w:p w:rsidR="0003604F" w:rsidRDefault="007A7193">
            <w:pPr>
              <w:jc w:val="right"/>
            </w:pPr>
            <w:r>
              <w:rPr>
                <w:rFonts w:eastAsiaTheme="minorEastAsia"/>
                <w:color w:val="000000" w:themeColor="text1"/>
                <w:szCs w:val="21"/>
              </w:rPr>
              <w:t>16.00%</w:t>
            </w:r>
          </w:p>
        </w:tc>
        <w:tc>
          <w:tcPr>
            <w:tcW w:w="1291" w:type="dxa"/>
            <w:vAlign w:val="center"/>
          </w:tcPr>
          <w:p w:rsidR="0003604F" w:rsidRDefault="007A7193">
            <w:pPr>
              <w:jc w:val="right"/>
            </w:pPr>
            <w:r>
              <w:rPr>
                <w:rFonts w:eastAsiaTheme="minorEastAsia"/>
                <w:color w:val="000000" w:themeColor="text1"/>
                <w:szCs w:val="21"/>
              </w:rPr>
              <w:t>0.64%</w:t>
            </w:r>
          </w:p>
        </w:tc>
        <w:tc>
          <w:tcPr>
            <w:tcW w:w="1291" w:type="dxa"/>
            <w:vAlign w:val="center"/>
          </w:tcPr>
          <w:p w:rsidR="0003604F" w:rsidRDefault="007A7193">
            <w:pPr>
              <w:jc w:val="right"/>
            </w:pPr>
            <w:r>
              <w:rPr>
                <w:rFonts w:eastAsiaTheme="minorEastAsia"/>
                <w:color w:val="000000" w:themeColor="text1"/>
                <w:szCs w:val="21"/>
              </w:rPr>
              <w:t>35.52%</w:t>
            </w:r>
          </w:p>
        </w:tc>
        <w:tc>
          <w:tcPr>
            <w:tcW w:w="1291" w:type="dxa"/>
            <w:vAlign w:val="center"/>
          </w:tcPr>
          <w:p w:rsidR="0003604F" w:rsidRDefault="007A7193">
            <w:pPr>
              <w:jc w:val="right"/>
            </w:pPr>
            <w:r>
              <w:rPr>
                <w:rFonts w:eastAsiaTheme="minorEastAsia"/>
                <w:color w:val="000000" w:themeColor="text1"/>
                <w:szCs w:val="21"/>
              </w:rPr>
              <w:t>0.64%</w:t>
            </w:r>
          </w:p>
        </w:tc>
      </w:tr>
      <w:tr w:rsidR="0003604F">
        <w:tc>
          <w:tcPr>
            <w:tcW w:w="1290" w:type="dxa"/>
            <w:vAlign w:val="center"/>
          </w:tcPr>
          <w:p w:rsidR="0003604F" w:rsidRDefault="007A7193">
            <w:pPr>
              <w:jc w:val="left"/>
            </w:pPr>
            <w:r>
              <w:rPr>
                <w:rFonts w:eastAsiaTheme="minorEastAsia"/>
                <w:color w:val="000000" w:themeColor="text1"/>
                <w:szCs w:val="21"/>
              </w:rPr>
              <w:t>自基金合同生效起至今</w:t>
            </w:r>
          </w:p>
        </w:tc>
        <w:tc>
          <w:tcPr>
            <w:tcW w:w="1291" w:type="dxa"/>
            <w:vAlign w:val="center"/>
          </w:tcPr>
          <w:p w:rsidR="0003604F" w:rsidRDefault="007A7193">
            <w:pPr>
              <w:jc w:val="right"/>
            </w:pPr>
            <w:r>
              <w:rPr>
                <w:rFonts w:eastAsiaTheme="minorEastAsia"/>
                <w:color w:val="000000" w:themeColor="text1"/>
                <w:szCs w:val="21"/>
              </w:rPr>
              <w:t>265.72%</w:t>
            </w:r>
          </w:p>
        </w:tc>
        <w:tc>
          <w:tcPr>
            <w:tcW w:w="1291" w:type="dxa"/>
            <w:vAlign w:val="center"/>
          </w:tcPr>
          <w:p w:rsidR="0003604F" w:rsidRDefault="007A7193">
            <w:pPr>
              <w:jc w:val="right"/>
            </w:pPr>
            <w:r>
              <w:rPr>
                <w:rFonts w:eastAsiaTheme="minorEastAsia"/>
                <w:color w:val="000000" w:themeColor="text1"/>
                <w:szCs w:val="21"/>
              </w:rPr>
              <w:t>1.23%</w:t>
            </w:r>
          </w:p>
        </w:tc>
        <w:tc>
          <w:tcPr>
            <w:tcW w:w="1291" w:type="dxa"/>
            <w:vAlign w:val="center"/>
          </w:tcPr>
          <w:p w:rsidR="0003604F" w:rsidRDefault="007A7193">
            <w:pPr>
              <w:jc w:val="right"/>
            </w:pPr>
            <w:r>
              <w:rPr>
                <w:rFonts w:eastAsiaTheme="minorEastAsia"/>
                <w:color w:val="000000" w:themeColor="text1"/>
                <w:szCs w:val="21"/>
              </w:rPr>
              <w:t>41.24%</w:t>
            </w:r>
          </w:p>
        </w:tc>
        <w:tc>
          <w:tcPr>
            <w:tcW w:w="1291" w:type="dxa"/>
            <w:vAlign w:val="center"/>
          </w:tcPr>
          <w:p w:rsidR="0003604F" w:rsidRDefault="007A7193">
            <w:pPr>
              <w:jc w:val="right"/>
            </w:pPr>
            <w:r>
              <w:rPr>
                <w:rFonts w:eastAsiaTheme="minorEastAsia"/>
                <w:color w:val="000000" w:themeColor="text1"/>
                <w:szCs w:val="21"/>
              </w:rPr>
              <w:t>0.78%</w:t>
            </w:r>
          </w:p>
        </w:tc>
        <w:tc>
          <w:tcPr>
            <w:tcW w:w="1291" w:type="dxa"/>
            <w:vAlign w:val="center"/>
          </w:tcPr>
          <w:p w:rsidR="0003604F" w:rsidRDefault="007A7193">
            <w:pPr>
              <w:jc w:val="right"/>
            </w:pPr>
            <w:r>
              <w:rPr>
                <w:rFonts w:eastAsiaTheme="minorEastAsia"/>
                <w:color w:val="000000" w:themeColor="text1"/>
                <w:szCs w:val="21"/>
              </w:rPr>
              <w:t>224.48%</w:t>
            </w:r>
          </w:p>
        </w:tc>
        <w:tc>
          <w:tcPr>
            <w:tcW w:w="1291" w:type="dxa"/>
            <w:vAlign w:val="center"/>
          </w:tcPr>
          <w:p w:rsidR="0003604F" w:rsidRDefault="007A7193">
            <w:pPr>
              <w:jc w:val="right"/>
            </w:pPr>
            <w:r>
              <w:rPr>
                <w:rFonts w:eastAsiaTheme="minorEastAsia"/>
                <w:color w:val="000000" w:themeColor="text1"/>
                <w:szCs w:val="21"/>
              </w:rPr>
              <w:t>0.45%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摩根双核平衡混合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03604F">
        <w:tc>
          <w:tcPr>
            <w:tcW w:w="1290" w:type="dxa"/>
            <w:vAlign w:val="center"/>
          </w:tcPr>
          <w:p w:rsidR="0003604F" w:rsidRDefault="007A7193">
            <w:pPr>
              <w:jc w:val="left"/>
            </w:pPr>
            <w:r>
              <w:rPr>
                <w:rFonts w:eastAsiaTheme="minorEastAsia"/>
                <w:color w:val="000000" w:themeColor="text1"/>
                <w:szCs w:val="21"/>
              </w:rPr>
              <w:t>过去三个月</w:t>
            </w:r>
          </w:p>
        </w:tc>
        <w:tc>
          <w:tcPr>
            <w:tcW w:w="1291" w:type="dxa"/>
            <w:vAlign w:val="center"/>
          </w:tcPr>
          <w:p w:rsidR="0003604F" w:rsidRDefault="007A7193">
            <w:pPr>
              <w:jc w:val="right"/>
            </w:pPr>
            <w:r>
              <w:rPr>
                <w:rFonts w:eastAsiaTheme="minorEastAsia"/>
                <w:color w:val="000000" w:themeColor="text1"/>
                <w:szCs w:val="21"/>
              </w:rPr>
              <w:t>-4.39%</w:t>
            </w:r>
          </w:p>
        </w:tc>
        <w:tc>
          <w:tcPr>
            <w:tcW w:w="1291" w:type="dxa"/>
            <w:vAlign w:val="center"/>
          </w:tcPr>
          <w:p w:rsidR="0003604F" w:rsidRDefault="007A7193">
            <w:pPr>
              <w:jc w:val="right"/>
            </w:pPr>
            <w:r>
              <w:rPr>
                <w:rFonts w:eastAsiaTheme="minorEastAsia"/>
                <w:color w:val="000000" w:themeColor="text1"/>
                <w:szCs w:val="21"/>
              </w:rPr>
              <w:t>0.73%</w:t>
            </w:r>
          </w:p>
        </w:tc>
        <w:tc>
          <w:tcPr>
            <w:tcW w:w="1291" w:type="dxa"/>
            <w:vAlign w:val="center"/>
          </w:tcPr>
          <w:p w:rsidR="0003604F" w:rsidRDefault="007A7193">
            <w:pPr>
              <w:jc w:val="right"/>
            </w:pPr>
            <w:r>
              <w:rPr>
                <w:rFonts w:eastAsiaTheme="minorEastAsia"/>
                <w:color w:val="000000" w:themeColor="text1"/>
                <w:szCs w:val="21"/>
              </w:rPr>
              <w:t>-1.87%</w:t>
            </w:r>
          </w:p>
        </w:tc>
        <w:tc>
          <w:tcPr>
            <w:tcW w:w="1291" w:type="dxa"/>
            <w:vAlign w:val="center"/>
          </w:tcPr>
          <w:p w:rsidR="0003604F" w:rsidRDefault="007A7193">
            <w:pPr>
              <w:jc w:val="right"/>
            </w:pPr>
            <w:r>
              <w:rPr>
                <w:rFonts w:eastAsiaTheme="minorEastAsia"/>
                <w:color w:val="000000" w:themeColor="text1"/>
                <w:szCs w:val="21"/>
              </w:rPr>
              <w:t>0.41%</w:t>
            </w:r>
          </w:p>
        </w:tc>
        <w:tc>
          <w:tcPr>
            <w:tcW w:w="1291" w:type="dxa"/>
            <w:vAlign w:val="center"/>
          </w:tcPr>
          <w:p w:rsidR="0003604F" w:rsidRDefault="007A7193">
            <w:pPr>
              <w:jc w:val="right"/>
            </w:pPr>
            <w:r>
              <w:rPr>
                <w:rFonts w:eastAsiaTheme="minorEastAsia"/>
                <w:color w:val="000000" w:themeColor="text1"/>
                <w:szCs w:val="21"/>
              </w:rPr>
              <w:t>-2.52%</w:t>
            </w:r>
          </w:p>
        </w:tc>
        <w:tc>
          <w:tcPr>
            <w:tcW w:w="1291" w:type="dxa"/>
            <w:vAlign w:val="center"/>
          </w:tcPr>
          <w:p w:rsidR="0003604F" w:rsidRDefault="007A7193">
            <w:pPr>
              <w:jc w:val="right"/>
            </w:pPr>
            <w:r>
              <w:rPr>
                <w:rFonts w:eastAsiaTheme="minorEastAsia"/>
                <w:color w:val="000000" w:themeColor="text1"/>
                <w:szCs w:val="21"/>
              </w:rPr>
              <w:t>0.32%</w:t>
            </w:r>
          </w:p>
        </w:tc>
      </w:tr>
      <w:tr w:rsidR="0003604F">
        <w:tc>
          <w:tcPr>
            <w:tcW w:w="1290" w:type="dxa"/>
            <w:vAlign w:val="center"/>
          </w:tcPr>
          <w:p w:rsidR="0003604F" w:rsidRDefault="007A7193">
            <w:pPr>
              <w:jc w:val="left"/>
            </w:pPr>
            <w:r>
              <w:rPr>
                <w:rFonts w:eastAsiaTheme="minorEastAsia"/>
                <w:color w:val="000000" w:themeColor="text1"/>
                <w:szCs w:val="21"/>
              </w:rPr>
              <w:t>过去六个月</w:t>
            </w:r>
          </w:p>
        </w:tc>
        <w:tc>
          <w:tcPr>
            <w:tcW w:w="1291" w:type="dxa"/>
            <w:vAlign w:val="center"/>
          </w:tcPr>
          <w:p w:rsidR="0003604F" w:rsidRDefault="007A7193">
            <w:pPr>
              <w:jc w:val="right"/>
            </w:pPr>
            <w:r>
              <w:rPr>
                <w:rFonts w:eastAsiaTheme="minorEastAsia"/>
                <w:color w:val="000000" w:themeColor="text1"/>
                <w:szCs w:val="21"/>
              </w:rPr>
              <w:t>-8.65%</w:t>
            </w:r>
          </w:p>
        </w:tc>
        <w:tc>
          <w:tcPr>
            <w:tcW w:w="1291" w:type="dxa"/>
            <w:vAlign w:val="center"/>
          </w:tcPr>
          <w:p w:rsidR="0003604F" w:rsidRDefault="007A7193">
            <w:pPr>
              <w:jc w:val="right"/>
            </w:pPr>
            <w:r>
              <w:rPr>
                <w:rFonts w:eastAsiaTheme="minorEastAsia"/>
                <w:color w:val="000000" w:themeColor="text1"/>
                <w:szCs w:val="21"/>
              </w:rPr>
              <w:t>0.72%</w:t>
            </w:r>
          </w:p>
        </w:tc>
        <w:tc>
          <w:tcPr>
            <w:tcW w:w="1291" w:type="dxa"/>
            <w:vAlign w:val="center"/>
          </w:tcPr>
          <w:p w:rsidR="0003604F" w:rsidRDefault="007A7193">
            <w:pPr>
              <w:jc w:val="right"/>
            </w:pPr>
            <w:r>
              <w:rPr>
                <w:rFonts w:eastAsiaTheme="minorEastAsia"/>
                <w:color w:val="000000" w:themeColor="text1"/>
                <w:szCs w:val="21"/>
              </w:rPr>
              <w:t>0.70%</w:t>
            </w:r>
          </w:p>
        </w:tc>
        <w:tc>
          <w:tcPr>
            <w:tcW w:w="1291" w:type="dxa"/>
            <w:vAlign w:val="center"/>
          </w:tcPr>
          <w:p w:rsidR="0003604F" w:rsidRDefault="007A7193">
            <w:pPr>
              <w:jc w:val="right"/>
            </w:pPr>
            <w:r>
              <w:rPr>
                <w:rFonts w:eastAsiaTheme="minorEastAsia"/>
                <w:color w:val="000000" w:themeColor="text1"/>
                <w:szCs w:val="21"/>
              </w:rPr>
              <w:t>0.42%</w:t>
            </w:r>
          </w:p>
        </w:tc>
        <w:tc>
          <w:tcPr>
            <w:tcW w:w="1291" w:type="dxa"/>
            <w:vAlign w:val="center"/>
          </w:tcPr>
          <w:p w:rsidR="0003604F" w:rsidRDefault="007A7193">
            <w:pPr>
              <w:jc w:val="right"/>
            </w:pPr>
            <w:r>
              <w:rPr>
                <w:rFonts w:eastAsiaTheme="minorEastAsia"/>
                <w:color w:val="000000" w:themeColor="text1"/>
                <w:szCs w:val="21"/>
              </w:rPr>
              <w:t>-9.35%</w:t>
            </w:r>
          </w:p>
        </w:tc>
        <w:tc>
          <w:tcPr>
            <w:tcW w:w="1291" w:type="dxa"/>
            <w:vAlign w:val="center"/>
          </w:tcPr>
          <w:p w:rsidR="0003604F" w:rsidRDefault="007A7193">
            <w:pPr>
              <w:jc w:val="right"/>
            </w:pPr>
            <w:r>
              <w:rPr>
                <w:rFonts w:eastAsiaTheme="minorEastAsia"/>
                <w:color w:val="000000" w:themeColor="text1"/>
                <w:szCs w:val="21"/>
              </w:rPr>
              <w:t>0.30%</w:t>
            </w:r>
          </w:p>
        </w:tc>
      </w:tr>
      <w:tr w:rsidR="0003604F">
        <w:tc>
          <w:tcPr>
            <w:tcW w:w="1290" w:type="dxa"/>
            <w:vAlign w:val="center"/>
          </w:tcPr>
          <w:p w:rsidR="0003604F" w:rsidRDefault="007A7193">
            <w:pPr>
              <w:jc w:val="left"/>
            </w:pPr>
            <w:r>
              <w:rPr>
                <w:rFonts w:eastAsiaTheme="minorEastAsia"/>
                <w:color w:val="000000" w:themeColor="text1"/>
                <w:szCs w:val="21"/>
              </w:rPr>
              <w:t>过去一年</w:t>
            </w:r>
          </w:p>
        </w:tc>
        <w:tc>
          <w:tcPr>
            <w:tcW w:w="1291" w:type="dxa"/>
            <w:vAlign w:val="center"/>
          </w:tcPr>
          <w:p w:rsidR="0003604F" w:rsidRDefault="007A7193">
            <w:pPr>
              <w:jc w:val="right"/>
            </w:pPr>
            <w:r>
              <w:rPr>
                <w:rFonts w:eastAsiaTheme="minorEastAsia"/>
                <w:color w:val="000000" w:themeColor="text1"/>
                <w:szCs w:val="21"/>
              </w:rPr>
              <w:t>-22.64%</w:t>
            </w:r>
          </w:p>
        </w:tc>
        <w:tc>
          <w:tcPr>
            <w:tcW w:w="1291" w:type="dxa"/>
            <w:vAlign w:val="center"/>
          </w:tcPr>
          <w:p w:rsidR="0003604F" w:rsidRDefault="007A7193">
            <w:pPr>
              <w:jc w:val="right"/>
            </w:pPr>
            <w:r>
              <w:rPr>
                <w:rFonts w:eastAsiaTheme="minorEastAsia"/>
                <w:color w:val="000000" w:themeColor="text1"/>
                <w:szCs w:val="21"/>
              </w:rPr>
              <w:t>1.16%</w:t>
            </w:r>
          </w:p>
        </w:tc>
        <w:tc>
          <w:tcPr>
            <w:tcW w:w="1291" w:type="dxa"/>
            <w:vAlign w:val="center"/>
          </w:tcPr>
          <w:p w:rsidR="0003604F" w:rsidRDefault="007A7193">
            <w:pPr>
              <w:jc w:val="right"/>
            </w:pPr>
            <w:r>
              <w:rPr>
                <w:rFonts w:eastAsiaTheme="minorEastAsia"/>
                <w:color w:val="000000" w:themeColor="text1"/>
                <w:szCs w:val="21"/>
              </w:rPr>
              <w:t>-5.30%</w:t>
            </w:r>
          </w:p>
        </w:tc>
        <w:tc>
          <w:tcPr>
            <w:tcW w:w="1291" w:type="dxa"/>
            <w:vAlign w:val="center"/>
          </w:tcPr>
          <w:p w:rsidR="0003604F" w:rsidRDefault="007A7193">
            <w:pPr>
              <w:jc w:val="right"/>
            </w:pPr>
            <w:r>
              <w:rPr>
                <w:rFonts w:eastAsiaTheme="minorEastAsia"/>
                <w:color w:val="000000" w:themeColor="text1"/>
                <w:szCs w:val="21"/>
              </w:rPr>
              <w:t>0.49%</w:t>
            </w:r>
          </w:p>
        </w:tc>
        <w:tc>
          <w:tcPr>
            <w:tcW w:w="1291" w:type="dxa"/>
            <w:vAlign w:val="center"/>
          </w:tcPr>
          <w:p w:rsidR="0003604F" w:rsidRDefault="007A7193">
            <w:pPr>
              <w:jc w:val="right"/>
            </w:pPr>
            <w:r>
              <w:rPr>
                <w:rFonts w:eastAsiaTheme="minorEastAsia"/>
                <w:color w:val="000000" w:themeColor="text1"/>
                <w:szCs w:val="21"/>
              </w:rPr>
              <w:t>-17.34%</w:t>
            </w:r>
          </w:p>
        </w:tc>
        <w:tc>
          <w:tcPr>
            <w:tcW w:w="1291" w:type="dxa"/>
            <w:vAlign w:val="center"/>
          </w:tcPr>
          <w:p w:rsidR="0003604F" w:rsidRDefault="007A7193">
            <w:pPr>
              <w:jc w:val="right"/>
            </w:pPr>
            <w:r>
              <w:rPr>
                <w:rFonts w:eastAsiaTheme="minorEastAsia"/>
                <w:color w:val="000000" w:themeColor="text1"/>
                <w:szCs w:val="21"/>
              </w:rPr>
              <w:t>0.67%</w:t>
            </w:r>
          </w:p>
        </w:tc>
      </w:tr>
      <w:tr w:rsidR="0003604F">
        <w:tc>
          <w:tcPr>
            <w:tcW w:w="1290" w:type="dxa"/>
            <w:vAlign w:val="center"/>
          </w:tcPr>
          <w:p w:rsidR="0003604F" w:rsidRDefault="007A7193">
            <w:pPr>
              <w:jc w:val="left"/>
            </w:pPr>
            <w:r>
              <w:rPr>
                <w:rFonts w:eastAsiaTheme="minorEastAsia"/>
                <w:color w:val="000000" w:themeColor="text1"/>
                <w:szCs w:val="21"/>
              </w:rPr>
              <w:t>过去三年</w:t>
            </w:r>
          </w:p>
        </w:tc>
        <w:tc>
          <w:tcPr>
            <w:tcW w:w="1291" w:type="dxa"/>
            <w:vAlign w:val="center"/>
          </w:tcPr>
          <w:p w:rsidR="0003604F" w:rsidRDefault="007A7193">
            <w:pPr>
              <w:jc w:val="right"/>
            </w:pPr>
            <w:r>
              <w:rPr>
                <w:rFonts w:eastAsiaTheme="minorEastAsia"/>
                <w:color w:val="000000" w:themeColor="text1"/>
                <w:szCs w:val="21"/>
              </w:rPr>
              <w:t>-</w:t>
            </w:r>
          </w:p>
        </w:tc>
        <w:tc>
          <w:tcPr>
            <w:tcW w:w="1291" w:type="dxa"/>
            <w:vAlign w:val="center"/>
          </w:tcPr>
          <w:p w:rsidR="0003604F" w:rsidRDefault="007A7193">
            <w:pPr>
              <w:jc w:val="right"/>
            </w:pPr>
            <w:r>
              <w:rPr>
                <w:rFonts w:eastAsiaTheme="minorEastAsia"/>
                <w:color w:val="000000" w:themeColor="text1"/>
                <w:szCs w:val="21"/>
              </w:rPr>
              <w:t>-</w:t>
            </w:r>
          </w:p>
        </w:tc>
        <w:tc>
          <w:tcPr>
            <w:tcW w:w="1291" w:type="dxa"/>
            <w:vAlign w:val="center"/>
          </w:tcPr>
          <w:p w:rsidR="0003604F" w:rsidRDefault="007A7193">
            <w:pPr>
              <w:jc w:val="right"/>
            </w:pPr>
            <w:r>
              <w:rPr>
                <w:rFonts w:eastAsiaTheme="minorEastAsia"/>
                <w:color w:val="000000" w:themeColor="text1"/>
                <w:szCs w:val="21"/>
              </w:rPr>
              <w:t>-</w:t>
            </w:r>
          </w:p>
        </w:tc>
        <w:tc>
          <w:tcPr>
            <w:tcW w:w="1291" w:type="dxa"/>
            <w:vAlign w:val="center"/>
          </w:tcPr>
          <w:p w:rsidR="0003604F" w:rsidRDefault="007A7193">
            <w:pPr>
              <w:jc w:val="right"/>
            </w:pPr>
            <w:r>
              <w:rPr>
                <w:rFonts w:eastAsiaTheme="minorEastAsia"/>
                <w:color w:val="000000" w:themeColor="text1"/>
                <w:szCs w:val="21"/>
              </w:rPr>
              <w:t>-</w:t>
            </w:r>
          </w:p>
        </w:tc>
        <w:tc>
          <w:tcPr>
            <w:tcW w:w="1291" w:type="dxa"/>
            <w:vAlign w:val="center"/>
          </w:tcPr>
          <w:p w:rsidR="0003604F" w:rsidRDefault="007A7193">
            <w:pPr>
              <w:jc w:val="right"/>
            </w:pPr>
            <w:r>
              <w:rPr>
                <w:rFonts w:eastAsiaTheme="minorEastAsia"/>
                <w:color w:val="000000" w:themeColor="text1"/>
                <w:szCs w:val="21"/>
              </w:rPr>
              <w:t>-</w:t>
            </w:r>
          </w:p>
        </w:tc>
        <w:tc>
          <w:tcPr>
            <w:tcW w:w="1291" w:type="dxa"/>
            <w:vAlign w:val="center"/>
          </w:tcPr>
          <w:p w:rsidR="0003604F" w:rsidRDefault="007A7193">
            <w:pPr>
              <w:jc w:val="right"/>
            </w:pPr>
            <w:r>
              <w:rPr>
                <w:rFonts w:eastAsiaTheme="minorEastAsia"/>
                <w:color w:val="000000" w:themeColor="text1"/>
                <w:szCs w:val="21"/>
              </w:rPr>
              <w:t>-</w:t>
            </w:r>
          </w:p>
        </w:tc>
      </w:tr>
      <w:tr w:rsidR="0003604F">
        <w:tc>
          <w:tcPr>
            <w:tcW w:w="1290" w:type="dxa"/>
            <w:vAlign w:val="center"/>
          </w:tcPr>
          <w:p w:rsidR="0003604F" w:rsidRDefault="007A7193">
            <w:pPr>
              <w:jc w:val="left"/>
            </w:pPr>
            <w:r>
              <w:rPr>
                <w:rFonts w:eastAsiaTheme="minorEastAsia"/>
                <w:color w:val="000000" w:themeColor="text1"/>
                <w:szCs w:val="21"/>
              </w:rPr>
              <w:t>过去五年</w:t>
            </w:r>
          </w:p>
        </w:tc>
        <w:tc>
          <w:tcPr>
            <w:tcW w:w="1291" w:type="dxa"/>
            <w:vAlign w:val="center"/>
          </w:tcPr>
          <w:p w:rsidR="0003604F" w:rsidRDefault="007A7193">
            <w:pPr>
              <w:jc w:val="right"/>
            </w:pPr>
            <w:r>
              <w:rPr>
                <w:rFonts w:eastAsiaTheme="minorEastAsia"/>
                <w:color w:val="000000" w:themeColor="text1"/>
                <w:szCs w:val="21"/>
              </w:rPr>
              <w:t>-</w:t>
            </w:r>
          </w:p>
        </w:tc>
        <w:tc>
          <w:tcPr>
            <w:tcW w:w="1291" w:type="dxa"/>
            <w:vAlign w:val="center"/>
          </w:tcPr>
          <w:p w:rsidR="0003604F" w:rsidRDefault="007A7193">
            <w:pPr>
              <w:jc w:val="right"/>
            </w:pPr>
            <w:r>
              <w:rPr>
                <w:rFonts w:eastAsiaTheme="minorEastAsia"/>
                <w:color w:val="000000" w:themeColor="text1"/>
                <w:szCs w:val="21"/>
              </w:rPr>
              <w:t>-</w:t>
            </w:r>
          </w:p>
        </w:tc>
        <w:tc>
          <w:tcPr>
            <w:tcW w:w="1291" w:type="dxa"/>
            <w:vAlign w:val="center"/>
          </w:tcPr>
          <w:p w:rsidR="0003604F" w:rsidRDefault="007A7193">
            <w:pPr>
              <w:jc w:val="right"/>
            </w:pPr>
            <w:r>
              <w:rPr>
                <w:rFonts w:eastAsiaTheme="minorEastAsia"/>
                <w:color w:val="000000" w:themeColor="text1"/>
                <w:szCs w:val="21"/>
              </w:rPr>
              <w:t>-</w:t>
            </w:r>
          </w:p>
        </w:tc>
        <w:tc>
          <w:tcPr>
            <w:tcW w:w="1291" w:type="dxa"/>
            <w:vAlign w:val="center"/>
          </w:tcPr>
          <w:p w:rsidR="0003604F" w:rsidRDefault="007A7193">
            <w:pPr>
              <w:jc w:val="right"/>
            </w:pPr>
            <w:r>
              <w:rPr>
                <w:rFonts w:eastAsiaTheme="minorEastAsia"/>
                <w:color w:val="000000" w:themeColor="text1"/>
                <w:szCs w:val="21"/>
              </w:rPr>
              <w:t>-</w:t>
            </w:r>
          </w:p>
        </w:tc>
        <w:tc>
          <w:tcPr>
            <w:tcW w:w="1291" w:type="dxa"/>
            <w:vAlign w:val="center"/>
          </w:tcPr>
          <w:p w:rsidR="0003604F" w:rsidRDefault="007A7193">
            <w:pPr>
              <w:jc w:val="right"/>
            </w:pPr>
            <w:r>
              <w:rPr>
                <w:rFonts w:eastAsiaTheme="minorEastAsia"/>
                <w:color w:val="000000" w:themeColor="text1"/>
                <w:szCs w:val="21"/>
              </w:rPr>
              <w:t>-</w:t>
            </w:r>
          </w:p>
        </w:tc>
        <w:tc>
          <w:tcPr>
            <w:tcW w:w="1291" w:type="dxa"/>
            <w:vAlign w:val="center"/>
          </w:tcPr>
          <w:p w:rsidR="0003604F" w:rsidRDefault="007A7193">
            <w:pPr>
              <w:jc w:val="right"/>
            </w:pPr>
            <w:r>
              <w:rPr>
                <w:rFonts w:eastAsiaTheme="minorEastAsia"/>
                <w:color w:val="000000" w:themeColor="text1"/>
                <w:szCs w:val="21"/>
              </w:rPr>
              <w:t>-</w:t>
            </w:r>
          </w:p>
        </w:tc>
      </w:tr>
      <w:tr w:rsidR="0003604F">
        <w:tc>
          <w:tcPr>
            <w:tcW w:w="1290" w:type="dxa"/>
            <w:vAlign w:val="center"/>
          </w:tcPr>
          <w:p w:rsidR="0003604F" w:rsidRDefault="007A7193">
            <w:pPr>
              <w:jc w:val="left"/>
            </w:pPr>
            <w:r>
              <w:rPr>
                <w:rFonts w:eastAsiaTheme="minorEastAsia"/>
                <w:color w:val="000000" w:themeColor="text1"/>
                <w:szCs w:val="21"/>
              </w:rPr>
              <w:t>自基金合同生效起至今</w:t>
            </w:r>
          </w:p>
        </w:tc>
        <w:tc>
          <w:tcPr>
            <w:tcW w:w="1291" w:type="dxa"/>
            <w:vAlign w:val="center"/>
          </w:tcPr>
          <w:p w:rsidR="0003604F" w:rsidRDefault="007A7193">
            <w:pPr>
              <w:jc w:val="right"/>
            </w:pPr>
            <w:r>
              <w:rPr>
                <w:rFonts w:eastAsiaTheme="minorEastAsia"/>
                <w:color w:val="000000" w:themeColor="text1"/>
                <w:szCs w:val="21"/>
              </w:rPr>
              <w:t>-20.65%</w:t>
            </w:r>
          </w:p>
        </w:tc>
        <w:tc>
          <w:tcPr>
            <w:tcW w:w="1291" w:type="dxa"/>
            <w:vAlign w:val="center"/>
          </w:tcPr>
          <w:p w:rsidR="0003604F" w:rsidRDefault="007A7193">
            <w:pPr>
              <w:jc w:val="right"/>
            </w:pPr>
            <w:r>
              <w:rPr>
                <w:rFonts w:eastAsiaTheme="minorEastAsia"/>
                <w:color w:val="000000" w:themeColor="text1"/>
                <w:szCs w:val="21"/>
              </w:rPr>
              <w:t>1.19%</w:t>
            </w:r>
          </w:p>
        </w:tc>
        <w:tc>
          <w:tcPr>
            <w:tcW w:w="1291" w:type="dxa"/>
            <w:vAlign w:val="center"/>
          </w:tcPr>
          <w:p w:rsidR="0003604F" w:rsidRDefault="007A7193">
            <w:pPr>
              <w:jc w:val="right"/>
            </w:pPr>
            <w:r>
              <w:rPr>
                <w:rFonts w:eastAsiaTheme="minorEastAsia"/>
                <w:color w:val="000000" w:themeColor="text1"/>
                <w:szCs w:val="21"/>
              </w:rPr>
              <w:t>-2.88%</w:t>
            </w:r>
          </w:p>
        </w:tc>
        <w:tc>
          <w:tcPr>
            <w:tcW w:w="1291" w:type="dxa"/>
            <w:vAlign w:val="center"/>
          </w:tcPr>
          <w:p w:rsidR="0003604F" w:rsidRDefault="007A7193">
            <w:pPr>
              <w:jc w:val="right"/>
            </w:pPr>
            <w:r>
              <w:rPr>
                <w:rFonts w:eastAsiaTheme="minorEastAsia"/>
                <w:color w:val="000000" w:themeColor="text1"/>
                <w:szCs w:val="21"/>
              </w:rPr>
              <w:t>0.58%</w:t>
            </w:r>
          </w:p>
        </w:tc>
        <w:tc>
          <w:tcPr>
            <w:tcW w:w="1291" w:type="dxa"/>
            <w:vAlign w:val="center"/>
          </w:tcPr>
          <w:p w:rsidR="0003604F" w:rsidRDefault="007A7193">
            <w:pPr>
              <w:jc w:val="right"/>
            </w:pPr>
            <w:r>
              <w:rPr>
                <w:rFonts w:eastAsiaTheme="minorEastAsia"/>
                <w:color w:val="000000" w:themeColor="text1"/>
                <w:szCs w:val="21"/>
              </w:rPr>
              <w:t>-17.77%</w:t>
            </w:r>
          </w:p>
        </w:tc>
        <w:tc>
          <w:tcPr>
            <w:tcW w:w="1291" w:type="dxa"/>
            <w:vAlign w:val="center"/>
          </w:tcPr>
          <w:p w:rsidR="0003604F" w:rsidRDefault="007A7193">
            <w:pPr>
              <w:jc w:val="right"/>
            </w:pPr>
            <w:r>
              <w:rPr>
                <w:rFonts w:eastAsiaTheme="minorEastAsia"/>
                <w:color w:val="000000" w:themeColor="text1"/>
                <w:szCs w:val="21"/>
              </w:rPr>
              <w:t>0.61%</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摩根双核平衡混合型证券投资基金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(2008</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5</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21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．摩根双核平衡混合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2008</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21</w:t>
      </w:r>
      <w:r>
        <w:rPr>
          <w:rFonts w:eastAsiaTheme="minorEastAsia"/>
          <w:color w:val="000000" w:themeColor="text1"/>
          <w:szCs w:val="21"/>
        </w:rPr>
        <w:t>日，图示的时间段为合同生效日至本报告期末。</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．摩根双核平衡混合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2022 </w:t>
      </w:r>
      <w:r>
        <w:rPr>
          <w:rFonts w:eastAsiaTheme="minorEastAsia"/>
          <w:color w:val="000000" w:themeColor="text1"/>
          <w:szCs w:val="21"/>
        </w:rPr>
        <w:t>年</w:t>
      </w:r>
      <w:r>
        <w:rPr>
          <w:rFonts w:eastAsiaTheme="minorEastAsia"/>
          <w:color w:val="000000" w:themeColor="text1"/>
          <w:szCs w:val="21"/>
        </w:rPr>
        <w:t>2</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r>
        <w:rPr>
          <w:rFonts w:eastAsiaTheme="minorEastAsia"/>
          <w:color w:val="000000" w:themeColor="text1"/>
          <w:szCs w:val="21"/>
        </w:rPr>
        <w:t xml:space="preserve"> </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03604F">
        <w:tc>
          <w:tcPr>
            <w:tcW w:w="952" w:type="dxa"/>
            <w:vAlign w:val="center"/>
          </w:tcPr>
          <w:p w:rsidR="0003604F" w:rsidRDefault="007A7193">
            <w:pPr>
              <w:jc w:val="center"/>
            </w:pPr>
            <w:r>
              <w:rPr>
                <w:rFonts w:eastAsiaTheme="minorEastAsia"/>
                <w:color w:val="000000" w:themeColor="text1"/>
                <w:szCs w:val="21"/>
              </w:rPr>
              <w:t>陈思郁</w:t>
            </w:r>
          </w:p>
        </w:tc>
        <w:tc>
          <w:tcPr>
            <w:tcW w:w="930" w:type="dxa"/>
            <w:vAlign w:val="center"/>
          </w:tcPr>
          <w:p w:rsidR="0003604F" w:rsidRDefault="007A7193">
            <w:pPr>
              <w:jc w:val="center"/>
            </w:pPr>
            <w:r>
              <w:rPr>
                <w:rFonts w:eastAsiaTheme="minorEastAsia"/>
                <w:color w:val="000000" w:themeColor="text1"/>
                <w:szCs w:val="21"/>
              </w:rPr>
              <w:t>本基金基金经理</w:t>
            </w:r>
          </w:p>
        </w:tc>
        <w:tc>
          <w:tcPr>
            <w:tcW w:w="1210" w:type="dxa"/>
            <w:vAlign w:val="center"/>
          </w:tcPr>
          <w:p w:rsidR="0003604F" w:rsidRDefault="007A7193">
            <w:pPr>
              <w:jc w:val="center"/>
            </w:pPr>
            <w:r>
              <w:rPr>
                <w:rFonts w:eastAsiaTheme="minorEastAsia"/>
                <w:color w:val="000000" w:themeColor="text1"/>
                <w:szCs w:val="21"/>
              </w:rPr>
              <w:t>2015-08-04</w:t>
            </w:r>
          </w:p>
        </w:tc>
        <w:tc>
          <w:tcPr>
            <w:tcW w:w="1309" w:type="dxa"/>
            <w:vAlign w:val="center"/>
          </w:tcPr>
          <w:p w:rsidR="0003604F" w:rsidRDefault="007A7193">
            <w:pPr>
              <w:jc w:val="center"/>
            </w:pPr>
            <w:r>
              <w:rPr>
                <w:rFonts w:eastAsiaTheme="minorEastAsia"/>
                <w:color w:val="000000" w:themeColor="text1"/>
                <w:szCs w:val="21"/>
              </w:rPr>
              <w:t>-</w:t>
            </w:r>
          </w:p>
        </w:tc>
        <w:tc>
          <w:tcPr>
            <w:tcW w:w="1254" w:type="dxa"/>
            <w:vAlign w:val="center"/>
          </w:tcPr>
          <w:p w:rsidR="0003604F" w:rsidRDefault="007A7193">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03604F" w:rsidRDefault="007A7193">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03604F" w:rsidRDefault="007A719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3,105,102,210.07</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22,591,462.32</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6</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3,127,693,672.39</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2023</w:t>
      </w:r>
      <w:r>
        <w:rPr>
          <w:rFonts w:eastAsiaTheme="minorEastAsia"/>
          <w:color w:val="000000" w:themeColor="text1"/>
          <w:szCs w:val="21"/>
        </w:rPr>
        <w:t>年二季度，市场之前较多期待的刺激政策并没有落地，经济整体运行稳健，但亮点不多，疫后复苏有序进行，服务业出行链回暖，消费低位企稳，降级现象明显，地产消费和投资依然继续探底，基建也不及预期。在这样</w:t>
      </w:r>
      <w:r>
        <w:rPr>
          <w:rFonts w:eastAsiaTheme="minorEastAsia"/>
          <w:color w:val="000000" w:themeColor="text1"/>
          <w:szCs w:val="21"/>
        </w:rPr>
        <w:t>的经济大环境下，市场表现不佳，看似热闹，热点频出，但轮动很快，持续赚钱效应不佳。</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从基本面看，恢复较好的主要是受益于疫情政策调整的服务业和出行链，但由于疤痕效应，消费均价下降较多，导致企业增收不增利。市场整体的担心主要集中于持续的通缩，在这个阶段，景气度投资暂时失效，市场并没有依据目前的基本面演绎。流动性方面又比较宽裕，在不信任基本面持续性的情况下，市场选择了</w:t>
      </w:r>
      <w:r>
        <w:rPr>
          <w:rFonts w:eastAsiaTheme="minorEastAsia"/>
          <w:color w:val="000000" w:themeColor="text1"/>
          <w:szCs w:val="21"/>
        </w:rPr>
        <w:t>“</w:t>
      </w:r>
      <w:r>
        <w:rPr>
          <w:rFonts w:eastAsiaTheme="minorEastAsia"/>
          <w:color w:val="000000" w:themeColor="text1"/>
          <w:szCs w:val="21"/>
        </w:rPr>
        <w:t>诗和远方</w:t>
      </w:r>
      <w:r>
        <w:rPr>
          <w:rFonts w:eastAsiaTheme="minorEastAsia"/>
          <w:color w:val="000000" w:themeColor="text1"/>
          <w:szCs w:val="21"/>
        </w:rPr>
        <w:t>”</w:t>
      </w:r>
      <w:r>
        <w:rPr>
          <w:rFonts w:eastAsiaTheme="minorEastAsia"/>
          <w:color w:val="000000" w:themeColor="text1"/>
          <w:szCs w:val="21"/>
        </w:rPr>
        <w:t>，炒作主题，并且快速轮动。</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展望未来，我们并不认同</w:t>
      </w:r>
      <w:r>
        <w:rPr>
          <w:rFonts w:eastAsiaTheme="minorEastAsia"/>
          <w:color w:val="000000" w:themeColor="text1"/>
          <w:szCs w:val="21"/>
        </w:rPr>
        <w:t>“</w:t>
      </w:r>
      <w:r>
        <w:rPr>
          <w:rFonts w:eastAsiaTheme="minorEastAsia"/>
          <w:color w:val="000000" w:themeColor="text1"/>
          <w:szCs w:val="21"/>
        </w:rPr>
        <w:t>通缩论</w:t>
      </w:r>
      <w:r>
        <w:rPr>
          <w:rFonts w:eastAsiaTheme="minorEastAsia"/>
          <w:color w:val="000000" w:themeColor="text1"/>
          <w:szCs w:val="21"/>
        </w:rPr>
        <w:t>”</w:t>
      </w:r>
      <w:r>
        <w:rPr>
          <w:rFonts w:eastAsiaTheme="minorEastAsia"/>
          <w:color w:val="000000" w:themeColor="text1"/>
          <w:szCs w:val="21"/>
        </w:rPr>
        <w:t>，通缩本质上是极度的两极分化，导致社会面需求急剧下降，物价下降也无法刺激需求，货币政策失灵。目前我国虽然有部分产业产能问题略严重，但绝不是社会面整体的情况。因此我们认为市场脱离我国经济基本面，股价不反应公司经营情况只是暂时的。随着三季度开始，我国有望从被动去库存进入到主动加库存阶段，自身的周期的动力有望进入扩张阶段，</w:t>
      </w:r>
      <w:r>
        <w:rPr>
          <w:rFonts w:eastAsiaTheme="minorEastAsia"/>
          <w:color w:val="000000" w:themeColor="text1"/>
          <w:szCs w:val="21"/>
        </w:rPr>
        <w:t>PPI</w:t>
      </w:r>
      <w:r>
        <w:rPr>
          <w:rFonts w:eastAsiaTheme="minorEastAsia"/>
          <w:color w:val="000000" w:themeColor="text1"/>
          <w:szCs w:val="21"/>
        </w:rPr>
        <w:t>磨底结束，有望开启温和上行阶段，从而拉动经济，进而改变大家通缩的预期。</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本次经济大的背景是从衰退进入复苏，但本轮复苏之路会很坎坷，因为这可能是我国自</w:t>
      </w:r>
      <w:r w:rsidRPr="00B27A29">
        <w:rPr>
          <w:rFonts w:eastAsiaTheme="minorEastAsia"/>
          <w:color w:val="000000" w:themeColor="text1"/>
          <w:szCs w:val="21"/>
        </w:rPr>
        <w:t>21</w:t>
      </w:r>
      <w:r w:rsidRPr="00B27A29">
        <w:rPr>
          <w:rFonts w:eastAsiaTheme="minorEastAsia"/>
          <w:color w:val="000000" w:themeColor="text1"/>
          <w:szCs w:val="21"/>
        </w:rPr>
        <w:t>世纪以来，第一次在没有地产投资发力、基建明显拉动下完成的，在这样的背景下，市场大的方向是从熊市走向牛市，可能同样也会很波折，我们需要多一点耐心，等待经济的企稳和市场的恢复。</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本报告期摩根双核平衡</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:-4.27%</w:t>
      </w:r>
      <w:r>
        <w:rPr>
          <w:rFonts w:eastAsiaTheme="minorEastAsia"/>
          <w:color w:val="000000" w:themeColor="text1"/>
          <w:szCs w:val="21"/>
        </w:rPr>
        <w:t>，同期业绩比较基准收益率为</w:t>
      </w:r>
      <w:r>
        <w:rPr>
          <w:rFonts w:eastAsiaTheme="minorEastAsia"/>
          <w:color w:val="000000" w:themeColor="text1"/>
          <w:szCs w:val="21"/>
        </w:rPr>
        <w:t>:-1.87%</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摩根双核平衡</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:-4.39%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:-1.87%</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177,321,040.74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58.93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177,321,040.74</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58.93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90,411,522.82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30.05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90,411,522.82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30.05</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7,200,000.00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2.39</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25,796,643.40</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8.57</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155,595.50</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300,884,802.46</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154,846,723.93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54.32</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2,689,870.10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1,425,480.07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0.50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10,745,254.48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3.77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4,447,937.40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1.56</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3,165,774.76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177,321,040.74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62.21</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期末按公允价值占基金资产净值比例大小排序的股票投资明细</w:t>
      </w:r>
      <w:r w:rsidRPr="00B27A29">
        <w:rPr>
          <w:rFonts w:asciiTheme="minorEastAsia" w:eastAsiaTheme="minorEastAsia" w:hAnsiTheme="minorEastAsia" w:hint="eastAsia"/>
          <w:b/>
          <w:bCs/>
          <w:kern w:val="0"/>
          <w:szCs w:val="21"/>
        </w:rPr>
        <w:cr/>
      </w:r>
      <w:r w:rsidRPr="00B27A29">
        <w:rPr>
          <w:rFonts w:eastAsiaTheme="minorEastAsia"/>
          <w:b/>
          <w:bCs/>
          <w:kern w:val="0"/>
          <w:szCs w:val="21"/>
        </w:rPr>
        <w:t>5.3.1</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03604F">
        <w:tc>
          <w:tcPr>
            <w:tcW w:w="817" w:type="dxa"/>
            <w:vAlign w:val="center"/>
          </w:tcPr>
          <w:p w:rsidR="0003604F" w:rsidRDefault="007A7193">
            <w:pPr>
              <w:jc w:val="center"/>
            </w:pPr>
            <w:r>
              <w:rPr>
                <w:rFonts w:eastAsiaTheme="minorEastAsia"/>
                <w:kern w:val="0"/>
                <w:szCs w:val="21"/>
              </w:rPr>
              <w:t>1</w:t>
            </w:r>
          </w:p>
        </w:tc>
        <w:tc>
          <w:tcPr>
            <w:tcW w:w="1276" w:type="dxa"/>
            <w:vAlign w:val="center"/>
          </w:tcPr>
          <w:p w:rsidR="0003604F" w:rsidRDefault="007A7193">
            <w:pPr>
              <w:jc w:val="center"/>
            </w:pPr>
            <w:r>
              <w:rPr>
                <w:rFonts w:eastAsiaTheme="minorEastAsia"/>
                <w:kern w:val="0"/>
                <w:szCs w:val="21"/>
              </w:rPr>
              <w:t>300308</w:t>
            </w:r>
          </w:p>
        </w:tc>
        <w:tc>
          <w:tcPr>
            <w:tcW w:w="1701" w:type="dxa"/>
            <w:vAlign w:val="center"/>
          </w:tcPr>
          <w:p w:rsidR="0003604F" w:rsidRDefault="007A7193">
            <w:pPr>
              <w:jc w:val="center"/>
            </w:pPr>
            <w:r>
              <w:rPr>
                <w:rFonts w:eastAsiaTheme="minorEastAsia"/>
                <w:kern w:val="0"/>
                <w:szCs w:val="21"/>
              </w:rPr>
              <w:t>中际旭创</w:t>
            </w:r>
          </w:p>
        </w:tc>
        <w:tc>
          <w:tcPr>
            <w:tcW w:w="1276" w:type="dxa"/>
            <w:vAlign w:val="center"/>
          </w:tcPr>
          <w:p w:rsidR="0003604F" w:rsidRDefault="007A7193">
            <w:pPr>
              <w:jc w:val="right"/>
            </w:pPr>
            <w:r>
              <w:rPr>
                <w:rFonts w:eastAsiaTheme="minorEastAsia"/>
                <w:kern w:val="0"/>
                <w:szCs w:val="21"/>
              </w:rPr>
              <w:t>146,180</w:t>
            </w:r>
          </w:p>
        </w:tc>
        <w:tc>
          <w:tcPr>
            <w:tcW w:w="1842" w:type="dxa"/>
            <w:vAlign w:val="center"/>
          </w:tcPr>
          <w:p w:rsidR="0003604F" w:rsidRDefault="007A7193">
            <w:pPr>
              <w:jc w:val="right"/>
            </w:pPr>
            <w:r>
              <w:rPr>
                <w:rFonts w:eastAsiaTheme="minorEastAsia"/>
                <w:kern w:val="0"/>
                <w:szCs w:val="21"/>
              </w:rPr>
              <w:t>21,554,241.00</w:t>
            </w:r>
          </w:p>
        </w:tc>
        <w:tc>
          <w:tcPr>
            <w:tcW w:w="1616" w:type="dxa"/>
            <w:vAlign w:val="center"/>
          </w:tcPr>
          <w:p w:rsidR="0003604F" w:rsidRDefault="007A7193">
            <w:pPr>
              <w:jc w:val="right"/>
            </w:pPr>
            <w:r>
              <w:rPr>
                <w:rFonts w:eastAsiaTheme="minorEastAsia"/>
                <w:kern w:val="0"/>
                <w:szCs w:val="21"/>
              </w:rPr>
              <w:t>7.56</w:t>
            </w:r>
          </w:p>
        </w:tc>
      </w:tr>
      <w:tr w:rsidR="0003604F">
        <w:tc>
          <w:tcPr>
            <w:tcW w:w="817" w:type="dxa"/>
            <w:vAlign w:val="center"/>
          </w:tcPr>
          <w:p w:rsidR="0003604F" w:rsidRDefault="007A7193">
            <w:pPr>
              <w:jc w:val="center"/>
            </w:pPr>
            <w:r>
              <w:rPr>
                <w:rFonts w:eastAsiaTheme="minorEastAsia"/>
                <w:kern w:val="0"/>
                <w:szCs w:val="21"/>
              </w:rPr>
              <w:t>2</w:t>
            </w:r>
          </w:p>
        </w:tc>
        <w:tc>
          <w:tcPr>
            <w:tcW w:w="1276" w:type="dxa"/>
            <w:vAlign w:val="center"/>
          </w:tcPr>
          <w:p w:rsidR="0003604F" w:rsidRDefault="007A7193">
            <w:pPr>
              <w:jc w:val="center"/>
            </w:pPr>
            <w:r>
              <w:rPr>
                <w:rFonts w:eastAsiaTheme="minorEastAsia"/>
                <w:kern w:val="0"/>
                <w:szCs w:val="21"/>
              </w:rPr>
              <w:t>600066</w:t>
            </w:r>
          </w:p>
        </w:tc>
        <w:tc>
          <w:tcPr>
            <w:tcW w:w="1701" w:type="dxa"/>
            <w:vAlign w:val="center"/>
          </w:tcPr>
          <w:p w:rsidR="0003604F" w:rsidRDefault="007A7193">
            <w:pPr>
              <w:jc w:val="center"/>
            </w:pPr>
            <w:r>
              <w:rPr>
                <w:rFonts w:eastAsiaTheme="minorEastAsia"/>
                <w:kern w:val="0"/>
                <w:szCs w:val="21"/>
              </w:rPr>
              <w:t>宇通客车</w:t>
            </w:r>
          </w:p>
        </w:tc>
        <w:tc>
          <w:tcPr>
            <w:tcW w:w="1276" w:type="dxa"/>
            <w:vAlign w:val="center"/>
          </w:tcPr>
          <w:p w:rsidR="0003604F" w:rsidRDefault="007A7193">
            <w:pPr>
              <w:jc w:val="right"/>
            </w:pPr>
            <w:r>
              <w:rPr>
                <w:rFonts w:eastAsiaTheme="minorEastAsia"/>
                <w:kern w:val="0"/>
                <w:szCs w:val="21"/>
              </w:rPr>
              <w:t>641,500</w:t>
            </w:r>
          </w:p>
        </w:tc>
        <w:tc>
          <w:tcPr>
            <w:tcW w:w="1842" w:type="dxa"/>
            <w:vAlign w:val="center"/>
          </w:tcPr>
          <w:p w:rsidR="0003604F" w:rsidRDefault="007A7193">
            <w:pPr>
              <w:jc w:val="right"/>
            </w:pPr>
            <w:r>
              <w:rPr>
                <w:rFonts w:eastAsiaTheme="minorEastAsia"/>
                <w:kern w:val="0"/>
                <w:szCs w:val="21"/>
              </w:rPr>
              <w:t>9,455,710.00</w:t>
            </w:r>
          </w:p>
        </w:tc>
        <w:tc>
          <w:tcPr>
            <w:tcW w:w="1616" w:type="dxa"/>
            <w:vAlign w:val="center"/>
          </w:tcPr>
          <w:p w:rsidR="0003604F" w:rsidRDefault="007A7193">
            <w:pPr>
              <w:jc w:val="right"/>
            </w:pPr>
            <w:r>
              <w:rPr>
                <w:rFonts w:eastAsiaTheme="minorEastAsia"/>
                <w:kern w:val="0"/>
                <w:szCs w:val="21"/>
              </w:rPr>
              <w:t>3.32</w:t>
            </w:r>
          </w:p>
        </w:tc>
      </w:tr>
      <w:tr w:rsidR="0003604F">
        <w:tc>
          <w:tcPr>
            <w:tcW w:w="817" w:type="dxa"/>
            <w:vAlign w:val="center"/>
          </w:tcPr>
          <w:p w:rsidR="0003604F" w:rsidRDefault="007A7193">
            <w:pPr>
              <w:jc w:val="center"/>
            </w:pPr>
            <w:r>
              <w:rPr>
                <w:rFonts w:eastAsiaTheme="minorEastAsia"/>
                <w:kern w:val="0"/>
                <w:szCs w:val="21"/>
              </w:rPr>
              <w:t>3</w:t>
            </w:r>
          </w:p>
        </w:tc>
        <w:tc>
          <w:tcPr>
            <w:tcW w:w="1276" w:type="dxa"/>
            <w:vAlign w:val="center"/>
          </w:tcPr>
          <w:p w:rsidR="0003604F" w:rsidRDefault="007A7193">
            <w:pPr>
              <w:jc w:val="center"/>
            </w:pPr>
            <w:r>
              <w:rPr>
                <w:rFonts w:eastAsiaTheme="minorEastAsia"/>
                <w:kern w:val="0"/>
                <w:szCs w:val="21"/>
              </w:rPr>
              <w:t>000921</w:t>
            </w:r>
          </w:p>
        </w:tc>
        <w:tc>
          <w:tcPr>
            <w:tcW w:w="1701" w:type="dxa"/>
            <w:vAlign w:val="center"/>
          </w:tcPr>
          <w:p w:rsidR="0003604F" w:rsidRDefault="007A7193">
            <w:pPr>
              <w:jc w:val="center"/>
            </w:pPr>
            <w:r>
              <w:rPr>
                <w:rFonts w:eastAsiaTheme="minorEastAsia"/>
                <w:kern w:val="0"/>
                <w:szCs w:val="21"/>
              </w:rPr>
              <w:t>海信家电</w:t>
            </w:r>
          </w:p>
        </w:tc>
        <w:tc>
          <w:tcPr>
            <w:tcW w:w="1276" w:type="dxa"/>
            <w:vAlign w:val="center"/>
          </w:tcPr>
          <w:p w:rsidR="0003604F" w:rsidRDefault="007A7193">
            <w:pPr>
              <w:jc w:val="right"/>
            </w:pPr>
            <w:r>
              <w:rPr>
                <w:rFonts w:eastAsiaTheme="minorEastAsia"/>
                <w:kern w:val="0"/>
                <w:szCs w:val="21"/>
              </w:rPr>
              <w:t>346,659</w:t>
            </w:r>
          </w:p>
        </w:tc>
        <w:tc>
          <w:tcPr>
            <w:tcW w:w="1842" w:type="dxa"/>
            <w:vAlign w:val="center"/>
          </w:tcPr>
          <w:p w:rsidR="0003604F" w:rsidRDefault="007A7193">
            <w:pPr>
              <w:jc w:val="right"/>
            </w:pPr>
            <w:r>
              <w:rPr>
                <w:rFonts w:eastAsiaTheme="minorEastAsia"/>
                <w:kern w:val="0"/>
                <w:szCs w:val="21"/>
              </w:rPr>
              <w:t>9,342,460.05</w:t>
            </w:r>
          </w:p>
        </w:tc>
        <w:tc>
          <w:tcPr>
            <w:tcW w:w="1616" w:type="dxa"/>
            <w:vAlign w:val="center"/>
          </w:tcPr>
          <w:p w:rsidR="0003604F" w:rsidRDefault="007A7193">
            <w:pPr>
              <w:jc w:val="right"/>
            </w:pPr>
            <w:r>
              <w:rPr>
                <w:rFonts w:eastAsiaTheme="minorEastAsia"/>
                <w:kern w:val="0"/>
                <w:szCs w:val="21"/>
              </w:rPr>
              <w:t>3.28</w:t>
            </w:r>
          </w:p>
        </w:tc>
      </w:tr>
      <w:tr w:rsidR="0003604F">
        <w:tc>
          <w:tcPr>
            <w:tcW w:w="817" w:type="dxa"/>
            <w:vAlign w:val="center"/>
          </w:tcPr>
          <w:p w:rsidR="0003604F" w:rsidRDefault="007A7193">
            <w:pPr>
              <w:jc w:val="center"/>
            </w:pPr>
            <w:r>
              <w:rPr>
                <w:rFonts w:eastAsiaTheme="minorEastAsia"/>
                <w:kern w:val="0"/>
                <w:szCs w:val="21"/>
              </w:rPr>
              <w:t>4</w:t>
            </w:r>
          </w:p>
        </w:tc>
        <w:tc>
          <w:tcPr>
            <w:tcW w:w="1276" w:type="dxa"/>
            <w:vAlign w:val="center"/>
          </w:tcPr>
          <w:p w:rsidR="0003604F" w:rsidRDefault="007A7193">
            <w:pPr>
              <w:jc w:val="center"/>
            </w:pPr>
            <w:r>
              <w:rPr>
                <w:rFonts w:eastAsiaTheme="minorEastAsia"/>
                <w:kern w:val="0"/>
                <w:szCs w:val="21"/>
              </w:rPr>
              <w:t>600129</w:t>
            </w:r>
          </w:p>
        </w:tc>
        <w:tc>
          <w:tcPr>
            <w:tcW w:w="1701" w:type="dxa"/>
            <w:vAlign w:val="center"/>
          </w:tcPr>
          <w:p w:rsidR="0003604F" w:rsidRDefault="007A7193">
            <w:pPr>
              <w:jc w:val="center"/>
            </w:pPr>
            <w:r>
              <w:rPr>
                <w:rFonts w:eastAsiaTheme="minorEastAsia"/>
                <w:kern w:val="0"/>
                <w:szCs w:val="21"/>
              </w:rPr>
              <w:t>太极集团</w:t>
            </w:r>
          </w:p>
        </w:tc>
        <w:tc>
          <w:tcPr>
            <w:tcW w:w="1276" w:type="dxa"/>
            <w:vAlign w:val="center"/>
          </w:tcPr>
          <w:p w:rsidR="0003604F" w:rsidRDefault="007A7193">
            <w:pPr>
              <w:jc w:val="right"/>
            </w:pPr>
            <w:r>
              <w:rPr>
                <w:rFonts w:eastAsiaTheme="minorEastAsia"/>
                <w:kern w:val="0"/>
                <w:szCs w:val="21"/>
              </w:rPr>
              <w:t>123,038</w:t>
            </w:r>
          </w:p>
        </w:tc>
        <w:tc>
          <w:tcPr>
            <w:tcW w:w="1842" w:type="dxa"/>
            <w:vAlign w:val="center"/>
          </w:tcPr>
          <w:p w:rsidR="0003604F" w:rsidRDefault="007A7193">
            <w:pPr>
              <w:jc w:val="right"/>
            </w:pPr>
            <w:r>
              <w:rPr>
                <w:rFonts w:eastAsiaTheme="minorEastAsia"/>
                <w:kern w:val="0"/>
                <w:szCs w:val="21"/>
              </w:rPr>
              <w:t>7,319,530.62</w:t>
            </w:r>
          </w:p>
        </w:tc>
        <w:tc>
          <w:tcPr>
            <w:tcW w:w="1616" w:type="dxa"/>
            <w:vAlign w:val="center"/>
          </w:tcPr>
          <w:p w:rsidR="0003604F" w:rsidRDefault="007A7193">
            <w:pPr>
              <w:jc w:val="right"/>
            </w:pPr>
            <w:r>
              <w:rPr>
                <w:rFonts w:eastAsiaTheme="minorEastAsia"/>
                <w:kern w:val="0"/>
                <w:szCs w:val="21"/>
              </w:rPr>
              <w:t>2.57</w:t>
            </w:r>
          </w:p>
        </w:tc>
      </w:tr>
      <w:tr w:rsidR="0003604F">
        <w:tc>
          <w:tcPr>
            <w:tcW w:w="817" w:type="dxa"/>
            <w:vAlign w:val="center"/>
          </w:tcPr>
          <w:p w:rsidR="0003604F" w:rsidRDefault="007A7193">
            <w:pPr>
              <w:jc w:val="center"/>
            </w:pPr>
            <w:r>
              <w:rPr>
                <w:rFonts w:eastAsiaTheme="minorEastAsia"/>
                <w:kern w:val="0"/>
                <w:szCs w:val="21"/>
              </w:rPr>
              <w:t>5</w:t>
            </w:r>
          </w:p>
        </w:tc>
        <w:tc>
          <w:tcPr>
            <w:tcW w:w="1276" w:type="dxa"/>
            <w:vAlign w:val="center"/>
          </w:tcPr>
          <w:p w:rsidR="0003604F" w:rsidRDefault="007A7193">
            <w:pPr>
              <w:jc w:val="center"/>
            </w:pPr>
            <w:r>
              <w:rPr>
                <w:rFonts w:eastAsiaTheme="minorEastAsia"/>
                <w:kern w:val="0"/>
                <w:szCs w:val="21"/>
              </w:rPr>
              <w:t>688036</w:t>
            </w:r>
          </w:p>
        </w:tc>
        <w:tc>
          <w:tcPr>
            <w:tcW w:w="1701" w:type="dxa"/>
            <w:vAlign w:val="center"/>
          </w:tcPr>
          <w:p w:rsidR="0003604F" w:rsidRDefault="007A7193">
            <w:pPr>
              <w:jc w:val="center"/>
            </w:pPr>
            <w:r>
              <w:rPr>
                <w:rFonts w:eastAsiaTheme="minorEastAsia"/>
                <w:kern w:val="0"/>
                <w:szCs w:val="21"/>
              </w:rPr>
              <w:t>传音控股</w:t>
            </w:r>
          </w:p>
        </w:tc>
        <w:tc>
          <w:tcPr>
            <w:tcW w:w="1276" w:type="dxa"/>
            <w:vAlign w:val="center"/>
          </w:tcPr>
          <w:p w:rsidR="0003604F" w:rsidRDefault="007A7193">
            <w:pPr>
              <w:jc w:val="right"/>
            </w:pPr>
            <w:r>
              <w:rPr>
                <w:rFonts w:eastAsiaTheme="minorEastAsia"/>
                <w:kern w:val="0"/>
                <w:szCs w:val="21"/>
              </w:rPr>
              <w:t>47,364</w:t>
            </w:r>
          </w:p>
        </w:tc>
        <w:tc>
          <w:tcPr>
            <w:tcW w:w="1842" w:type="dxa"/>
            <w:vAlign w:val="center"/>
          </w:tcPr>
          <w:p w:rsidR="0003604F" w:rsidRDefault="007A7193">
            <w:pPr>
              <w:jc w:val="right"/>
            </w:pPr>
            <w:r>
              <w:rPr>
                <w:rFonts w:eastAsiaTheme="minorEastAsia"/>
                <w:kern w:val="0"/>
                <w:szCs w:val="21"/>
              </w:rPr>
              <w:t>6,962,508.00</w:t>
            </w:r>
          </w:p>
        </w:tc>
        <w:tc>
          <w:tcPr>
            <w:tcW w:w="1616" w:type="dxa"/>
            <w:vAlign w:val="center"/>
          </w:tcPr>
          <w:p w:rsidR="0003604F" w:rsidRDefault="007A7193">
            <w:pPr>
              <w:jc w:val="right"/>
            </w:pPr>
            <w:r>
              <w:rPr>
                <w:rFonts w:eastAsiaTheme="minorEastAsia"/>
                <w:kern w:val="0"/>
                <w:szCs w:val="21"/>
              </w:rPr>
              <w:t>2.44</w:t>
            </w:r>
          </w:p>
        </w:tc>
      </w:tr>
      <w:tr w:rsidR="0003604F">
        <w:tc>
          <w:tcPr>
            <w:tcW w:w="817" w:type="dxa"/>
            <w:vAlign w:val="center"/>
          </w:tcPr>
          <w:p w:rsidR="0003604F" w:rsidRDefault="007A7193">
            <w:pPr>
              <w:jc w:val="center"/>
            </w:pPr>
            <w:r>
              <w:rPr>
                <w:rFonts w:eastAsiaTheme="minorEastAsia"/>
                <w:kern w:val="0"/>
                <w:szCs w:val="21"/>
              </w:rPr>
              <w:t>6</w:t>
            </w:r>
          </w:p>
        </w:tc>
        <w:tc>
          <w:tcPr>
            <w:tcW w:w="1276" w:type="dxa"/>
            <w:vAlign w:val="center"/>
          </w:tcPr>
          <w:p w:rsidR="0003604F" w:rsidRDefault="007A7193">
            <w:pPr>
              <w:jc w:val="center"/>
            </w:pPr>
            <w:r>
              <w:rPr>
                <w:rFonts w:eastAsiaTheme="minorEastAsia"/>
                <w:kern w:val="0"/>
                <w:szCs w:val="21"/>
              </w:rPr>
              <w:t>600572</w:t>
            </w:r>
          </w:p>
        </w:tc>
        <w:tc>
          <w:tcPr>
            <w:tcW w:w="1701" w:type="dxa"/>
            <w:vAlign w:val="center"/>
          </w:tcPr>
          <w:p w:rsidR="0003604F" w:rsidRDefault="007A7193">
            <w:pPr>
              <w:jc w:val="center"/>
            </w:pPr>
            <w:r>
              <w:rPr>
                <w:rFonts w:eastAsiaTheme="minorEastAsia"/>
                <w:kern w:val="0"/>
                <w:szCs w:val="21"/>
              </w:rPr>
              <w:t>康恩贝</w:t>
            </w:r>
          </w:p>
        </w:tc>
        <w:tc>
          <w:tcPr>
            <w:tcW w:w="1276" w:type="dxa"/>
            <w:vAlign w:val="center"/>
          </w:tcPr>
          <w:p w:rsidR="0003604F" w:rsidRDefault="007A7193">
            <w:pPr>
              <w:jc w:val="right"/>
            </w:pPr>
            <w:r>
              <w:rPr>
                <w:rFonts w:eastAsiaTheme="minorEastAsia"/>
                <w:kern w:val="0"/>
                <w:szCs w:val="21"/>
              </w:rPr>
              <w:t>856,668</w:t>
            </w:r>
          </w:p>
        </w:tc>
        <w:tc>
          <w:tcPr>
            <w:tcW w:w="1842" w:type="dxa"/>
            <w:vAlign w:val="center"/>
          </w:tcPr>
          <w:p w:rsidR="0003604F" w:rsidRDefault="007A7193">
            <w:pPr>
              <w:jc w:val="right"/>
            </w:pPr>
            <w:r>
              <w:rPr>
                <w:rFonts w:eastAsiaTheme="minorEastAsia"/>
                <w:kern w:val="0"/>
                <w:szCs w:val="21"/>
              </w:rPr>
              <w:t>5,868,175.80</w:t>
            </w:r>
          </w:p>
        </w:tc>
        <w:tc>
          <w:tcPr>
            <w:tcW w:w="1616" w:type="dxa"/>
            <w:vAlign w:val="center"/>
          </w:tcPr>
          <w:p w:rsidR="0003604F" w:rsidRDefault="007A7193">
            <w:pPr>
              <w:jc w:val="right"/>
            </w:pPr>
            <w:r>
              <w:rPr>
                <w:rFonts w:eastAsiaTheme="minorEastAsia"/>
                <w:kern w:val="0"/>
                <w:szCs w:val="21"/>
              </w:rPr>
              <w:t>2.06</w:t>
            </w:r>
          </w:p>
        </w:tc>
      </w:tr>
      <w:tr w:rsidR="0003604F">
        <w:tc>
          <w:tcPr>
            <w:tcW w:w="817" w:type="dxa"/>
            <w:vAlign w:val="center"/>
          </w:tcPr>
          <w:p w:rsidR="0003604F" w:rsidRDefault="007A7193">
            <w:pPr>
              <w:jc w:val="center"/>
            </w:pPr>
            <w:r>
              <w:rPr>
                <w:rFonts w:eastAsiaTheme="minorEastAsia"/>
                <w:kern w:val="0"/>
                <w:szCs w:val="21"/>
              </w:rPr>
              <w:t>7</w:t>
            </w:r>
          </w:p>
        </w:tc>
        <w:tc>
          <w:tcPr>
            <w:tcW w:w="1276" w:type="dxa"/>
            <w:vAlign w:val="center"/>
          </w:tcPr>
          <w:p w:rsidR="0003604F" w:rsidRDefault="007A7193">
            <w:pPr>
              <w:jc w:val="center"/>
            </w:pPr>
            <w:r>
              <w:rPr>
                <w:rFonts w:eastAsiaTheme="minorEastAsia"/>
                <w:kern w:val="0"/>
                <w:szCs w:val="21"/>
              </w:rPr>
              <w:t>002558</w:t>
            </w:r>
          </w:p>
        </w:tc>
        <w:tc>
          <w:tcPr>
            <w:tcW w:w="1701" w:type="dxa"/>
            <w:vAlign w:val="center"/>
          </w:tcPr>
          <w:p w:rsidR="0003604F" w:rsidRDefault="007A7193">
            <w:pPr>
              <w:jc w:val="center"/>
            </w:pPr>
            <w:r>
              <w:rPr>
                <w:rFonts w:eastAsiaTheme="minorEastAsia"/>
                <w:kern w:val="0"/>
                <w:szCs w:val="21"/>
              </w:rPr>
              <w:t>巨人网络</w:t>
            </w:r>
          </w:p>
        </w:tc>
        <w:tc>
          <w:tcPr>
            <w:tcW w:w="1276" w:type="dxa"/>
            <w:vAlign w:val="center"/>
          </w:tcPr>
          <w:p w:rsidR="0003604F" w:rsidRDefault="007A7193">
            <w:pPr>
              <w:jc w:val="right"/>
            </w:pPr>
            <w:r>
              <w:rPr>
                <w:rFonts w:eastAsiaTheme="minorEastAsia"/>
                <w:kern w:val="0"/>
                <w:szCs w:val="21"/>
              </w:rPr>
              <w:t>313,900</w:t>
            </w:r>
          </w:p>
        </w:tc>
        <w:tc>
          <w:tcPr>
            <w:tcW w:w="1842" w:type="dxa"/>
            <w:vAlign w:val="center"/>
          </w:tcPr>
          <w:p w:rsidR="0003604F" w:rsidRDefault="007A7193">
            <w:pPr>
              <w:jc w:val="right"/>
            </w:pPr>
            <w:r>
              <w:rPr>
                <w:rFonts w:eastAsiaTheme="minorEastAsia"/>
                <w:kern w:val="0"/>
                <w:szCs w:val="21"/>
              </w:rPr>
              <w:t>5,628,227.00</w:t>
            </w:r>
          </w:p>
        </w:tc>
        <w:tc>
          <w:tcPr>
            <w:tcW w:w="1616" w:type="dxa"/>
            <w:vAlign w:val="center"/>
          </w:tcPr>
          <w:p w:rsidR="0003604F" w:rsidRDefault="007A7193">
            <w:pPr>
              <w:jc w:val="right"/>
            </w:pPr>
            <w:r>
              <w:rPr>
                <w:rFonts w:eastAsiaTheme="minorEastAsia"/>
                <w:kern w:val="0"/>
                <w:szCs w:val="21"/>
              </w:rPr>
              <w:t>1.97</w:t>
            </w:r>
          </w:p>
        </w:tc>
      </w:tr>
      <w:tr w:rsidR="0003604F">
        <w:tc>
          <w:tcPr>
            <w:tcW w:w="817" w:type="dxa"/>
            <w:vAlign w:val="center"/>
          </w:tcPr>
          <w:p w:rsidR="0003604F" w:rsidRDefault="007A7193">
            <w:pPr>
              <w:jc w:val="center"/>
            </w:pPr>
            <w:r>
              <w:rPr>
                <w:rFonts w:eastAsiaTheme="minorEastAsia"/>
                <w:kern w:val="0"/>
                <w:szCs w:val="21"/>
              </w:rPr>
              <w:t>8</w:t>
            </w:r>
          </w:p>
        </w:tc>
        <w:tc>
          <w:tcPr>
            <w:tcW w:w="1276" w:type="dxa"/>
            <w:vAlign w:val="center"/>
          </w:tcPr>
          <w:p w:rsidR="0003604F" w:rsidRDefault="007A7193">
            <w:pPr>
              <w:jc w:val="center"/>
            </w:pPr>
            <w:r>
              <w:rPr>
                <w:rFonts w:eastAsiaTheme="minorEastAsia"/>
                <w:kern w:val="0"/>
                <w:szCs w:val="21"/>
              </w:rPr>
              <w:t>600329</w:t>
            </w:r>
          </w:p>
        </w:tc>
        <w:tc>
          <w:tcPr>
            <w:tcW w:w="1701" w:type="dxa"/>
            <w:vAlign w:val="center"/>
          </w:tcPr>
          <w:p w:rsidR="0003604F" w:rsidRDefault="007A7193">
            <w:pPr>
              <w:jc w:val="center"/>
            </w:pPr>
            <w:r>
              <w:rPr>
                <w:rFonts w:eastAsiaTheme="minorEastAsia"/>
                <w:kern w:val="0"/>
                <w:szCs w:val="21"/>
              </w:rPr>
              <w:t>达仁堂</w:t>
            </w:r>
          </w:p>
        </w:tc>
        <w:tc>
          <w:tcPr>
            <w:tcW w:w="1276" w:type="dxa"/>
            <w:vAlign w:val="center"/>
          </w:tcPr>
          <w:p w:rsidR="0003604F" w:rsidRDefault="007A7193">
            <w:pPr>
              <w:jc w:val="right"/>
            </w:pPr>
            <w:r>
              <w:rPr>
                <w:rFonts w:eastAsiaTheme="minorEastAsia"/>
                <w:kern w:val="0"/>
                <w:szCs w:val="21"/>
              </w:rPr>
              <w:t>105,400</w:t>
            </w:r>
          </w:p>
        </w:tc>
        <w:tc>
          <w:tcPr>
            <w:tcW w:w="1842" w:type="dxa"/>
            <w:vAlign w:val="center"/>
          </w:tcPr>
          <w:p w:rsidR="0003604F" w:rsidRDefault="007A7193">
            <w:pPr>
              <w:jc w:val="right"/>
            </w:pPr>
            <w:r>
              <w:rPr>
                <w:rFonts w:eastAsiaTheme="minorEastAsia"/>
                <w:kern w:val="0"/>
                <w:szCs w:val="21"/>
              </w:rPr>
              <w:t>4,731,406.00</w:t>
            </w:r>
          </w:p>
        </w:tc>
        <w:tc>
          <w:tcPr>
            <w:tcW w:w="1616" w:type="dxa"/>
            <w:vAlign w:val="center"/>
          </w:tcPr>
          <w:p w:rsidR="0003604F" w:rsidRDefault="007A7193">
            <w:pPr>
              <w:jc w:val="right"/>
            </w:pPr>
            <w:r>
              <w:rPr>
                <w:rFonts w:eastAsiaTheme="minorEastAsia"/>
                <w:kern w:val="0"/>
                <w:szCs w:val="21"/>
              </w:rPr>
              <w:t>1.66</w:t>
            </w:r>
          </w:p>
        </w:tc>
      </w:tr>
      <w:tr w:rsidR="0003604F">
        <w:tc>
          <w:tcPr>
            <w:tcW w:w="817" w:type="dxa"/>
            <w:vAlign w:val="center"/>
          </w:tcPr>
          <w:p w:rsidR="0003604F" w:rsidRDefault="007A7193">
            <w:pPr>
              <w:jc w:val="center"/>
            </w:pPr>
            <w:r>
              <w:rPr>
                <w:rFonts w:eastAsiaTheme="minorEastAsia"/>
                <w:kern w:val="0"/>
                <w:szCs w:val="21"/>
              </w:rPr>
              <w:t>9</w:t>
            </w:r>
          </w:p>
        </w:tc>
        <w:tc>
          <w:tcPr>
            <w:tcW w:w="1276" w:type="dxa"/>
            <w:vAlign w:val="center"/>
          </w:tcPr>
          <w:p w:rsidR="0003604F" w:rsidRDefault="007A7193">
            <w:pPr>
              <w:jc w:val="center"/>
            </w:pPr>
            <w:r>
              <w:rPr>
                <w:rFonts w:eastAsiaTheme="minorEastAsia"/>
                <w:kern w:val="0"/>
                <w:szCs w:val="21"/>
              </w:rPr>
              <w:t>002847</w:t>
            </w:r>
          </w:p>
        </w:tc>
        <w:tc>
          <w:tcPr>
            <w:tcW w:w="1701" w:type="dxa"/>
            <w:vAlign w:val="center"/>
          </w:tcPr>
          <w:p w:rsidR="0003604F" w:rsidRDefault="007A7193">
            <w:pPr>
              <w:jc w:val="center"/>
            </w:pPr>
            <w:r>
              <w:rPr>
                <w:rFonts w:eastAsiaTheme="minorEastAsia"/>
                <w:kern w:val="0"/>
                <w:szCs w:val="21"/>
              </w:rPr>
              <w:t>盐津铺子</w:t>
            </w:r>
          </w:p>
        </w:tc>
        <w:tc>
          <w:tcPr>
            <w:tcW w:w="1276" w:type="dxa"/>
            <w:vAlign w:val="center"/>
          </w:tcPr>
          <w:p w:rsidR="0003604F" w:rsidRDefault="007A7193">
            <w:pPr>
              <w:jc w:val="right"/>
            </w:pPr>
            <w:r>
              <w:rPr>
                <w:rFonts w:eastAsiaTheme="minorEastAsia"/>
                <w:kern w:val="0"/>
                <w:szCs w:val="21"/>
              </w:rPr>
              <w:t>53,046</w:t>
            </w:r>
          </w:p>
        </w:tc>
        <w:tc>
          <w:tcPr>
            <w:tcW w:w="1842" w:type="dxa"/>
            <w:vAlign w:val="center"/>
          </w:tcPr>
          <w:p w:rsidR="0003604F" w:rsidRDefault="007A7193">
            <w:pPr>
              <w:jc w:val="right"/>
            </w:pPr>
            <w:r>
              <w:rPr>
                <w:rFonts w:eastAsiaTheme="minorEastAsia"/>
                <w:kern w:val="0"/>
                <w:szCs w:val="21"/>
              </w:rPr>
              <w:t>4,511,562.30</w:t>
            </w:r>
          </w:p>
        </w:tc>
        <w:tc>
          <w:tcPr>
            <w:tcW w:w="1616" w:type="dxa"/>
            <w:vAlign w:val="center"/>
          </w:tcPr>
          <w:p w:rsidR="0003604F" w:rsidRDefault="007A7193">
            <w:pPr>
              <w:jc w:val="right"/>
            </w:pPr>
            <w:r>
              <w:rPr>
                <w:rFonts w:eastAsiaTheme="minorEastAsia"/>
                <w:kern w:val="0"/>
                <w:szCs w:val="21"/>
              </w:rPr>
              <w:t>1.58</w:t>
            </w:r>
          </w:p>
        </w:tc>
      </w:tr>
      <w:tr w:rsidR="0003604F">
        <w:tc>
          <w:tcPr>
            <w:tcW w:w="817" w:type="dxa"/>
            <w:vAlign w:val="center"/>
          </w:tcPr>
          <w:p w:rsidR="0003604F" w:rsidRDefault="007A7193">
            <w:pPr>
              <w:jc w:val="center"/>
            </w:pPr>
            <w:r>
              <w:rPr>
                <w:rFonts w:eastAsiaTheme="minorEastAsia"/>
                <w:kern w:val="0"/>
                <w:szCs w:val="21"/>
              </w:rPr>
              <w:t>10</w:t>
            </w:r>
          </w:p>
        </w:tc>
        <w:tc>
          <w:tcPr>
            <w:tcW w:w="1276" w:type="dxa"/>
            <w:vAlign w:val="center"/>
          </w:tcPr>
          <w:p w:rsidR="0003604F" w:rsidRDefault="007A7193">
            <w:pPr>
              <w:jc w:val="center"/>
            </w:pPr>
            <w:r>
              <w:rPr>
                <w:rFonts w:eastAsiaTheme="minorEastAsia"/>
                <w:kern w:val="0"/>
                <w:szCs w:val="21"/>
              </w:rPr>
              <w:t>301101</w:t>
            </w:r>
          </w:p>
        </w:tc>
        <w:tc>
          <w:tcPr>
            <w:tcW w:w="1701" w:type="dxa"/>
            <w:vAlign w:val="center"/>
          </w:tcPr>
          <w:p w:rsidR="0003604F" w:rsidRDefault="007A7193">
            <w:pPr>
              <w:jc w:val="center"/>
            </w:pPr>
            <w:r>
              <w:rPr>
                <w:rFonts w:eastAsiaTheme="minorEastAsia"/>
                <w:kern w:val="0"/>
                <w:szCs w:val="21"/>
              </w:rPr>
              <w:t>明月镜片</w:t>
            </w:r>
          </w:p>
        </w:tc>
        <w:tc>
          <w:tcPr>
            <w:tcW w:w="1276" w:type="dxa"/>
            <w:vAlign w:val="center"/>
          </w:tcPr>
          <w:p w:rsidR="0003604F" w:rsidRDefault="007A7193">
            <w:pPr>
              <w:jc w:val="right"/>
            </w:pPr>
            <w:r>
              <w:rPr>
                <w:rFonts w:eastAsiaTheme="minorEastAsia"/>
                <w:kern w:val="0"/>
                <w:szCs w:val="21"/>
              </w:rPr>
              <w:t>108,764</w:t>
            </w:r>
          </w:p>
        </w:tc>
        <w:tc>
          <w:tcPr>
            <w:tcW w:w="1842" w:type="dxa"/>
            <w:vAlign w:val="center"/>
          </w:tcPr>
          <w:p w:rsidR="0003604F" w:rsidRDefault="007A7193">
            <w:pPr>
              <w:jc w:val="right"/>
            </w:pPr>
            <w:r>
              <w:rPr>
                <w:rFonts w:eastAsiaTheme="minorEastAsia"/>
                <w:kern w:val="0"/>
                <w:szCs w:val="21"/>
              </w:rPr>
              <w:t>4,462,586.92</w:t>
            </w:r>
          </w:p>
        </w:tc>
        <w:tc>
          <w:tcPr>
            <w:tcW w:w="1616" w:type="dxa"/>
            <w:vAlign w:val="center"/>
          </w:tcPr>
          <w:p w:rsidR="0003604F" w:rsidRDefault="007A7193">
            <w:pPr>
              <w:jc w:val="right"/>
            </w:pPr>
            <w:r>
              <w:rPr>
                <w:rFonts w:eastAsiaTheme="minorEastAsia"/>
                <w:kern w:val="0"/>
                <w:szCs w:val="21"/>
              </w:rPr>
              <w:t>1.57</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69,469,018.71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24.37</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20,942,504.11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7.35</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90,411,522.82</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31.72</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03604F">
        <w:tc>
          <w:tcPr>
            <w:tcW w:w="1504" w:type="dxa"/>
            <w:vAlign w:val="center"/>
          </w:tcPr>
          <w:p w:rsidR="0003604F" w:rsidRDefault="007A7193">
            <w:pPr>
              <w:jc w:val="center"/>
            </w:pPr>
            <w:r>
              <w:rPr>
                <w:rFonts w:eastAsiaTheme="minorEastAsia"/>
                <w:color w:val="000000" w:themeColor="text1"/>
                <w:szCs w:val="21"/>
              </w:rPr>
              <w:t>1</w:t>
            </w:r>
          </w:p>
        </w:tc>
        <w:tc>
          <w:tcPr>
            <w:tcW w:w="1504" w:type="dxa"/>
            <w:vAlign w:val="center"/>
          </w:tcPr>
          <w:p w:rsidR="0003604F" w:rsidRDefault="007A7193">
            <w:pPr>
              <w:jc w:val="center"/>
            </w:pPr>
            <w:r>
              <w:rPr>
                <w:rFonts w:eastAsiaTheme="minorEastAsia"/>
                <w:color w:val="000000" w:themeColor="text1"/>
                <w:szCs w:val="21"/>
              </w:rPr>
              <w:t>019638</w:t>
            </w:r>
          </w:p>
        </w:tc>
        <w:tc>
          <w:tcPr>
            <w:tcW w:w="1504" w:type="dxa"/>
            <w:vAlign w:val="center"/>
          </w:tcPr>
          <w:p w:rsidR="0003604F" w:rsidRDefault="007A7193">
            <w:pPr>
              <w:jc w:val="center"/>
            </w:pPr>
            <w:r>
              <w:rPr>
                <w:rFonts w:eastAsiaTheme="minorEastAsia"/>
                <w:color w:val="000000" w:themeColor="text1"/>
                <w:szCs w:val="21"/>
              </w:rPr>
              <w:t>20</w:t>
            </w:r>
            <w:r>
              <w:rPr>
                <w:rFonts w:eastAsiaTheme="minorEastAsia"/>
                <w:color w:val="000000" w:themeColor="text1"/>
                <w:szCs w:val="21"/>
              </w:rPr>
              <w:t>国债</w:t>
            </w:r>
            <w:r>
              <w:rPr>
                <w:rFonts w:eastAsiaTheme="minorEastAsia"/>
                <w:color w:val="000000" w:themeColor="text1"/>
                <w:szCs w:val="21"/>
              </w:rPr>
              <w:t>09</w:t>
            </w:r>
          </w:p>
        </w:tc>
        <w:tc>
          <w:tcPr>
            <w:tcW w:w="1503" w:type="dxa"/>
            <w:vAlign w:val="center"/>
          </w:tcPr>
          <w:p w:rsidR="0003604F" w:rsidRDefault="007A7193">
            <w:pPr>
              <w:jc w:val="right"/>
            </w:pPr>
            <w:r>
              <w:rPr>
                <w:rFonts w:eastAsiaTheme="minorEastAsia"/>
                <w:color w:val="000000" w:themeColor="text1"/>
                <w:szCs w:val="21"/>
              </w:rPr>
              <w:t>270,000</w:t>
            </w:r>
          </w:p>
        </w:tc>
        <w:tc>
          <w:tcPr>
            <w:tcW w:w="1503" w:type="dxa"/>
            <w:vAlign w:val="center"/>
          </w:tcPr>
          <w:p w:rsidR="0003604F" w:rsidRDefault="007A7193">
            <w:pPr>
              <w:jc w:val="right"/>
            </w:pPr>
            <w:r>
              <w:rPr>
                <w:rFonts w:eastAsiaTheme="minorEastAsia"/>
                <w:color w:val="000000" w:themeColor="text1"/>
                <w:szCs w:val="21"/>
              </w:rPr>
              <w:t>27,632,754.25</w:t>
            </w:r>
          </w:p>
        </w:tc>
        <w:tc>
          <w:tcPr>
            <w:tcW w:w="1503" w:type="dxa"/>
            <w:vAlign w:val="center"/>
          </w:tcPr>
          <w:p w:rsidR="0003604F" w:rsidRDefault="007A7193">
            <w:pPr>
              <w:jc w:val="right"/>
            </w:pPr>
            <w:r>
              <w:rPr>
                <w:rFonts w:eastAsiaTheme="minorEastAsia"/>
                <w:color w:val="000000" w:themeColor="text1"/>
                <w:szCs w:val="21"/>
              </w:rPr>
              <w:t>9.69</w:t>
            </w:r>
          </w:p>
        </w:tc>
      </w:tr>
      <w:tr w:rsidR="0003604F">
        <w:tc>
          <w:tcPr>
            <w:tcW w:w="1504" w:type="dxa"/>
            <w:vAlign w:val="center"/>
          </w:tcPr>
          <w:p w:rsidR="0003604F" w:rsidRDefault="007A7193">
            <w:pPr>
              <w:jc w:val="center"/>
            </w:pPr>
            <w:r>
              <w:rPr>
                <w:rFonts w:eastAsiaTheme="minorEastAsia"/>
                <w:color w:val="000000" w:themeColor="text1"/>
                <w:szCs w:val="21"/>
              </w:rPr>
              <w:t>2</w:t>
            </w:r>
          </w:p>
        </w:tc>
        <w:tc>
          <w:tcPr>
            <w:tcW w:w="1504" w:type="dxa"/>
            <w:vAlign w:val="center"/>
          </w:tcPr>
          <w:p w:rsidR="0003604F" w:rsidRDefault="007A7193">
            <w:pPr>
              <w:jc w:val="center"/>
            </w:pPr>
            <w:r>
              <w:rPr>
                <w:rFonts w:eastAsiaTheme="minorEastAsia"/>
                <w:color w:val="000000" w:themeColor="text1"/>
                <w:szCs w:val="21"/>
              </w:rPr>
              <w:t>019679</w:t>
            </w:r>
          </w:p>
        </w:tc>
        <w:tc>
          <w:tcPr>
            <w:tcW w:w="1504" w:type="dxa"/>
            <w:vAlign w:val="center"/>
          </w:tcPr>
          <w:p w:rsidR="0003604F" w:rsidRDefault="007A7193">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14</w:t>
            </w:r>
          </w:p>
        </w:tc>
        <w:tc>
          <w:tcPr>
            <w:tcW w:w="1503" w:type="dxa"/>
            <w:vAlign w:val="center"/>
          </w:tcPr>
          <w:p w:rsidR="0003604F" w:rsidRDefault="007A7193">
            <w:pPr>
              <w:jc w:val="right"/>
            </w:pPr>
            <w:r>
              <w:rPr>
                <w:rFonts w:eastAsiaTheme="minorEastAsia"/>
                <w:color w:val="000000" w:themeColor="text1"/>
                <w:szCs w:val="21"/>
              </w:rPr>
              <w:t>260,000</w:t>
            </w:r>
          </w:p>
        </w:tc>
        <w:tc>
          <w:tcPr>
            <w:tcW w:w="1503" w:type="dxa"/>
            <w:vAlign w:val="center"/>
          </w:tcPr>
          <w:p w:rsidR="0003604F" w:rsidRDefault="007A7193">
            <w:pPr>
              <w:jc w:val="right"/>
            </w:pPr>
            <w:r>
              <w:rPr>
                <w:rFonts w:eastAsiaTheme="minorEastAsia"/>
                <w:color w:val="000000" w:themeColor="text1"/>
                <w:szCs w:val="21"/>
              </w:rPr>
              <w:t>26,467,451.51</w:t>
            </w:r>
          </w:p>
        </w:tc>
        <w:tc>
          <w:tcPr>
            <w:tcW w:w="1503" w:type="dxa"/>
            <w:vAlign w:val="center"/>
          </w:tcPr>
          <w:p w:rsidR="0003604F" w:rsidRDefault="007A7193">
            <w:pPr>
              <w:jc w:val="right"/>
            </w:pPr>
            <w:r>
              <w:rPr>
                <w:rFonts w:eastAsiaTheme="minorEastAsia"/>
                <w:color w:val="000000" w:themeColor="text1"/>
                <w:szCs w:val="21"/>
              </w:rPr>
              <w:t>9.29</w:t>
            </w:r>
          </w:p>
        </w:tc>
      </w:tr>
      <w:tr w:rsidR="0003604F">
        <w:tc>
          <w:tcPr>
            <w:tcW w:w="1504" w:type="dxa"/>
            <w:vAlign w:val="center"/>
          </w:tcPr>
          <w:p w:rsidR="0003604F" w:rsidRDefault="007A7193">
            <w:pPr>
              <w:jc w:val="center"/>
            </w:pPr>
            <w:r>
              <w:rPr>
                <w:rFonts w:eastAsiaTheme="minorEastAsia"/>
                <w:color w:val="000000" w:themeColor="text1"/>
                <w:szCs w:val="21"/>
              </w:rPr>
              <w:t>3</w:t>
            </w:r>
          </w:p>
        </w:tc>
        <w:tc>
          <w:tcPr>
            <w:tcW w:w="1504" w:type="dxa"/>
            <w:vAlign w:val="center"/>
          </w:tcPr>
          <w:p w:rsidR="0003604F" w:rsidRDefault="007A7193">
            <w:pPr>
              <w:jc w:val="center"/>
            </w:pPr>
            <w:r>
              <w:rPr>
                <w:rFonts w:eastAsiaTheme="minorEastAsia"/>
                <w:color w:val="000000" w:themeColor="text1"/>
                <w:szCs w:val="21"/>
              </w:rPr>
              <w:t>1928028</w:t>
            </w:r>
          </w:p>
        </w:tc>
        <w:tc>
          <w:tcPr>
            <w:tcW w:w="1504" w:type="dxa"/>
            <w:vAlign w:val="center"/>
          </w:tcPr>
          <w:p w:rsidR="0003604F" w:rsidRDefault="007A7193">
            <w:pPr>
              <w:jc w:val="center"/>
            </w:pPr>
            <w:r>
              <w:rPr>
                <w:rFonts w:eastAsiaTheme="minorEastAsia"/>
                <w:color w:val="000000" w:themeColor="text1"/>
                <w:szCs w:val="21"/>
              </w:rPr>
              <w:t>19</w:t>
            </w:r>
            <w:r>
              <w:rPr>
                <w:rFonts w:eastAsiaTheme="minorEastAsia"/>
                <w:color w:val="000000" w:themeColor="text1"/>
                <w:szCs w:val="21"/>
              </w:rPr>
              <w:t>中国银行二级</w:t>
            </w:r>
            <w:r>
              <w:rPr>
                <w:rFonts w:eastAsiaTheme="minorEastAsia"/>
                <w:color w:val="000000" w:themeColor="text1"/>
                <w:szCs w:val="21"/>
              </w:rPr>
              <w:t>01</w:t>
            </w:r>
          </w:p>
        </w:tc>
        <w:tc>
          <w:tcPr>
            <w:tcW w:w="1503" w:type="dxa"/>
            <w:vAlign w:val="center"/>
          </w:tcPr>
          <w:p w:rsidR="0003604F" w:rsidRDefault="007A7193">
            <w:pPr>
              <w:jc w:val="right"/>
            </w:pPr>
            <w:r>
              <w:rPr>
                <w:rFonts w:eastAsiaTheme="minorEastAsia"/>
                <w:color w:val="000000" w:themeColor="text1"/>
                <w:szCs w:val="21"/>
              </w:rPr>
              <w:t>200,000</w:t>
            </w:r>
          </w:p>
        </w:tc>
        <w:tc>
          <w:tcPr>
            <w:tcW w:w="1503" w:type="dxa"/>
            <w:vAlign w:val="center"/>
          </w:tcPr>
          <w:p w:rsidR="0003604F" w:rsidRDefault="007A7193">
            <w:pPr>
              <w:jc w:val="right"/>
            </w:pPr>
            <w:r>
              <w:rPr>
                <w:rFonts w:eastAsiaTheme="minorEastAsia"/>
                <w:color w:val="000000" w:themeColor="text1"/>
                <w:szCs w:val="21"/>
              </w:rPr>
              <w:t>20,942,504.11</w:t>
            </w:r>
          </w:p>
        </w:tc>
        <w:tc>
          <w:tcPr>
            <w:tcW w:w="1503" w:type="dxa"/>
            <w:vAlign w:val="center"/>
          </w:tcPr>
          <w:p w:rsidR="0003604F" w:rsidRDefault="007A7193">
            <w:pPr>
              <w:jc w:val="right"/>
            </w:pPr>
            <w:r>
              <w:rPr>
                <w:rFonts w:eastAsiaTheme="minorEastAsia"/>
                <w:color w:val="000000" w:themeColor="text1"/>
                <w:szCs w:val="21"/>
              </w:rPr>
              <w:t>7.35</w:t>
            </w:r>
          </w:p>
        </w:tc>
      </w:tr>
      <w:tr w:rsidR="0003604F">
        <w:tc>
          <w:tcPr>
            <w:tcW w:w="1504" w:type="dxa"/>
            <w:vAlign w:val="center"/>
          </w:tcPr>
          <w:p w:rsidR="0003604F" w:rsidRDefault="007A7193">
            <w:pPr>
              <w:jc w:val="center"/>
            </w:pPr>
            <w:r>
              <w:rPr>
                <w:rFonts w:eastAsiaTheme="minorEastAsia"/>
                <w:color w:val="000000" w:themeColor="text1"/>
                <w:szCs w:val="21"/>
              </w:rPr>
              <w:t>4</w:t>
            </w:r>
          </w:p>
        </w:tc>
        <w:tc>
          <w:tcPr>
            <w:tcW w:w="1504" w:type="dxa"/>
            <w:vAlign w:val="center"/>
          </w:tcPr>
          <w:p w:rsidR="0003604F" w:rsidRDefault="007A7193">
            <w:pPr>
              <w:jc w:val="center"/>
            </w:pPr>
            <w:r>
              <w:rPr>
                <w:rFonts w:eastAsiaTheme="minorEastAsia"/>
                <w:color w:val="000000" w:themeColor="text1"/>
                <w:szCs w:val="21"/>
              </w:rPr>
              <w:t>230004</w:t>
            </w:r>
          </w:p>
        </w:tc>
        <w:tc>
          <w:tcPr>
            <w:tcW w:w="1504" w:type="dxa"/>
            <w:vAlign w:val="center"/>
          </w:tcPr>
          <w:p w:rsidR="0003604F" w:rsidRDefault="007A7193">
            <w:pPr>
              <w:jc w:val="center"/>
            </w:pPr>
            <w:r>
              <w:rPr>
                <w:rFonts w:eastAsiaTheme="minorEastAsia"/>
                <w:color w:val="000000" w:themeColor="text1"/>
                <w:szCs w:val="21"/>
              </w:rPr>
              <w:t>23</w:t>
            </w:r>
            <w:r>
              <w:rPr>
                <w:rFonts w:eastAsiaTheme="minorEastAsia"/>
                <w:color w:val="000000" w:themeColor="text1"/>
                <w:szCs w:val="21"/>
              </w:rPr>
              <w:t>附息国债</w:t>
            </w:r>
            <w:r>
              <w:rPr>
                <w:rFonts w:eastAsiaTheme="minorEastAsia"/>
                <w:color w:val="000000" w:themeColor="text1"/>
                <w:szCs w:val="21"/>
              </w:rPr>
              <w:t>04</w:t>
            </w:r>
          </w:p>
        </w:tc>
        <w:tc>
          <w:tcPr>
            <w:tcW w:w="1503" w:type="dxa"/>
            <w:vAlign w:val="center"/>
          </w:tcPr>
          <w:p w:rsidR="0003604F" w:rsidRDefault="007A7193">
            <w:pPr>
              <w:jc w:val="right"/>
            </w:pPr>
            <w:r>
              <w:rPr>
                <w:rFonts w:eastAsiaTheme="minorEastAsia"/>
                <w:color w:val="000000" w:themeColor="text1"/>
                <w:szCs w:val="21"/>
              </w:rPr>
              <w:t>100,000</w:t>
            </w:r>
          </w:p>
        </w:tc>
        <w:tc>
          <w:tcPr>
            <w:tcW w:w="1503" w:type="dxa"/>
            <w:vAlign w:val="center"/>
          </w:tcPr>
          <w:p w:rsidR="0003604F" w:rsidRDefault="007A7193">
            <w:pPr>
              <w:jc w:val="right"/>
            </w:pPr>
            <w:r>
              <w:rPr>
                <w:rFonts w:eastAsiaTheme="minorEastAsia"/>
                <w:color w:val="000000" w:themeColor="text1"/>
                <w:szCs w:val="21"/>
              </w:rPr>
              <w:t>10,275,243.09</w:t>
            </w:r>
          </w:p>
        </w:tc>
        <w:tc>
          <w:tcPr>
            <w:tcW w:w="1503" w:type="dxa"/>
            <w:vAlign w:val="center"/>
          </w:tcPr>
          <w:p w:rsidR="0003604F" w:rsidRDefault="007A7193">
            <w:pPr>
              <w:jc w:val="right"/>
            </w:pPr>
            <w:r>
              <w:rPr>
                <w:rFonts w:eastAsiaTheme="minorEastAsia"/>
                <w:color w:val="000000" w:themeColor="text1"/>
                <w:szCs w:val="21"/>
              </w:rPr>
              <w:t>3.60</w:t>
            </w:r>
          </w:p>
        </w:tc>
      </w:tr>
      <w:tr w:rsidR="0003604F">
        <w:tc>
          <w:tcPr>
            <w:tcW w:w="1504" w:type="dxa"/>
            <w:vAlign w:val="center"/>
          </w:tcPr>
          <w:p w:rsidR="0003604F" w:rsidRDefault="007A7193">
            <w:pPr>
              <w:jc w:val="center"/>
            </w:pPr>
            <w:r>
              <w:rPr>
                <w:rFonts w:eastAsiaTheme="minorEastAsia"/>
                <w:color w:val="000000" w:themeColor="text1"/>
                <w:szCs w:val="21"/>
              </w:rPr>
              <w:t>5</w:t>
            </w:r>
          </w:p>
        </w:tc>
        <w:tc>
          <w:tcPr>
            <w:tcW w:w="1504" w:type="dxa"/>
            <w:vAlign w:val="center"/>
          </w:tcPr>
          <w:p w:rsidR="0003604F" w:rsidRDefault="007A7193">
            <w:pPr>
              <w:jc w:val="center"/>
            </w:pPr>
            <w:r>
              <w:rPr>
                <w:rFonts w:eastAsiaTheme="minorEastAsia"/>
                <w:color w:val="000000" w:themeColor="text1"/>
                <w:szCs w:val="21"/>
              </w:rPr>
              <w:t>019687</w:t>
            </w:r>
          </w:p>
        </w:tc>
        <w:tc>
          <w:tcPr>
            <w:tcW w:w="1504" w:type="dxa"/>
            <w:vAlign w:val="center"/>
          </w:tcPr>
          <w:p w:rsidR="0003604F" w:rsidRDefault="007A7193">
            <w:pPr>
              <w:jc w:val="center"/>
            </w:pPr>
            <w:r>
              <w:rPr>
                <w:rFonts w:eastAsiaTheme="minorEastAsia"/>
                <w:color w:val="000000" w:themeColor="text1"/>
                <w:szCs w:val="21"/>
              </w:rPr>
              <w:t>22</w:t>
            </w:r>
            <w:r>
              <w:rPr>
                <w:rFonts w:eastAsiaTheme="minorEastAsia"/>
                <w:color w:val="000000" w:themeColor="text1"/>
                <w:szCs w:val="21"/>
              </w:rPr>
              <w:t>国债</w:t>
            </w:r>
            <w:r>
              <w:rPr>
                <w:rFonts w:eastAsiaTheme="minorEastAsia"/>
                <w:color w:val="000000" w:themeColor="text1"/>
                <w:szCs w:val="21"/>
              </w:rPr>
              <w:t>22</w:t>
            </w:r>
          </w:p>
        </w:tc>
        <w:tc>
          <w:tcPr>
            <w:tcW w:w="1503" w:type="dxa"/>
            <w:vAlign w:val="center"/>
          </w:tcPr>
          <w:p w:rsidR="0003604F" w:rsidRDefault="007A7193">
            <w:pPr>
              <w:jc w:val="right"/>
            </w:pPr>
            <w:r>
              <w:rPr>
                <w:rFonts w:eastAsiaTheme="minorEastAsia"/>
                <w:color w:val="000000" w:themeColor="text1"/>
                <w:szCs w:val="21"/>
              </w:rPr>
              <w:t>50,000</w:t>
            </w:r>
          </w:p>
        </w:tc>
        <w:tc>
          <w:tcPr>
            <w:tcW w:w="1503" w:type="dxa"/>
            <w:vAlign w:val="center"/>
          </w:tcPr>
          <w:p w:rsidR="0003604F" w:rsidRDefault="007A7193">
            <w:pPr>
              <w:jc w:val="right"/>
            </w:pPr>
            <w:r>
              <w:rPr>
                <w:rFonts w:eastAsiaTheme="minorEastAsia"/>
                <w:color w:val="000000" w:themeColor="text1"/>
                <w:szCs w:val="21"/>
              </w:rPr>
              <w:t>5,093,569.86</w:t>
            </w:r>
          </w:p>
        </w:tc>
        <w:tc>
          <w:tcPr>
            <w:tcW w:w="1503" w:type="dxa"/>
            <w:vAlign w:val="center"/>
          </w:tcPr>
          <w:p w:rsidR="0003604F" w:rsidRDefault="007A7193">
            <w:pPr>
              <w:jc w:val="right"/>
            </w:pPr>
            <w:r>
              <w:rPr>
                <w:rFonts w:eastAsiaTheme="minorEastAsia"/>
                <w:color w:val="000000" w:themeColor="text1"/>
                <w:szCs w:val="21"/>
              </w:rPr>
              <w:t>1.79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143,358.25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12,237.25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155,595.50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摩根双核平衡混合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207,331,386.19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684,998.86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1,817,289.26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99,558.41</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23,585,285.07</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617,219.55</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185,563,390.38</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167,337.72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、中国证监会核准本基金募集的文件；</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、《摩根双核平衡混合型证券投资基金基金合同》；</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、《摩根基金管理（中国）有限公司开放式基金业务规则》；</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、《摩根双核平衡混合型证券投资基金托管协议》；</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、法律意见书；</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6</w:t>
      </w:r>
      <w:r>
        <w:rPr>
          <w:rFonts w:eastAsiaTheme="minorEastAsia"/>
          <w:color w:val="000000" w:themeColor="text1"/>
          <w:szCs w:val="21"/>
        </w:rPr>
        <w:t>、基金管理人业务资格批件、营业执照；</w:t>
      </w:r>
    </w:p>
    <w:p w:rsidR="0003604F" w:rsidRDefault="007A7193">
      <w:pPr>
        <w:spacing w:line="360" w:lineRule="auto"/>
        <w:ind w:firstLineChars="200" w:firstLine="420"/>
        <w:rPr>
          <w:rFonts w:eastAsiaTheme="minorEastAsia"/>
          <w:color w:val="000000" w:themeColor="text1"/>
          <w:szCs w:val="21"/>
        </w:rPr>
      </w:pPr>
      <w:r>
        <w:rPr>
          <w:rFonts w:eastAsiaTheme="minorEastAsia"/>
          <w:color w:val="000000" w:themeColor="text1"/>
          <w:szCs w:val="21"/>
        </w:rPr>
        <w:t>7</w:t>
      </w:r>
      <w:r>
        <w:rPr>
          <w:rFonts w:eastAsiaTheme="minorEastAsia"/>
          <w:color w:val="000000" w:themeColor="text1"/>
          <w:szCs w:val="21"/>
        </w:rPr>
        <w:t>、基金托管人业务资格批件、营业执照；</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8</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二〇二三年七月二十一日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07B" w:rsidRDefault="00ED407B">
      <w:r>
        <w:separator/>
      </w:r>
    </w:p>
  </w:endnote>
  <w:endnote w:type="continuationSeparator" w:id="0">
    <w:p w:rsidR="00ED407B" w:rsidRDefault="00ED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A719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A7193">
      <w:rPr>
        <w:noProof/>
        <w:kern w:val="0"/>
        <w:szCs w:val="21"/>
      </w:rPr>
      <w:t>17</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A719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07B" w:rsidRDefault="00ED407B">
      <w:r>
        <w:separator/>
      </w:r>
    </w:p>
  </w:footnote>
  <w:footnote w:type="continuationSeparator" w:id="0">
    <w:p w:rsidR="00ED407B" w:rsidRDefault="00ED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摩根双核平衡混合型证券投资基金</w:t>
    </w:r>
    <w:r>
      <w:t>2023</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604F"/>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A7193"/>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A65893-7131-4B22-B41C-36CC3808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23</TotalTime>
  <Pages>17</Pages>
  <Words>1504</Words>
  <Characters>8573</Characters>
  <Application>Microsoft Office Word</Application>
  <DocSecurity>0</DocSecurity>
  <Lines>71</Lines>
  <Paragraphs>20</Paragraphs>
  <ScaleCrop>false</ScaleCrop>
  <Company>TRT. Ltd. Co.</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Wenyu.Qiu@FA</cp:lastModifiedBy>
  <cp:revision>219</cp:revision>
  <cp:lastPrinted>2007-07-19T00:46:00Z</cp:lastPrinted>
  <dcterms:created xsi:type="dcterms:W3CDTF">2013-06-21T06:56:00Z</dcterms:created>
  <dcterms:modified xsi:type="dcterms:W3CDTF">2023-07-20T05:56:00Z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