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42299A" w14:textId="77777777" w:rsidR="005F2920" w:rsidRDefault="005F292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E42F8C5" w14:textId="77777777" w:rsidR="005F2920" w:rsidRDefault="005F2920">
      <w:pPr>
        <w:spacing w:line="360" w:lineRule="auto"/>
        <w:rPr>
          <w:rFonts w:ascii="宋体" w:hAnsi="宋体" w:hint="eastAsia"/>
          <w:sz w:val="48"/>
        </w:rPr>
      </w:pPr>
      <w:r>
        <w:rPr>
          <w:rFonts w:ascii="宋体" w:hAnsi="宋体" w:hint="eastAsia"/>
          <w:sz w:val="48"/>
        </w:rPr>
        <w:t xml:space="preserve">　 </w:t>
      </w:r>
    </w:p>
    <w:p w14:paraId="1A4E9947" w14:textId="77777777" w:rsidR="005F2920" w:rsidRDefault="005F2920">
      <w:pPr>
        <w:spacing w:line="360" w:lineRule="auto"/>
        <w:jc w:val="center"/>
      </w:pPr>
      <w:r>
        <w:rPr>
          <w:rFonts w:ascii="宋体" w:hAnsi="宋体" w:hint="eastAsia"/>
          <w:b/>
          <w:bCs/>
          <w:color w:val="000000" w:themeColor="text1"/>
          <w:sz w:val="48"/>
          <w:szCs w:val="30"/>
        </w:rPr>
        <w:t>摩根双核平衡混合型证券投资基金</w:t>
      </w:r>
      <w:r>
        <w:rPr>
          <w:rFonts w:ascii="宋体" w:hAnsi="宋体" w:hint="eastAsia"/>
          <w:b/>
          <w:bCs/>
          <w:color w:val="000000" w:themeColor="text1"/>
          <w:sz w:val="48"/>
          <w:szCs w:val="30"/>
        </w:rPr>
        <w:br/>
        <w:t>2025年第4季度报告</w:t>
      </w:r>
    </w:p>
    <w:p w14:paraId="545AE812"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3E85EBFB" w14:textId="77777777" w:rsidR="005F2920" w:rsidRDefault="005F2920">
      <w:pPr>
        <w:spacing w:line="360" w:lineRule="auto"/>
        <w:jc w:val="center"/>
      </w:pPr>
      <w:r>
        <w:rPr>
          <w:rFonts w:ascii="宋体" w:hAnsi="宋体" w:hint="eastAsia"/>
          <w:b/>
          <w:bCs/>
          <w:sz w:val="28"/>
          <w:szCs w:val="30"/>
        </w:rPr>
        <w:t>2025年12月31日</w:t>
      </w:r>
    </w:p>
    <w:p w14:paraId="32BAD62C"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44B73598" w14:textId="485AD90B"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r w:rsidR="00A60801">
        <w:rPr>
          <w:rFonts w:ascii="宋体" w:hAnsi="宋体" w:hint="eastAsia"/>
          <w:sz w:val="28"/>
          <w:szCs w:val="30"/>
        </w:rPr>
        <w:t xml:space="preserve"> </w:t>
      </w:r>
    </w:p>
    <w:p w14:paraId="438FD95E"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0092BA21" w14:textId="77777777" w:rsidR="005F2920" w:rsidRDefault="005F292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7FB2256"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18610660"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5D3E5AA4"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3C282BE5"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6C28B7F8"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7126A5BE"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72B16594" w14:textId="77777777" w:rsidR="005F2920" w:rsidRDefault="005F2920">
      <w:pPr>
        <w:spacing w:line="360" w:lineRule="auto"/>
        <w:jc w:val="center"/>
        <w:rPr>
          <w:rFonts w:ascii="宋体" w:hAnsi="宋体" w:hint="eastAsia"/>
          <w:sz w:val="28"/>
          <w:szCs w:val="30"/>
        </w:rPr>
      </w:pPr>
      <w:r>
        <w:rPr>
          <w:rFonts w:ascii="宋体" w:hAnsi="宋体" w:hint="eastAsia"/>
          <w:sz w:val="28"/>
          <w:szCs w:val="30"/>
        </w:rPr>
        <w:t xml:space="preserve">　 </w:t>
      </w:r>
    </w:p>
    <w:p w14:paraId="1A92CCD7" w14:textId="77777777" w:rsidR="005F2920" w:rsidRDefault="005F2920">
      <w:pPr>
        <w:spacing w:line="360" w:lineRule="auto"/>
        <w:ind w:firstLineChars="800" w:firstLine="2249"/>
        <w:jc w:val="left"/>
      </w:pPr>
      <w:r>
        <w:rPr>
          <w:rFonts w:ascii="宋体" w:hAnsi="宋体" w:hint="eastAsia"/>
          <w:b/>
          <w:bCs/>
          <w:sz w:val="28"/>
          <w:szCs w:val="30"/>
        </w:rPr>
        <w:t>基金管理人：摩根基金管理（中国）有限公司</w:t>
      </w:r>
    </w:p>
    <w:p w14:paraId="0CC90124" w14:textId="77777777" w:rsidR="005F2920" w:rsidRDefault="005F2920">
      <w:pPr>
        <w:spacing w:line="360" w:lineRule="auto"/>
        <w:ind w:firstLineChars="800" w:firstLine="2249"/>
        <w:jc w:val="left"/>
      </w:pPr>
      <w:r>
        <w:rPr>
          <w:rFonts w:ascii="宋体" w:hAnsi="宋体" w:hint="eastAsia"/>
          <w:b/>
          <w:bCs/>
          <w:sz w:val="28"/>
          <w:szCs w:val="30"/>
        </w:rPr>
        <w:t>基金托管人：中国工商银行股份有限公司</w:t>
      </w:r>
    </w:p>
    <w:p w14:paraId="163D7BED" w14:textId="77777777" w:rsidR="005F2920" w:rsidRDefault="005F2920">
      <w:pPr>
        <w:spacing w:line="360" w:lineRule="auto"/>
        <w:ind w:firstLineChars="800" w:firstLine="2249"/>
        <w:jc w:val="left"/>
      </w:pPr>
      <w:r>
        <w:rPr>
          <w:rFonts w:ascii="宋体" w:hAnsi="宋体" w:hint="eastAsia"/>
          <w:b/>
          <w:bCs/>
          <w:sz w:val="28"/>
          <w:szCs w:val="30"/>
        </w:rPr>
        <w:t>报告送出日期：2026年1月22日</w:t>
      </w:r>
    </w:p>
    <w:p w14:paraId="4FC7EF44" w14:textId="77777777" w:rsidR="005F2920" w:rsidRDefault="005F292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4432D813" w14:textId="77777777" w:rsidR="005F2920" w:rsidRDefault="005F292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D98189B" w14:textId="77777777" w:rsidR="005F2920" w:rsidRDefault="005F292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96EAA" w14:paraId="6000B051" w14:textId="77777777">
        <w:trPr>
          <w:divId w:val="18633211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EF4EBFD" w14:textId="77777777" w:rsidR="005F2920" w:rsidRDefault="005F292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0E4884" w14:textId="77777777" w:rsidR="005F2920" w:rsidRDefault="005F2920">
            <w:pPr>
              <w:jc w:val="left"/>
            </w:pPr>
            <w:r>
              <w:rPr>
                <w:rFonts w:ascii="宋体" w:hAnsi="宋体" w:hint="eastAsia"/>
                <w:szCs w:val="24"/>
                <w:lang w:eastAsia="zh-Hans"/>
              </w:rPr>
              <w:t>摩根双核平衡混合</w:t>
            </w:r>
            <w:r>
              <w:rPr>
                <w:rFonts w:ascii="宋体" w:hAnsi="宋体" w:hint="eastAsia"/>
                <w:lang w:eastAsia="zh-Hans"/>
              </w:rPr>
              <w:t xml:space="preserve"> </w:t>
            </w:r>
          </w:p>
        </w:tc>
      </w:tr>
      <w:tr w:rsidR="00296EAA" w14:paraId="48CE3FA0"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78EE64" w14:textId="77777777" w:rsidR="005F2920" w:rsidRDefault="005F292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5E396F" w14:textId="77777777" w:rsidR="005F2920" w:rsidRDefault="005F2920">
            <w:pPr>
              <w:jc w:val="left"/>
            </w:pPr>
            <w:r>
              <w:rPr>
                <w:rFonts w:ascii="宋体" w:hAnsi="宋体" w:hint="eastAsia"/>
                <w:lang w:eastAsia="zh-Hans"/>
              </w:rPr>
              <w:t>373020</w:t>
            </w:r>
          </w:p>
        </w:tc>
      </w:tr>
      <w:tr w:rsidR="00296EAA" w14:paraId="52C3788E"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BB0F9" w14:textId="77777777" w:rsidR="005F2920" w:rsidRDefault="005F292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70FDBF" w14:textId="77777777" w:rsidR="005F2920" w:rsidRDefault="005F2920">
            <w:pPr>
              <w:jc w:val="left"/>
            </w:pPr>
            <w:r>
              <w:rPr>
                <w:rFonts w:ascii="宋体" w:hAnsi="宋体" w:hint="eastAsia"/>
                <w:lang w:eastAsia="zh-Hans"/>
              </w:rPr>
              <w:t>契约型开放式</w:t>
            </w:r>
          </w:p>
        </w:tc>
      </w:tr>
      <w:tr w:rsidR="00296EAA" w14:paraId="1D5ED329"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F4B634" w14:textId="77777777" w:rsidR="005F2920" w:rsidRDefault="005F292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FEC1D4" w14:textId="77777777" w:rsidR="005F2920" w:rsidRDefault="005F2920">
            <w:pPr>
              <w:jc w:val="left"/>
            </w:pPr>
            <w:r>
              <w:rPr>
                <w:rFonts w:ascii="宋体" w:hAnsi="宋体" w:hint="eastAsia"/>
                <w:lang w:eastAsia="zh-Hans"/>
              </w:rPr>
              <w:t>2008年5月21日</w:t>
            </w:r>
          </w:p>
        </w:tc>
      </w:tr>
      <w:tr w:rsidR="00296EAA" w14:paraId="07006DF1"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78A02" w14:textId="77777777" w:rsidR="005F2920" w:rsidRDefault="005F292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D65ED2" w14:textId="77777777" w:rsidR="005F2920" w:rsidRDefault="005F2920">
            <w:pPr>
              <w:jc w:val="left"/>
            </w:pPr>
            <w:r>
              <w:rPr>
                <w:rFonts w:ascii="宋体" w:hAnsi="宋体" w:hint="eastAsia"/>
                <w:lang w:eastAsia="zh-Hans"/>
              </w:rPr>
              <w:t>166,003,470.87</w:t>
            </w:r>
            <w:r>
              <w:rPr>
                <w:rFonts w:hint="eastAsia"/>
              </w:rPr>
              <w:t>份</w:t>
            </w:r>
            <w:r>
              <w:rPr>
                <w:rFonts w:ascii="宋体" w:hAnsi="宋体" w:hint="eastAsia"/>
                <w:lang w:eastAsia="zh-Hans"/>
              </w:rPr>
              <w:t xml:space="preserve"> </w:t>
            </w:r>
          </w:p>
        </w:tc>
      </w:tr>
      <w:tr w:rsidR="00296EAA" w14:paraId="25B1C0AC"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866D40" w14:textId="77777777" w:rsidR="005F2920" w:rsidRDefault="005F292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19FAA7" w14:textId="77777777" w:rsidR="005F2920" w:rsidRDefault="005F2920">
            <w:pPr>
              <w:jc w:val="left"/>
            </w:pPr>
            <w:r>
              <w:rPr>
                <w:rFonts w:ascii="宋体" w:hAnsi="宋体" w:hint="eastAsia"/>
                <w:lang w:eastAsia="zh-Hans"/>
              </w:rPr>
              <w:t>本基金深化价值投资理念，精选具备较高估值优势的上市公司股票与优质债券等，持续优化投资风险与收益的动态匹配，通过积极主动的组合管理，追求基金资产的长期稳定增值。</w:t>
            </w:r>
          </w:p>
        </w:tc>
      </w:tr>
      <w:tr w:rsidR="00296EAA" w14:paraId="0E987E77"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393E75" w14:textId="77777777" w:rsidR="005F2920" w:rsidRDefault="005F292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DDC48" w14:textId="77777777" w:rsidR="005F2920" w:rsidRDefault="005F2920">
            <w:pPr>
              <w:jc w:val="left"/>
            </w:pPr>
            <w:r>
              <w:rPr>
                <w:rFonts w:ascii="宋体" w:hAnsi="宋体" w:hint="eastAsia"/>
                <w:lang w:eastAsia="zh-Hans"/>
              </w:rPr>
              <w:t>1、股票投资策略</w:t>
            </w:r>
            <w:r>
              <w:rPr>
                <w:rFonts w:ascii="宋体" w:hAnsi="宋体" w:hint="eastAsia"/>
                <w:lang w:eastAsia="zh-Hans"/>
              </w:rPr>
              <w:br/>
              <w:t>价值投资注重股票内在价值的发现。在内在价值确定以后，通过股票市场价格和内在价值的比较，就可以明确投资方向。特别当股票的价格低于它的内在价值时，就存在一个正的安全边际。足够的安全边际使投资拥有更容易取胜的优势，因为在价值引力作用下，股票价格更倾向于上涨。所以，安全边际越高，投资风险就会相对较低。</w:t>
            </w:r>
            <w:r>
              <w:rPr>
                <w:rFonts w:ascii="宋体" w:hAnsi="宋体" w:hint="eastAsia"/>
                <w:lang w:eastAsia="zh-Hans"/>
              </w:rPr>
              <w:br/>
              <w:t>本基金将运用安全边际策略有效挖掘价值低估的股票类投资品种。在控制宏观经济趋势、产业发展周期等宏观经济环境变量基础上，考察上市公司的商业模式、管理能力、财务状况等影响企业持续经营的因素，然后综合运用量化价值模型来衡量股票价格是高估还是低估。根据不同的产业和行业特征，本基金将有针对性地选用不同的P/E、P/CFPS、P/S、P/B等乘</w:t>
            </w:r>
            <w:r>
              <w:rPr>
                <w:rFonts w:ascii="宋体" w:hAnsi="宋体" w:hint="eastAsia"/>
                <w:lang w:eastAsia="zh-Hans"/>
              </w:rPr>
              <w:lastRenderedPageBreak/>
              <w:t>数法和DCF增长模型建立股票选择池。</w:t>
            </w:r>
            <w:r>
              <w:rPr>
                <w:rFonts w:ascii="宋体" w:hAnsi="宋体" w:hint="eastAsia"/>
                <w:lang w:eastAsia="zh-Hans"/>
              </w:rPr>
              <w:br/>
              <w:t>（1）宏观经济分析</w:t>
            </w:r>
            <w:r>
              <w:rPr>
                <w:rFonts w:ascii="宋体" w:hAnsi="宋体" w:hint="eastAsia"/>
                <w:lang w:eastAsia="zh-Hans"/>
              </w:rPr>
              <w:br/>
              <w:t>本基金基于对宏观经济运行状况及政策分析、财政政策与货币政策运行状况分析、行业运行景气状况分析的基础上，重点判断宏观经济周期对市场不同行业的影响，作为资产配置的依据。同时根据宏观经济对市场影响的分析，初步判断市场的多空方向，决定大类资产配置。</w:t>
            </w:r>
            <w:r>
              <w:rPr>
                <w:rFonts w:ascii="宋体" w:hAnsi="宋体" w:hint="eastAsia"/>
                <w:lang w:eastAsia="zh-Hans"/>
              </w:rPr>
              <w:br/>
              <w:t>（2）行业分析</w:t>
            </w:r>
            <w:r>
              <w:rPr>
                <w:rFonts w:ascii="宋体" w:hAnsi="宋体" w:hint="eastAsia"/>
                <w:lang w:eastAsia="zh-Hans"/>
              </w:rPr>
              <w:br/>
              <w:t>本基金将根据各行业所处生命周期、产业竞争结构、近期发展趋势等方面因素对各行业的相对盈利能力及投资吸引力进行评价，考察净资产收益率、营运周期、销售收入、净利润等指标，对各行业投资机会进行评估，并根据行业综合评价结果确定股票资产中各行业的权重。</w:t>
            </w:r>
            <w:r>
              <w:rPr>
                <w:rFonts w:ascii="宋体" w:hAnsi="宋体" w:hint="eastAsia"/>
                <w:lang w:eastAsia="zh-Hans"/>
              </w:rPr>
              <w:br/>
              <w:t>（3）公司质地分析</w:t>
            </w:r>
            <w:r>
              <w:rPr>
                <w:rFonts w:ascii="宋体" w:hAnsi="宋体" w:hint="eastAsia"/>
                <w:lang w:eastAsia="zh-Hans"/>
              </w:rPr>
              <w:br/>
              <w:t>企业在行业中的相对竞争力是决定企业成败和投资价值的关键，本基金将根据公司质地对上市公司当前和未来的竞争优势加以评估。公司质地良好的企业通常具备以下特征：企业在管理、品牌、资源、技术、创新能力中的某一方面或多个方面具有竞争对手在短时间内难以模仿的显著优势，从而能够获得超越行业平均的盈利水平和增长速度。本基金将通过包括实际调研在内的多种分析手段，对上市公司质地进行判断。</w:t>
            </w:r>
            <w:r>
              <w:rPr>
                <w:rFonts w:ascii="宋体" w:hAnsi="宋体" w:hint="eastAsia"/>
                <w:lang w:eastAsia="zh-Hans"/>
              </w:rPr>
              <w:br/>
              <w:t>（4）股票估值水平分析</w:t>
            </w:r>
            <w:r>
              <w:rPr>
                <w:rFonts w:ascii="宋体" w:hAnsi="宋体" w:hint="eastAsia"/>
                <w:lang w:eastAsia="zh-Hans"/>
              </w:rPr>
              <w:br/>
              <w:t>本基金的战略目标是构造可以创造主动管理报酬的投资组合，上市公司经过竞争优势指标筛选之后，将由研究团队进行估值水平考察。通过基本面和估值指标筛选的基础组合即被纳入摩根基金管理（中国）有限公司策略性评价体系。本基金在对股票进行估值时，首先采用现金流折现模型（DCF）计算出股票的内在价值，然后在第二阶段采用乘数估值法（Multiple），通过对对同行业公司的情况对样本公司价值进行比较修正，使得对于股票价值的评估更加准确可靠。</w:t>
            </w:r>
            <w:r>
              <w:rPr>
                <w:rFonts w:ascii="宋体" w:hAnsi="宋体" w:hint="eastAsia"/>
                <w:lang w:eastAsia="zh-Hans"/>
              </w:rPr>
              <w:br/>
              <w:t>2、固定收益类投资策略</w:t>
            </w:r>
            <w:r>
              <w:rPr>
                <w:rFonts w:ascii="宋体" w:hAnsi="宋体" w:hint="eastAsia"/>
                <w:lang w:eastAsia="zh-Hans"/>
              </w:rPr>
              <w:br/>
              <w:t>本基金的债券投资策略是建立在对债券核心内在价值的认识上。我们将采用更为有效的债券估值模型，同时综合考虑宏观经济运行状况、金融市场环境及利率走势，采取至上而下和至下而上结合的投资策略积极配置资产。在控制利率风险、信用风险以及流动性风险的基础上，通过组合投资为投资者创造长期回报。具体而言，我们将运用利率预期策略、骑乘收益曲线策略和类属资产配置策略等积极策略配置各类债券资产。</w:t>
            </w:r>
            <w:r>
              <w:rPr>
                <w:rFonts w:ascii="宋体" w:hAnsi="宋体" w:hint="eastAsia"/>
                <w:lang w:eastAsia="zh-Hans"/>
              </w:rPr>
              <w:br/>
              <w:t>（1）利率预期策略：本基金将首先根据对国内外经济</w:t>
            </w:r>
            <w:r>
              <w:rPr>
                <w:rFonts w:ascii="宋体" w:hAnsi="宋体" w:hint="eastAsia"/>
                <w:lang w:eastAsia="zh-Hans"/>
              </w:rPr>
              <w:lastRenderedPageBreak/>
              <w:t>形势的预测，分析市场投资环境的变化趋势，重点关注利率趋势变化。通过全面分析宏观经济、货币政策与财政政策、物价水平变化趋势等因素，对利率走势形成合理预期。</w:t>
            </w:r>
            <w:r>
              <w:rPr>
                <w:rFonts w:ascii="宋体" w:hAnsi="宋体" w:hint="eastAsia"/>
                <w:lang w:eastAsia="zh-Hans"/>
              </w:rPr>
              <w:br/>
              <w:t>（2）骑乘收益率曲线策略：骑乘收益率曲线策略是短期货币市场证券管理中流行的一种策略。具体操作时买入收益率曲线最突起部位所在剩余期限的债券，这一期限的收益率水平此时处于相对较高的位置，随着一段时间的持有，当收益率下降时，对应的将是债券价格的走高，而这一期限债券的涨幅将会高于其他期限，这样就可以获得更好的价差收益。</w:t>
            </w:r>
            <w:r>
              <w:rPr>
                <w:rFonts w:ascii="宋体" w:hAnsi="宋体" w:hint="eastAsia"/>
                <w:lang w:eastAsia="zh-Hans"/>
              </w:rPr>
              <w:br/>
              <w:t>（3）类属资产配置：在类属资产配置层次，本基金根据市场和类属资产的风险收益特征，在判断各类属的利率期限结构与交易活跃的国家信用等级短期券利率期限结构应具有的合理利差水平基础上，将市场细分为交易所国债、交易所企业债、银行间国债、银行间金融债等子市场。结合各类属资产的市场容量、信用等级和流动性特点，在此基础上运用修正的均值-方差等模型，定期对投资组合类属资产进行最优化配置和调整，确定类属资产的最优权重。</w:t>
            </w:r>
            <w:r>
              <w:rPr>
                <w:rFonts w:ascii="宋体" w:hAnsi="宋体" w:hint="eastAsia"/>
                <w:lang w:eastAsia="zh-Hans"/>
              </w:rPr>
              <w:br/>
              <w:t>3、权证投资策略</w:t>
            </w:r>
            <w:r>
              <w:rPr>
                <w:rFonts w:ascii="宋体" w:hAnsi="宋体" w:hint="eastAsia"/>
                <w:lang w:eastAsia="zh-Hans"/>
              </w:rPr>
              <w:br/>
              <w:t>本基金将在法律法规及基金合同规定的范围内，采取积极的态度进行权证投资。权证投资的主要目的在于对冲组合中证券的持有风险，及在正确估值标的证券的基础上获取权证投资收益。本基金将采用业界广泛应用的Black-Scholes　Pricing　Model(BSPM)对权证进行估价。对于股票基本面和投资价值的判断一贯是本公司投资的重要依据。在投资权证前，基金管理人员和研究员应对标的股票的基本面和内在价值作出分析判断。</w:t>
            </w:r>
            <w:r>
              <w:rPr>
                <w:rFonts w:ascii="宋体" w:hAnsi="宋体" w:hint="eastAsia"/>
                <w:lang w:eastAsia="zh-Hans"/>
              </w:rPr>
              <w:br/>
              <w:t>4、资产支持证券投资策略</w:t>
            </w:r>
            <w:r>
              <w:rPr>
                <w:rFonts w:ascii="宋体" w:hAnsi="宋体" w:hint="eastAsia"/>
                <w:lang w:eastAsia="zh-Hans"/>
              </w:rPr>
              <w:br/>
              <w:t>本基金投资资产支持证券时，将综合运用久期管理、收益率曲线、个券选择和把握市场交易机会等积极策略，在严格控制风险的情况下，通过信用研究和对个案的具体分析，确定资产合理配置比例，在保证资产安全性的前提条件下，以期获得长期稳定收益。</w:t>
            </w:r>
            <w:r>
              <w:rPr>
                <w:rFonts w:ascii="宋体" w:hAnsi="宋体" w:hint="eastAsia"/>
                <w:lang w:eastAsia="zh-Hans"/>
              </w:rPr>
              <w:br/>
              <w:t>5、资产配置策略</w:t>
            </w:r>
            <w:r>
              <w:rPr>
                <w:rFonts w:ascii="宋体" w:hAnsi="宋体" w:hint="eastAsia"/>
                <w:lang w:eastAsia="zh-Hans"/>
              </w:rPr>
              <w:br/>
              <w:t>资产配置是本基金资产管理的重要环节。本基金是一只注重价值投资的平衡型基金，资产配置策略依据对宏观经济、股市政策、市场趋势等因素的判断，对股票市场和债券市场的风险收益特征进行科学的评估后，在本基金投资范围内，将基金资产主要分配在权益类、固定收益类之间，并根据投资环境的实际变化情况，在各类金融资产之间进行实时动态配置，以期承受尽量小的投资风险，并取得尽可能大的主动管理</w:t>
            </w:r>
            <w:r>
              <w:rPr>
                <w:rFonts w:ascii="宋体" w:hAnsi="宋体" w:hint="eastAsia"/>
                <w:lang w:eastAsia="zh-Hans"/>
              </w:rPr>
              <w:lastRenderedPageBreak/>
              <w:t>回报。</w:t>
            </w:r>
            <w:r>
              <w:rPr>
                <w:rFonts w:ascii="宋体" w:hAnsi="宋体" w:hint="eastAsia"/>
                <w:lang w:eastAsia="zh-Hans"/>
              </w:rPr>
              <w:br/>
              <w:t>具体而言，在正常的市场环境下，本基金将保持不同类型资产配置比例的相对稳定。如果出现股票市场整体估值水平较大程度偏离企业基本面的情况，会对权益类和固定收益类资产的配置比例做出相应的调整，以减少投资风险。在股票市场安全边际降低，且综合考虑收益风险后投资吸引力低于固定收益资产时，本基金将降低权益类资产的配置比例；相反，在股票市场安全边际增厚时，本基金将相应增加权益类资产的配置比例。</w:t>
            </w:r>
            <w:r>
              <w:rPr>
                <w:rFonts w:ascii="宋体" w:hAnsi="宋体" w:hint="eastAsia"/>
                <w:lang w:eastAsia="zh-Hans"/>
              </w:rPr>
              <w:br/>
              <w:t>6、存托凭证投资策略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296EAA" w14:paraId="6F12F421"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385993" w14:textId="77777777" w:rsidR="005F2920" w:rsidRDefault="005F292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D114AD" w14:textId="77777777" w:rsidR="005F2920" w:rsidRDefault="005F2920">
            <w:pPr>
              <w:jc w:val="left"/>
            </w:pPr>
            <w:r>
              <w:rPr>
                <w:rFonts w:ascii="宋体" w:hAnsi="宋体" w:hint="eastAsia"/>
                <w:lang w:eastAsia="zh-Hans"/>
              </w:rPr>
              <w:t>沪深300指数收益率×50%＋上证国债指数收益率×50％</w:t>
            </w:r>
          </w:p>
        </w:tc>
      </w:tr>
      <w:tr w:rsidR="00296EAA" w14:paraId="103E83E1"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2C9A89" w14:textId="77777777" w:rsidR="005F2920" w:rsidRDefault="005F292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31600C" w14:textId="77777777" w:rsidR="005F2920" w:rsidRDefault="005F2920">
            <w:pPr>
              <w:jc w:val="left"/>
            </w:pPr>
            <w:r>
              <w:rPr>
                <w:rFonts w:ascii="宋体" w:hAnsi="宋体" w:hint="eastAsia"/>
                <w:lang w:eastAsia="zh-Hans"/>
              </w:rPr>
              <w:t>本基金是混合型基金，在证券投资基金中属于中高风险品种，其预期风险收益水平低于股票型基金，高于债券基金与货币市场基金。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96EAA" w14:paraId="1A08FC50"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560835" w14:textId="77777777" w:rsidR="005F2920" w:rsidRDefault="005F292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85BF4F" w14:textId="77777777" w:rsidR="005F2920" w:rsidRDefault="005F2920">
            <w:pPr>
              <w:jc w:val="left"/>
            </w:pPr>
            <w:r>
              <w:rPr>
                <w:rFonts w:ascii="宋体" w:hAnsi="宋体" w:hint="eastAsia"/>
                <w:lang w:eastAsia="zh-Hans"/>
              </w:rPr>
              <w:t>摩根基金管理（中国）有限公司</w:t>
            </w:r>
          </w:p>
        </w:tc>
      </w:tr>
      <w:tr w:rsidR="00296EAA" w14:paraId="03F34E71" w14:textId="77777777">
        <w:trPr>
          <w:divId w:val="1863321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44EE5" w14:textId="77777777" w:rsidR="005F2920" w:rsidRDefault="005F292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138C1F" w14:textId="77777777" w:rsidR="005F2920" w:rsidRDefault="005F2920">
            <w:pPr>
              <w:jc w:val="left"/>
            </w:pPr>
            <w:r>
              <w:rPr>
                <w:rFonts w:ascii="宋体" w:hAnsi="宋体" w:hint="eastAsia"/>
                <w:lang w:eastAsia="zh-Hans"/>
              </w:rPr>
              <w:t>中国工商银行股份有限公司</w:t>
            </w:r>
          </w:p>
        </w:tc>
      </w:tr>
      <w:tr w:rsidR="00296EAA" w14:paraId="43BAF790" w14:textId="77777777">
        <w:trPr>
          <w:divId w:val="1863321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14FBFA" w14:textId="77777777" w:rsidR="005F2920" w:rsidRDefault="005F292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35EC4" w14:textId="77777777" w:rsidR="005F2920" w:rsidRDefault="005F2920">
            <w:pPr>
              <w:jc w:val="center"/>
            </w:pPr>
            <w:r>
              <w:rPr>
                <w:rFonts w:ascii="宋体" w:hAnsi="宋体" w:hint="eastAsia"/>
                <w:lang w:eastAsia="zh-Hans"/>
              </w:rPr>
              <w:t>摩根双核平衡混合A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760D8" w14:textId="77777777" w:rsidR="005F2920" w:rsidRDefault="005F2920">
            <w:pPr>
              <w:jc w:val="center"/>
            </w:pPr>
            <w:r>
              <w:rPr>
                <w:rFonts w:ascii="宋体" w:hAnsi="宋体" w:hint="eastAsia"/>
                <w:lang w:eastAsia="zh-Hans"/>
              </w:rPr>
              <w:t>摩根双核平衡混合C</w:t>
            </w:r>
            <w:r>
              <w:rPr>
                <w:rFonts w:ascii="宋体" w:hAnsi="宋体" w:hint="eastAsia"/>
                <w:kern w:val="0"/>
                <w:sz w:val="20"/>
                <w:lang w:eastAsia="zh-Hans"/>
              </w:rPr>
              <w:t xml:space="preserve"> </w:t>
            </w:r>
          </w:p>
        </w:tc>
      </w:tr>
      <w:tr w:rsidR="00296EAA" w14:paraId="7BAB4BF1" w14:textId="77777777">
        <w:trPr>
          <w:divId w:val="1863321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B838E2" w14:textId="77777777" w:rsidR="005F2920" w:rsidRDefault="005F292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B33AF" w14:textId="77777777" w:rsidR="005F2920" w:rsidRDefault="005F2920">
            <w:pPr>
              <w:jc w:val="center"/>
            </w:pPr>
            <w:r>
              <w:rPr>
                <w:rFonts w:ascii="宋体" w:hAnsi="宋体" w:hint="eastAsia"/>
                <w:lang w:eastAsia="zh-Hans"/>
              </w:rPr>
              <w:t>373020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A8488" w14:textId="77777777" w:rsidR="005F2920" w:rsidRDefault="005F2920">
            <w:pPr>
              <w:jc w:val="center"/>
            </w:pPr>
            <w:r>
              <w:rPr>
                <w:rFonts w:ascii="宋体" w:hAnsi="宋体" w:hint="eastAsia"/>
                <w:lang w:eastAsia="zh-Hans"/>
              </w:rPr>
              <w:t>015174</w:t>
            </w:r>
            <w:r>
              <w:rPr>
                <w:rFonts w:ascii="宋体" w:hAnsi="宋体" w:hint="eastAsia"/>
                <w:kern w:val="0"/>
                <w:sz w:val="20"/>
                <w:lang w:eastAsia="zh-Hans"/>
              </w:rPr>
              <w:t xml:space="preserve"> </w:t>
            </w:r>
          </w:p>
        </w:tc>
      </w:tr>
      <w:bookmarkEnd w:id="33"/>
      <w:bookmarkEnd w:id="32"/>
      <w:tr w:rsidR="00296EAA" w14:paraId="45FC5AA0" w14:textId="77777777">
        <w:trPr>
          <w:divId w:val="1863321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8D442C" w14:textId="77777777" w:rsidR="005F2920" w:rsidRDefault="005F292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D5447" w14:textId="77777777" w:rsidR="005F2920" w:rsidRDefault="005F2920">
            <w:pPr>
              <w:jc w:val="center"/>
            </w:pPr>
            <w:r>
              <w:rPr>
                <w:rFonts w:ascii="宋体" w:hAnsi="宋体" w:hint="eastAsia"/>
                <w:lang w:eastAsia="zh-Hans"/>
              </w:rPr>
              <w:t>165,384,204.53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71138" w14:textId="77777777" w:rsidR="005F2920" w:rsidRDefault="005F2920">
            <w:pPr>
              <w:jc w:val="center"/>
            </w:pPr>
            <w:r>
              <w:rPr>
                <w:rFonts w:ascii="宋体" w:hAnsi="宋体" w:hint="eastAsia"/>
                <w:lang w:eastAsia="zh-Hans"/>
              </w:rPr>
              <w:t>619,266.34</w:t>
            </w:r>
            <w:r>
              <w:rPr>
                <w:rFonts w:hint="eastAsia"/>
              </w:rPr>
              <w:t>份</w:t>
            </w:r>
            <w:r>
              <w:rPr>
                <w:rFonts w:ascii="宋体" w:hAnsi="宋体" w:hint="eastAsia"/>
                <w:lang w:eastAsia="zh-Hans"/>
              </w:rPr>
              <w:t xml:space="preserve"> </w:t>
            </w:r>
          </w:p>
        </w:tc>
      </w:tr>
    </w:tbl>
    <w:p w14:paraId="7D2D7853" w14:textId="77777777" w:rsidR="005F2920" w:rsidRDefault="005F292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546DFDF0" w14:textId="77777777" w:rsidR="005F2920" w:rsidRDefault="005F292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1AB3CEB6" w14:textId="77777777" w:rsidR="005F2920" w:rsidRDefault="005F2920">
      <w:pPr>
        <w:jc w:val="right"/>
        <w:divId w:val="119781728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296EAA" w14:paraId="7B10CDC6" w14:textId="77777777">
        <w:trPr>
          <w:divId w:val="119781728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F0DCC84" w14:textId="77777777" w:rsidR="005F2920" w:rsidRDefault="005F292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F6BF131" w14:textId="77777777" w:rsidR="005F2920" w:rsidRDefault="005F2920">
            <w:pPr>
              <w:pStyle w:val="a5"/>
              <w:jc w:val="center"/>
              <w:rPr>
                <w:rFonts w:hint="eastAsia"/>
              </w:rPr>
            </w:pPr>
            <w:r>
              <w:rPr>
                <w:rFonts w:hint="eastAsia"/>
                <w:kern w:val="2"/>
                <w:sz w:val="21"/>
                <w:szCs w:val="24"/>
                <w:lang w:eastAsia="zh-Hans"/>
              </w:rPr>
              <w:t xml:space="preserve">报告期（2025年10月1日 - 2025年12月31日） </w:t>
            </w:r>
          </w:p>
        </w:tc>
      </w:tr>
      <w:tr w:rsidR="00296EAA" w14:paraId="171DDF21" w14:textId="77777777">
        <w:trPr>
          <w:divId w:val="119781728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31120" w14:textId="77777777" w:rsidR="005F2920" w:rsidRDefault="005F292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6A4DD8E" w14:textId="77777777" w:rsidR="005F2920" w:rsidRDefault="005F2920">
            <w:pPr>
              <w:jc w:val="center"/>
            </w:pPr>
            <w:r>
              <w:rPr>
                <w:rFonts w:ascii="宋体" w:hAnsi="宋体" w:hint="eastAsia"/>
                <w:szCs w:val="24"/>
                <w:lang w:eastAsia="zh-Hans"/>
              </w:rPr>
              <w:t>摩根双核平衡混合A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D45DC3" w14:textId="77777777" w:rsidR="005F2920" w:rsidRDefault="005F2920">
            <w:pPr>
              <w:jc w:val="center"/>
            </w:pPr>
            <w:r>
              <w:rPr>
                <w:rFonts w:ascii="宋体" w:hAnsi="宋体" w:hint="eastAsia"/>
                <w:szCs w:val="24"/>
                <w:lang w:eastAsia="zh-Hans"/>
              </w:rPr>
              <w:t>摩根双核平衡混合C</w:t>
            </w:r>
          </w:p>
        </w:tc>
      </w:tr>
      <w:tr w:rsidR="00296EAA" w14:paraId="50C13C99" w14:textId="77777777">
        <w:trPr>
          <w:divId w:val="11978172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05ADEE" w14:textId="77777777" w:rsidR="005F2920" w:rsidRDefault="005F292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EE8577" w14:textId="77777777" w:rsidR="005F2920" w:rsidRDefault="005F2920">
            <w:pPr>
              <w:jc w:val="right"/>
            </w:pPr>
            <w:r>
              <w:rPr>
                <w:rFonts w:ascii="宋体" w:hAnsi="宋体" w:hint="eastAsia"/>
                <w:szCs w:val="24"/>
                <w:lang w:eastAsia="zh-Hans"/>
              </w:rPr>
              <w:t>14,869,942.02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82DF66" w14:textId="77777777" w:rsidR="005F2920" w:rsidRDefault="005F2920">
            <w:pPr>
              <w:jc w:val="right"/>
            </w:pPr>
            <w:r>
              <w:rPr>
                <w:rFonts w:ascii="宋体" w:hAnsi="宋体" w:hint="eastAsia"/>
                <w:szCs w:val="24"/>
                <w:lang w:eastAsia="zh-Hans"/>
              </w:rPr>
              <w:t>78,273.31</w:t>
            </w:r>
          </w:p>
        </w:tc>
      </w:tr>
      <w:tr w:rsidR="00296EAA" w14:paraId="4A5AEADE" w14:textId="77777777">
        <w:trPr>
          <w:divId w:val="11978172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3E8CD4" w14:textId="77777777" w:rsidR="005F2920" w:rsidRDefault="005F292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AD734A" w14:textId="77777777" w:rsidR="005F2920" w:rsidRDefault="005F2920">
            <w:pPr>
              <w:jc w:val="right"/>
            </w:pPr>
            <w:r>
              <w:rPr>
                <w:rFonts w:ascii="宋体" w:hAnsi="宋体" w:hint="eastAsia"/>
                <w:szCs w:val="24"/>
                <w:lang w:eastAsia="zh-Hans"/>
              </w:rPr>
              <w:t>-273,233.72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2CA24C" w14:textId="77777777" w:rsidR="005F2920" w:rsidRDefault="005F2920">
            <w:pPr>
              <w:jc w:val="right"/>
            </w:pPr>
            <w:r>
              <w:rPr>
                <w:rFonts w:ascii="宋体" w:hAnsi="宋体" w:hint="eastAsia"/>
                <w:szCs w:val="24"/>
                <w:lang w:eastAsia="zh-Hans"/>
              </w:rPr>
              <w:t>-15,106.96</w:t>
            </w:r>
          </w:p>
        </w:tc>
      </w:tr>
      <w:tr w:rsidR="00296EAA" w14:paraId="032D2809" w14:textId="77777777">
        <w:trPr>
          <w:divId w:val="11978172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F11567" w14:textId="77777777" w:rsidR="005F2920" w:rsidRDefault="005F292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CEC038" w14:textId="77777777" w:rsidR="005F2920" w:rsidRDefault="005F2920">
            <w:pPr>
              <w:jc w:val="right"/>
            </w:pPr>
            <w:r>
              <w:rPr>
                <w:rFonts w:ascii="宋体" w:hAnsi="宋体" w:hint="eastAsia"/>
                <w:szCs w:val="24"/>
                <w:lang w:eastAsia="zh-Hans"/>
              </w:rPr>
              <w:t>-0.0016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B12034" w14:textId="77777777" w:rsidR="005F2920" w:rsidRDefault="005F2920">
            <w:pPr>
              <w:jc w:val="right"/>
            </w:pPr>
            <w:r>
              <w:rPr>
                <w:rFonts w:ascii="宋体" w:hAnsi="宋体" w:hint="eastAsia"/>
                <w:szCs w:val="24"/>
                <w:lang w:eastAsia="zh-Hans"/>
              </w:rPr>
              <w:t>-0.0178</w:t>
            </w:r>
          </w:p>
        </w:tc>
      </w:tr>
      <w:tr w:rsidR="00296EAA" w14:paraId="38BD5DC0" w14:textId="77777777">
        <w:trPr>
          <w:divId w:val="11978172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659D23" w14:textId="77777777" w:rsidR="005F2920" w:rsidRDefault="005F292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4A3D93" w14:textId="77777777" w:rsidR="005F2920" w:rsidRDefault="005F2920">
            <w:pPr>
              <w:jc w:val="right"/>
            </w:pPr>
            <w:r>
              <w:rPr>
                <w:rFonts w:ascii="宋体" w:hAnsi="宋体" w:hint="eastAsia"/>
                <w:szCs w:val="24"/>
                <w:lang w:eastAsia="zh-Hans"/>
              </w:rPr>
              <w:t>310,267,975.22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28F7F6" w14:textId="77777777" w:rsidR="005F2920" w:rsidRDefault="005F2920">
            <w:pPr>
              <w:jc w:val="right"/>
            </w:pPr>
            <w:r>
              <w:rPr>
                <w:rFonts w:ascii="宋体" w:hAnsi="宋体" w:hint="eastAsia"/>
                <w:szCs w:val="24"/>
                <w:lang w:eastAsia="zh-Hans"/>
              </w:rPr>
              <w:t>1,140,384.45</w:t>
            </w:r>
          </w:p>
        </w:tc>
      </w:tr>
      <w:tr w:rsidR="00296EAA" w14:paraId="738C333B" w14:textId="77777777">
        <w:trPr>
          <w:divId w:val="11978172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C2703B" w14:textId="77777777" w:rsidR="005F2920" w:rsidRDefault="005F292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586D56" w14:textId="77777777" w:rsidR="005F2920" w:rsidRDefault="005F2920">
            <w:pPr>
              <w:jc w:val="right"/>
            </w:pPr>
            <w:r>
              <w:rPr>
                <w:rFonts w:ascii="宋体" w:hAnsi="宋体" w:hint="eastAsia"/>
                <w:szCs w:val="24"/>
                <w:lang w:eastAsia="zh-Hans"/>
              </w:rPr>
              <w:t>1.8760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675749" w14:textId="77777777" w:rsidR="005F2920" w:rsidRDefault="005F2920">
            <w:pPr>
              <w:jc w:val="right"/>
            </w:pPr>
            <w:r>
              <w:rPr>
                <w:rFonts w:ascii="宋体" w:hAnsi="宋体" w:hint="eastAsia"/>
                <w:szCs w:val="24"/>
                <w:lang w:eastAsia="zh-Hans"/>
              </w:rPr>
              <w:t>1.8415</w:t>
            </w:r>
          </w:p>
        </w:tc>
      </w:tr>
    </w:tbl>
    <w:p w14:paraId="6496429C" w14:textId="77777777" w:rsidR="005F2920" w:rsidRDefault="005F2920">
      <w:pPr>
        <w:wordWrap w:val="0"/>
        <w:spacing w:line="360" w:lineRule="auto"/>
        <w:jc w:val="left"/>
        <w:divId w:val="490801240"/>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3865554" w14:textId="77777777" w:rsidR="005F2920" w:rsidRDefault="005F292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03845E9F" w14:textId="77777777" w:rsidR="005F2920" w:rsidRDefault="005F2920">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082EAAD8" w14:textId="77777777" w:rsidR="005F2920" w:rsidRDefault="005F2920">
      <w:pPr>
        <w:spacing w:line="360" w:lineRule="auto"/>
        <w:jc w:val="center"/>
        <w:divId w:val="1362318337"/>
      </w:pPr>
      <w:r>
        <w:rPr>
          <w:rFonts w:ascii="宋体" w:hAnsi="宋体" w:hint="eastAsia"/>
        </w:rPr>
        <w:t>摩根双核平衡混合A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96EAA" w14:paraId="7D4A2DB6" w14:textId="77777777">
        <w:trPr>
          <w:divId w:val="13623183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5CD2F9" w14:textId="77777777" w:rsidR="005F2920" w:rsidRDefault="005F292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165E44" w14:textId="77777777" w:rsidR="005F2920" w:rsidRDefault="005F292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2B3F4E" w14:textId="77777777" w:rsidR="005F2920" w:rsidRDefault="005F292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286828" w14:textId="77777777" w:rsidR="005F2920" w:rsidRDefault="005F292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3091AF" w14:textId="77777777" w:rsidR="005F2920" w:rsidRDefault="005F292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1C789" w14:textId="77777777" w:rsidR="005F2920" w:rsidRDefault="005F292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6087E4" w14:textId="77777777" w:rsidR="005F2920" w:rsidRDefault="005F2920">
            <w:pPr>
              <w:spacing w:line="360" w:lineRule="auto"/>
              <w:jc w:val="center"/>
            </w:pPr>
            <w:r>
              <w:rPr>
                <w:rFonts w:ascii="宋体" w:hAnsi="宋体" w:hint="eastAsia"/>
              </w:rPr>
              <w:t xml:space="preserve">②－④ </w:t>
            </w:r>
          </w:p>
        </w:tc>
      </w:tr>
      <w:tr w:rsidR="00296EAA" w14:paraId="02E29C0E" w14:textId="77777777">
        <w:trPr>
          <w:divId w:val="136231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890EF" w14:textId="77777777" w:rsidR="005F2920" w:rsidRDefault="005F292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CF75E" w14:textId="77777777" w:rsidR="005F2920" w:rsidRDefault="005F2920">
            <w:pPr>
              <w:spacing w:line="360" w:lineRule="auto"/>
              <w:jc w:val="right"/>
            </w:pPr>
            <w:r>
              <w:rPr>
                <w:rFonts w:ascii="宋体" w:hAnsi="宋体" w:hint="eastAsia"/>
              </w:rPr>
              <w:t xml:space="preserve">-0.05%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AA31F" w14:textId="77777777" w:rsidR="005F2920" w:rsidRDefault="005F292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0AB29" w14:textId="77777777" w:rsidR="005F2920" w:rsidRDefault="005F292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32800" w14:textId="77777777" w:rsidR="005F2920" w:rsidRDefault="005F2920">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C25540" w14:textId="77777777" w:rsidR="005F2920" w:rsidRDefault="005F2920">
            <w:pPr>
              <w:spacing w:line="360" w:lineRule="auto"/>
              <w:jc w:val="right"/>
            </w:pPr>
            <w:r>
              <w:rPr>
                <w:rFonts w:ascii="宋体" w:hAnsi="宋体" w:hint="eastAsia"/>
              </w:rPr>
              <w:t xml:space="preserve">-0.02%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D5C82" w14:textId="77777777" w:rsidR="005F2920" w:rsidRDefault="005F2920">
            <w:pPr>
              <w:spacing w:line="360" w:lineRule="auto"/>
              <w:jc w:val="right"/>
            </w:pPr>
            <w:r>
              <w:rPr>
                <w:rFonts w:ascii="宋体" w:hAnsi="宋体" w:hint="eastAsia"/>
              </w:rPr>
              <w:t xml:space="preserve">0.77% </w:t>
            </w:r>
          </w:p>
        </w:tc>
      </w:tr>
      <w:tr w:rsidR="00296EAA" w14:paraId="0ED45458" w14:textId="77777777">
        <w:trPr>
          <w:divId w:val="136231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97ABC" w14:textId="77777777" w:rsidR="005F2920" w:rsidRDefault="005F292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65A3D" w14:textId="77777777" w:rsidR="005F2920" w:rsidRDefault="005F2920">
            <w:pPr>
              <w:spacing w:line="360" w:lineRule="auto"/>
              <w:jc w:val="right"/>
            </w:pPr>
            <w:r>
              <w:rPr>
                <w:rFonts w:ascii="宋体" w:hAnsi="宋体" w:hint="eastAsia"/>
              </w:rPr>
              <w:t xml:space="preserve">33.10%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09BC5" w14:textId="77777777" w:rsidR="005F2920" w:rsidRDefault="005F2920">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4A497" w14:textId="77777777" w:rsidR="005F2920" w:rsidRDefault="005F2920">
            <w:pPr>
              <w:spacing w:line="360" w:lineRule="auto"/>
              <w:jc w:val="right"/>
            </w:pPr>
            <w:r>
              <w:rPr>
                <w:rFonts w:ascii="宋体" w:hAnsi="宋体" w:hint="eastAsia"/>
              </w:rPr>
              <w:t xml:space="preserve">8.60%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B0E66" w14:textId="77777777" w:rsidR="005F2920" w:rsidRDefault="005F2920">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2414DA" w14:textId="77777777" w:rsidR="005F2920" w:rsidRDefault="005F2920">
            <w:pPr>
              <w:spacing w:line="360" w:lineRule="auto"/>
              <w:jc w:val="right"/>
            </w:pPr>
            <w:r>
              <w:rPr>
                <w:rFonts w:ascii="宋体" w:hAnsi="宋体" w:hint="eastAsia"/>
              </w:rPr>
              <w:t xml:space="preserve">24.50%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0D911" w14:textId="77777777" w:rsidR="005F2920" w:rsidRDefault="005F2920">
            <w:pPr>
              <w:spacing w:line="360" w:lineRule="auto"/>
              <w:jc w:val="right"/>
            </w:pPr>
            <w:r>
              <w:rPr>
                <w:rFonts w:ascii="宋体" w:hAnsi="宋体" w:hint="eastAsia"/>
              </w:rPr>
              <w:t xml:space="preserve">1.00% </w:t>
            </w:r>
          </w:p>
        </w:tc>
      </w:tr>
      <w:tr w:rsidR="00296EAA" w14:paraId="3C4C9CF6" w14:textId="77777777">
        <w:trPr>
          <w:divId w:val="136231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46E7E" w14:textId="77777777" w:rsidR="005F2920" w:rsidRDefault="005F292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F85ED" w14:textId="77777777" w:rsidR="005F2920" w:rsidRDefault="005F2920">
            <w:pPr>
              <w:spacing w:line="360" w:lineRule="auto"/>
              <w:jc w:val="right"/>
            </w:pPr>
            <w:r>
              <w:rPr>
                <w:rFonts w:ascii="宋体" w:hAnsi="宋体" w:hint="eastAsia"/>
              </w:rPr>
              <w:t xml:space="preserve">43.92%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1D11C" w14:textId="77777777" w:rsidR="005F2920" w:rsidRDefault="005F2920">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FDAE4" w14:textId="77777777" w:rsidR="005F2920" w:rsidRDefault="005F2920">
            <w:pPr>
              <w:spacing w:line="360" w:lineRule="auto"/>
              <w:jc w:val="right"/>
            </w:pPr>
            <w:r>
              <w:rPr>
                <w:rFonts w:ascii="宋体" w:hAnsi="宋体" w:hint="eastAsia"/>
              </w:rPr>
              <w:t xml:space="preserve">9.29%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D2DC0" w14:textId="77777777" w:rsidR="005F2920" w:rsidRDefault="005F2920">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D0FF2E" w14:textId="77777777" w:rsidR="005F2920" w:rsidRDefault="005F2920">
            <w:pPr>
              <w:spacing w:line="360" w:lineRule="auto"/>
              <w:jc w:val="right"/>
            </w:pPr>
            <w:r>
              <w:rPr>
                <w:rFonts w:ascii="宋体" w:hAnsi="宋体" w:hint="eastAsia"/>
              </w:rPr>
              <w:t xml:space="preserve">34.63%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A7F26" w14:textId="77777777" w:rsidR="005F2920" w:rsidRDefault="005F2920">
            <w:pPr>
              <w:spacing w:line="360" w:lineRule="auto"/>
              <w:jc w:val="right"/>
            </w:pPr>
            <w:r>
              <w:rPr>
                <w:rFonts w:ascii="宋体" w:hAnsi="宋体" w:hint="eastAsia"/>
              </w:rPr>
              <w:t xml:space="preserve">0.79% </w:t>
            </w:r>
          </w:p>
        </w:tc>
      </w:tr>
      <w:tr w:rsidR="00296EAA" w14:paraId="4A58F9E8" w14:textId="77777777">
        <w:trPr>
          <w:divId w:val="136231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E6022" w14:textId="77777777" w:rsidR="005F2920" w:rsidRDefault="005F292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ADF3B" w14:textId="77777777" w:rsidR="005F2920" w:rsidRDefault="005F2920">
            <w:pPr>
              <w:spacing w:line="360" w:lineRule="auto"/>
              <w:jc w:val="right"/>
            </w:pPr>
            <w:r>
              <w:rPr>
                <w:rFonts w:ascii="宋体" w:hAnsi="宋体" w:hint="eastAsia"/>
              </w:rPr>
              <w:t xml:space="preserve">11.94%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29CF9" w14:textId="77777777" w:rsidR="005F2920" w:rsidRDefault="005F2920">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CBB53" w14:textId="77777777" w:rsidR="005F2920" w:rsidRDefault="005F2920">
            <w:pPr>
              <w:spacing w:line="360" w:lineRule="auto"/>
              <w:jc w:val="right"/>
            </w:pPr>
            <w:r>
              <w:rPr>
                <w:rFonts w:ascii="宋体" w:hAnsi="宋体" w:hint="eastAsia"/>
              </w:rPr>
              <w:t xml:space="preserve">16.38%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B21D6" w14:textId="77777777" w:rsidR="005F2920" w:rsidRDefault="005F2920">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CE01E9" w14:textId="77777777" w:rsidR="005F2920" w:rsidRDefault="005F2920">
            <w:pPr>
              <w:spacing w:line="360" w:lineRule="auto"/>
              <w:jc w:val="right"/>
            </w:pPr>
            <w:r>
              <w:rPr>
                <w:rFonts w:ascii="宋体" w:hAnsi="宋体" w:hint="eastAsia"/>
              </w:rPr>
              <w:t xml:space="preserve">-4.44%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C0218" w14:textId="77777777" w:rsidR="005F2920" w:rsidRDefault="005F2920">
            <w:pPr>
              <w:spacing w:line="360" w:lineRule="auto"/>
              <w:jc w:val="right"/>
            </w:pPr>
            <w:r>
              <w:rPr>
                <w:rFonts w:ascii="宋体" w:hAnsi="宋体" w:hint="eastAsia"/>
              </w:rPr>
              <w:t xml:space="preserve">0.44% </w:t>
            </w:r>
          </w:p>
        </w:tc>
      </w:tr>
      <w:tr w:rsidR="00296EAA" w14:paraId="01031286" w14:textId="77777777">
        <w:trPr>
          <w:divId w:val="136231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130C" w14:textId="77777777" w:rsidR="005F2920" w:rsidRDefault="005F292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F9510" w14:textId="77777777" w:rsidR="005F2920" w:rsidRDefault="005F2920">
            <w:pPr>
              <w:spacing w:line="360" w:lineRule="auto"/>
              <w:jc w:val="right"/>
            </w:pPr>
            <w:r>
              <w:rPr>
                <w:rFonts w:ascii="宋体" w:hAnsi="宋体" w:hint="eastAsia"/>
              </w:rPr>
              <w:t xml:space="preserve">-12.47%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6819F" w14:textId="77777777" w:rsidR="005F2920" w:rsidRDefault="005F2920">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77F70" w14:textId="77777777" w:rsidR="005F2920" w:rsidRDefault="005F2920">
            <w:pPr>
              <w:spacing w:line="360" w:lineRule="auto"/>
              <w:jc w:val="right"/>
            </w:pPr>
            <w:r>
              <w:rPr>
                <w:rFonts w:ascii="宋体" w:hAnsi="宋体" w:hint="eastAsia"/>
              </w:rPr>
              <w:t xml:space="preserve">5.54%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0BAE4" w14:textId="77777777" w:rsidR="005F2920" w:rsidRDefault="005F2920">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1E7014" w14:textId="77777777" w:rsidR="005F2920" w:rsidRDefault="005F2920">
            <w:pPr>
              <w:spacing w:line="360" w:lineRule="auto"/>
              <w:jc w:val="right"/>
            </w:pPr>
            <w:r>
              <w:rPr>
                <w:rFonts w:ascii="宋体" w:hAnsi="宋体" w:hint="eastAsia"/>
              </w:rPr>
              <w:t xml:space="preserve">-18.01%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E9265" w14:textId="77777777" w:rsidR="005F2920" w:rsidRDefault="005F2920">
            <w:pPr>
              <w:spacing w:line="360" w:lineRule="auto"/>
              <w:jc w:val="right"/>
            </w:pPr>
            <w:r>
              <w:rPr>
                <w:rFonts w:ascii="宋体" w:hAnsi="宋体" w:hint="eastAsia"/>
              </w:rPr>
              <w:t xml:space="preserve">0.62% </w:t>
            </w:r>
          </w:p>
        </w:tc>
      </w:tr>
      <w:tr w:rsidR="00296EAA" w14:paraId="6BB6D91B" w14:textId="77777777">
        <w:trPr>
          <w:divId w:val="136231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A4C62" w14:textId="77777777" w:rsidR="005F2920" w:rsidRDefault="005F292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14429" w14:textId="77777777" w:rsidR="005F2920" w:rsidRDefault="005F2920">
            <w:pPr>
              <w:spacing w:line="360" w:lineRule="auto"/>
              <w:jc w:val="right"/>
            </w:pPr>
            <w:r>
              <w:rPr>
                <w:rFonts w:ascii="宋体" w:hAnsi="宋体" w:hint="eastAsia"/>
              </w:rPr>
              <w:t xml:space="preserve">347.06%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0C851" w14:textId="77777777" w:rsidR="005F2920" w:rsidRDefault="005F2920">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182BA" w14:textId="77777777" w:rsidR="005F2920" w:rsidRDefault="005F2920">
            <w:pPr>
              <w:spacing w:line="360" w:lineRule="auto"/>
              <w:jc w:val="right"/>
            </w:pPr>
            <w:r>
              <w:rPr>
                <w:rFonts w:ascii="宋体" w:hAnsi="宋体" w:hint="eastAsia"/>
              </w:rPr>
              <w:t xml:space="preserve">61.50%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0CF00" w14:textId="77777777" w:rsidR="005F2920" w:rsidRDefault="005F2920">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41D3AB" w14:textId="77777777" w:rsidR="005F2920" w:rsidRDefault="005F2920">
            <w:pPr>
              <w:spacing w:line="360" w:lineRule="auto"/>
              <w:jc w:val="right"/>
            </w:pPr>
            <w:r>
              <w:rPr>
                <w:rFonts w:ascii="宋体" w:hAnsi="宋体" w:hint="eastAsia"/>
              </w:rPr>
              <w:t xml:space="preserve">285.56%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22874" w14:textId="77777777" w:rsidR="005F2920" w:rsidRDefault="005F2920">
            <w:pPr>
              <w:spacing w:line="360" w:lineRule="auto"/>
              <w:jc w:val="right"/>
            </w:pPr>
            <w:r>
              <w:rPr>
                <w:rFonts w:ascii="宋体" w:hAnsi="宋体" w:hint="eastAsia"/>
              </w:rPr>
              <w:t xml:space="preserve">0.45% </w:t>
            </w:r>
          </w:p>
        </w:tc>
      </w:tr>
    </w:tbl>
    <w:p w14:paraId="60B3E162" w14:textId="77777777" w:rsidR="005F2920" w:rsidRDefault="005F2920">
      <w:pPr>
        <w:spacing w:line="360" w:lineRule="auto"/>
        <w:jc w:val="center"/>
        <w:divId w:val="1674793591"/>
      </w:pPr>
      <w:r>
        <w:rPr>
          <w:rFonts w:ascii="宋体" w:hAnsi="宋体" w:hint="eastAsia"/>
        </w:rPr>
        <w:t>摩根双核平衡混合C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96EAA" w14:paraId="1B8FBC5B" w14:textId="77777777">
        <w:trPr>
          <w:divId w:val="16747935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DA611D" w14:textId="77777777" w:rsidR="005F2920" w:rsidRDefault="005F292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CC80AF" w14:textId="77777777" w:rsidR="005F2920" w:rsidRDefault="005F292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7189D2" w14:textId="77777777" w:rsidR="005F2920" w:rsidRDefault="005F292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C12BBB" w14:textId="77777777" w:rsidR="005F2920" w:rsidRDefault="005F292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B79B3E" w14:textId="77777777" w:rsidR="005F2920" w:rsidRDefault="005F292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B9287" w14:textId="77777777" w:rsidR="005F2920" w:rsidRDefault="005F292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C152BC" w14:textId="77777777" w:rsidR="005F2920" w:rsidRDefault="005F2920">
            <w:pPr>
              <w:spacing w:line="360" w:lineRule="auto"/>
              <w:jc w:val="center"/>
            </w:pPr>
            <w:r>
              <w:rPr>
                <w:rFonts w:ascii="宋体" w:hAnsi="宋体" w:hint="eastAsia"/>
              </w:rPr>
              <w:t xml:space="preserve">②－④ </w:t>
            </w:r>
          </w:p>
        </w:tc>
      </w:tr>
      <w:tr w:rsidR="00296EAA" w14:paraId="5CDE7AB7" w14:textId="77777777">
        <w:trPr>
          <w:divId w:val="16747935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9C287" w14:textId="77777777" w:rsidR="005F2920" w:rsidRDefault="005F292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89C38" w14:textId="77777777" w:rsidR="005F2920" w:rsidRDefault="005F2920">
            <w:pPr>
              <w:spacing w:line="360" w:lineRule="auto"/>
              <w:jc w:val="right"/>
            </w:pPr>
            <w:r>
              <w:rPr>
                <w:rFonts w:ascii="宋体" w:hAnsi="宋体" w:hint="eastAsia"/>
              </w:rPr>
              <w:t xml:space="preserve">-0.17%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DEED5" w14:textId="77777777" w:rsidR="005F2920" w:rsidRDefault="005F292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016BB" w14:textId="77777777" w:rsidR="005F2920" w:rsidRDefault="005F292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4C400" w14:textId="77777777" w:rsidR="005F2920" w:rsidRDefault="005F2920">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0FF317" w14:textId="77777777" w:rsidR="005F2920" w:rsidRDefault="005F2920">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D90F2" w14:textId="77777777" w:rsidR="005F2920" w:rsidRDefault="005F2920">
            <w:pPr>
              <w:spacing w:line="360" w:lineRule="auto"/>
              <w:jc w:val="right"/>
            </w:pPr>
            <w:r>
              <w:rPr>
                <w:rFonts w:ascii="宋体" w:hAnsi="宋体" w:hint="eastAsia"/>
              </w:rPr>
              <w:t xml:space="preserve">0.77% </w:t>
            </w:r>
          </w:p>
        </w:tc>
      </w:tr>
      <w:tr w:rsidR="00296EAA" w14:paraId="0068EDE8" w14:textId="77777777">
        <w:trPr>
          <w:divId w:val="16747935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6A069" w14:textId="77777777" w:rsidR="005F2920" w:rsidRDefault="005F292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4C57F" w14:textId="77777777" w:rsidR="005F2920" w:rsidRDefault="005F2920">
            <w:pPr>
              <w:spacing w:line="360" w:lineRule="auto"/>
              <w:jc w:val="right"/>
            </w:pPr>
            <w:r>
              <w:rPr>
                <w:rFonts w:ascii="宋体" w:hAnsi="宋体" w:hint="eastAsia"/>
              </w:rPr>
              <w:t xml:space="preserve">32.78%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95B73" w14:textId="77777777" w:rsidR="005F2920" w:rsidRDefault="005F2920">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61B1A" w14:textId="77777777" w:rsidR="005F2920" w:rsidRDefault="005F2920">
            <w:pPr>
              <w:spacing w:line="360" w:lineRule="auto"/>
              <w:jc w:val="right"/>
            </w:pPr>
            <w:r>
              <w:rPr>
                <w:rFonts w:ascii="宋体" w:hAnsi="宋体" w:hint="eastAsia"/>
              </w:rPr>
              <w:t xml:space="preserve">8.60%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A837F" w14:textId="77777777" w:rsidR="005F2920" w:rsidRDefault="005F2920">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036AD0" w14:textId="77777777" w:rsidR="005F2920" w:rsidRDefault="005F2920">
            <w:pPr>
              <w:spacing w:line="360" w:lineRule="auto"/>
              <w:jc w:val="right"/>
            </w:pPr>
            <w:r>
              <w:rPr>
                <w:rFonts w:ascii="宋体" w:hAnsi="宋体" w:hint="eastAsia"/>
              </w:rPr>
              <w:t xml:space="preserve">24.18%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598F0" w14:textId="77777777" w:rsidR="005F2920" w:rsidRDefault="005F2920">
            <w:pPr>
              <w:spacing w:line="360" w:lineRule="auto"/>
              <w:jc w:val="right"/>
            </w:pPr>
            <w:r>
              <w:rPr>
                <w:rFonts w:ascii="宋体" w:hAnsi="宋体" w:hint="eastAsia"/>
              </w:rPr>
              <w:t xml:space="preserve">1.00% </w:t>
            </w:r>
          </w:p>
        </w:tc>
      </w:tr>
      <w:tr w:rsidR="00296EAA" w14:paraId="63EC917B" w14:textId="77777777">
        <w:trPr>
          <w:divId w:val="16747935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B9208" w14:textId="77777777" w:rsidR="005F2920" w:rsidRDefault="005F292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E11F4" w14:textId="77777777" w:rsidR="005F2920" w:rsidRDefault="005F2920">
            <w:pPr>
              <w:spacing w:line="360" w:lineRule="auto"/>
              <w:jc w:val="right"/>
            </w:pPr>
            <w:r>
              <w:rPr>
                <w:rFonts w:ascii="宋体" w:hAnsi="宋体" w:hint="eastAsia"/>
              </w:rPr>
              <w:t xml:space="preserve">43.21%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385BA" w14:textId="77777777" w:rsidR="005F2920" w:rsidRDefault="005F2920">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DDA02" w14:textId="77777777" w:rsidR="005F2920" w:rsidRDefault="005F2920">
            <w:pPr>
              <w:spacing w:line="360" w:lineRule="auto"/>
              <w:jc w:val="right"/>
            </w:pPr>
            <w:r>
              <w:rPr>
                <w:rFonts w:ascii="宋体" w:hAnsi="宋体" w:hint="eastAsia"/>
              </w:rPr>
              <w:t xml:space="preserve">9.29%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1435E" w14:textId="77777777" w:rsidR="005F2920" w:rsidRDefault="005F2920">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F21FF3" w14:textId="77777777" w:rsidR="005F2920" w:rsidRDefault="005F2920">
            <w:pPr>
              <w:spacing w:line="360" w:lineRule="auto"/>
              <w:jc w:val="right"/>
            </w:pPr>
            <w:r>
              <w:rPr>
                <w:rFonts w:ascii="宋体" w:hAnsi="宋体" w:hint="eastAsia"/>
              </w:rPr>
              <w:t xml:space="preserve">33.92%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08CF6" w14:textId="77777777" w:rsidR="005F2920" w:rsidRDefault="005F2920">
            <w:pPr>
              <w:spacing w:line="360" w:lineRule="auto"/>
              <w:jc w:val="right"/>
            </w:pPr>
            <w:r>
              <w:rPr>
                <w:rFonts w:ascii="宋体" w:hAnsi="宋体" w:hint="eastAsia"/>
              </w:rPr>
              <w:t xml:space="preserve">0.79% </w:t>
            </w:r>
          </w:p>
        </w:tc>
      </w:tr>
      <w:tr w:rsidR="00296EAA" w14:paraId="4A1C6B68" w14:textId="77777777">
        <w:trPr>
          <w:divId w:val="16747935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60CE7" w14:textId="77777777" w:rsidR="005F2920" w:rsidRDefault="005F292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9BF00" w14:textId="77777777" w:rsidR="005F2920" w:rsidRDefault="005F2920">
            <w:pPr>
              <w:spacing w:line="360" w:lineRule="auto"/>
              <w:jc w:val="right"/>
            </w:pPr>
            <w:r>
              <w:rPr>
                <w:rFonts w:ascii="宋体" w:hAnsi="宋体" w:hint="eastAsia"/>
              </w:rPr>
              <w:t xml:space="preserve">10.26%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14EF9" w14:textId="77777777" w:rsidR="005F2920" w:rsidRDefault="005F2920">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F767B" w14:textId="77777777" w:rsidR="005F2920" w:rsidRDefault="005F2920">
            <w:pPr>
              <w:spacing w:line="360" w:lineRule="auto"/>
              <w:jc w:val="right"/>
            </w:pPr>
            <w:r>
              <w:rPr>
                <w:rFonts w:ascii="宋体" w:hAnsi="宋体" w:hint="eastAsia"/>
              </w:rPr>
              <w:t xml:space="preserve">16.38%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1263A" w14:textId="77777777" w:rsidR="005F2920" w:rsidRDefault="005F2920">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3434DE" w14:textId="77777777" w:rsidR="005F2920" w:rsidRDefault="005F2920">
            <w:pPr>
              <w:spacing w:line="360" w:lineRule="auto"/>
              <w:jc w:val="right"/>
            </w:pPr>
            <w:r>
              <w:rPr>
                <w:rFonts w:ascii="宋体" w:hAnsi="宋体" w:hint="eastAsia"/>
              </w:rPr>
              <w:t xml:space="preserve">-6.12%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D1285" w14:textId="77777777" w:rsidR="005F2920" w:rsidRDefault="005F2920">
            <w:pPr>
              <w:spacing w:line="360" w:lineRule="auto"/>
              <w:jc w:val="right"/>
            </w:pPr>
            <w:r>
              <w:rPr>
                <w:rFonts w:ascii="宋体" w:hAnsi="宋体" w:hint="eastAsia"/>
              </w:rPr>
              <w:t xml:space="preserve">0.44% </w:t>
            </w:r>
          </w:p>
        </w:tc>
      </w:tr>
      <w:tr w:rsidR="00296EAA" w14:paraId="695EB173" w14:textId="77777777">
        <w:trPr>
          <w:divId w:val="16747935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14E9F" w14:textId="77777777" w:rsidR="005F2920" w:rsidRDefault="005F292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1FB6F" w14:textId="77777777" w:rsidR="005F2920" w:rsidRDefault="005F2920">
            <w:pPr>
              <w:spacing w:line="360" w:lineRule="auto"/>
              <w:jc w:val="right"/>
            </w:pPr>
            <w:r>
              <w:rPr>
                <w:rFonts w:ascii="宋体" w:hAnsi="宋体" w:hint="eastAsia"/>
              </w:rPr>
              <w:t xml:space="preserve">-4.23%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7AAB6" w14:textId="77777777" w:rsidR="005F2920" w:rsidRDefault="005F292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CFCB4" w14:textId="77777777" w:rsidR="005F2920" w:rsidRDefault="005F2920">
            <w:pPr>
              <w:spacing w:line="360" w:lineRule="auto"/>
              <w:jc w:val="right"/>
            </w:pPr>
            <w:r>
              <w:rPr>
                <w:rFonts w:ascii="宋体" w:hAnsi="宋体" w:hint="eastAsia"/>
              </w:rPr>
              <w:t xml:space="preserve">11.92%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77782" w14:textId="77777777" w:rsidR="005F2920" w:rsidRDefault="005F2920">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708235" w14:textId="77777777" w:rsidR="005F2920" w:rsidRDefault="005F2920">
            <w:pPr>
              <w:spacing w:line="360" w:lineRule="auto"/>
              <w:jc w:val="right"/>
            </w:pPr>
            <w:r>
              <w:rPr>
                <w:rFonts w:ascii="宋体" w:hAnsi="宋体" w:hint="eastAsia"/>
              </w:rPr>
              <w:t xml:space="preserve">-16.15%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FE5C5" w14:textId="77777777" w:rsidR="005F2920" w:rsidRDefault="005F2920">
            <w:pPr>
              <w:spacing w:line="360" w:lineRule="auto"/>
              <w:jc w:val="right"/>
            </w:pPr>
            <w:r>
              <w:rPr>
                <w:rFonts w:ascii="宋体" w:hAnsi="宋体" w:hint="eastAsia"/>
              </w:rPr>
              <w:t xml:space="preserve">0.52% </w:t>
            </w:r>
          </w:p>
        </w:tc>
      </w:tr>
    </w:tbl>
    <w:p w14:paraId="70CA69F5" w14:textId="77777777" w:rsidR="005F2920" w:rsidRDefault="005F2920">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w:t>
      </w:r>
      <w:r>
        <w:rPr>
          <w:rFonts w:hint="eastAsia"/>
        </w:rPr>
        <w:lastRenderedPageBreak/>
        <w:t>率变动的比较</w:t>
      </w:r>
      <w:bookmarkEnd w:id="65"/>
      <w:bookmarkEnd w:id="66"/>
      <w:bookmarkEnd w:id="67"/>
      <w:bookmarkEnd w:id="68"/>
      <w:bookmarkEnd w:id="69"/>
    </w:p>
    <w:p w14:paraId="204FCC66" w14:textId="77777777" w:rsidR="005F2920" w:rsidRDefault="005F2920">
      <w:pPr>
        <w:spacing w:line="360" w:lineRule="auto"/>
        <w:jc w:val="left"/>
        <w:divId w:val="290209798"/>
      </w:pPr>
      <w:bookmarkStart w:id="70" w:name="m07_04_07_09"/>
      <w:bookmarkStart w:id="71" w:name="m07_04_07_09_tab"/>
      <w:r>
        <w:rPr>
          <w:rFonts w:ascii="宋体" w:hAnsi="宋体" w:hint="eastAsia"/>
          <w:noProof/>
        </w:rPr>
        <w:drawing>
          <wp:inline distT="0" distB="0" distL="0" distR="0" wp14:anchorId="238E3FEA" wp14:editId="2336B99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0612A37" w14:textId="77777777" w:rsidR="005F2920" w:rsidRDefault="005F2920">
      <w:pPr>
        <w:spacing w:line="360" w:lineRule="auto"/>
        <w:jc w:val="left"/>
        <w:divId w:val="922372897"/>
      </w:pPr>
      <w:r>
        <w:rPr>
          <w:rFonts w:ascii="宋体" w:hAnsi="宋体" w:hint="eastAsia"/>
          <w:noProof/>
        </w:rPr>
        <w:drawing>
          <wp:inline distT="0" distB="0" distL="0" distR="0" wp14:anchorId="057BB26D" wp14:editId="7578B2C5">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A9D4C8F" w14:textId="77777777" w:rsidR="005F2920" w:rsidRDefault="005F2920">
      <w:pPr>
        <w:spacing w:line="360" w:lineRule="auto"/>
      </w:pPr>
      <w:r>
        <w:rPr>
          <w:rFonts w:ascii="宋体" w:hAnsi="宋体" w:hint="eastAsia"/>
        </w:rPr>
        <w:t>注：</w:t>
      </w:r>
      <w:r>
        <w:rPr>
          <w:rFonts w:ascii="宋体" w:hAnsi="宋体" w:hint="eastAsia"/>
          <w:lang w:eastAsia="zh-Hans"/>
        </w:rPr>
        <w:t>本基金合同生效日为2008年5月21日，图示的时间段为合同生效日至本报告期末。</w:t>
      </w:r>
      <w:r>
        <w:rPr>
          <w:rFonts w:ascii="宋体" w:hAnsi="宋体" w:hint="eastAsia"/>
          <w:lang w:eastAsia="zh-Hans"/>
        </w:rPr>
        <w:br/>
        <w:t xml:space="preserve">　　本基金自2022 年2月22日起增加C类份额，相关数据按实际存续期计算。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F8ED5DB" w14:textId="77777777" w:rsidR="005F2920" w:rsidRDefault="005F292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45AEE61C" w14:textId="77777777" w:rsidR="005F2920" w:rsidRDefault="005F292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96EAA" w14:paraId="3E908F48" w14:textId="77777777">
        <w:trPr>
          <w:divId w:val="92380758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E98CF" w14:textId="77777777" w:rsidR="005F2920" w:rsidRDefault="005F292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938D4" w14:textId="77777777" w:rsidR="005F2920" w:rsidRDefault="005F292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611FA" w14:textId="77777777" w:rsidR="005F2920" w:rsidRDefault="005F292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C926B" w14:textId="77777777" w:rsidR="005F2920" w:rsidRDefault="005F2920">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9CA3E" w14:textId="77777777" w:rsidR="005F2920" w:rsidRDefault="005F2920">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296EAA" w14:paraId="10579817" w14:textId="77777777">
        <w:trPr>
          <w:divId w:val="92380758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58011" w14:textId="77777777" w:rsidR="005F2920" w:rsidRDefault="005F29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EEDE1" w14:textId="77777777" w:rsidR="005F2920" w:rsidRDefault="005F292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8CB8C" w14:textId="77777777" w:rsidR="005F2920" w:rsidRDefault="005F292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5889C" w14:textId="77777777" w:rsidR="005F2920" w:rsidRDefault="005F292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69ED8" w14:textId="77777777" w:rsidR="005F2920" w:rsidRDefault="005F29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87399" w14:textId="77777777" w:rsidR="005F2920" w:rsidRDefault="005F2920">
            <w:pPr>
              <w:widowControl/>
              <w:jc w:val="left"/>
            </w:pPr>
          </w:p>
        </w:tc>
      </w:tr>
      <w:tr w:rsidR="00296EAA" w14:paraId="0AF85380" w14:textId="77777777">
        <w:trPr>
          <w:divId w:val="92380758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2663A" w14:textId="77777777" w:rsidR="005F2920" w:rsidRDefault="005F2920">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87791" w14:textId="77777777" w:rsidR="005F2920" w:rsidRDefault="005F292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FCDDE" w14:textId="77777777" w:rsidR="005F2920" w:rsidRDefault="005F2920">
            <w:pPr>
              <w:jc w:val="center"/>
            </w:pPr>
            <w:r>
              <w:rPr>
                <w:rFonts w:ascii="宋体" w:hAnsi="宋体" w:hint="eastAsia"/>
                <w:szCs w:val="24"/>
                <w:lang w:eastAsia="zh-Hans"/>
              </w:rPr>
              <w:t>2015年8月4日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98F79" w14:textId="77777777" w:rsidR="005F2920" w:rsidRDefault="005F292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1D5EB" w14:textId="77777777" w:rsidR="005F2920" w:rsidRDefault="005F2920">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884B7" w14:textId="77777777" w:rsidR="005F2920" w:rsidRDefault="005F2920">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73A80214" w14:textId="77777777" w:rsidR="005F2920" w:rsidRDefault="005F2920">
      <w:pPr>
        <w:wordWrap w:val="0"/>
        <w:spacing w:line="360" w:lineRule="auto"/>
        <w:jc w:val="left"/>
        <w:divId w:val="162130213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F64BC65" w14:textId="77777777" w:rsidR="005F2920" w:rsidRDefault="005F2920">
      <w:pPr>
        <w:pStyle w:val="XBRLTitle3"/>
        <w:spacing w:before="156"/>
        <w:ind w:left="0"/>
        <w:divId w:val="252592780"/>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96EAA" w14:paraId="4FA870E0" w14:textId="77777777">
        <w:trPr>
          <w:divId w:val="185094509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9C1D60" w14:textId="77777777" w:rsidR="005F2920" w:rsidRDefault="005F292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1FA592" w14:textId="77777777" w:rsidR="005F2920" w:rsidRDefault="005F292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F1FA6A2" w14:textId="77777777" w:rsidR="005F2920" w:rsidRDefault="005F292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C487176" w14:textId="77777777" w:rsidR="005F2920" w:rsidRDefault="005F292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235A930" w14:textId="77777777" w:rsidR="005F2920" w:rsidRDefault="005F292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96EAA" w14:paraId="100B905D" w14:textId="77777777">
        <w:trPr>
          <w:divId w:val="185094509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F246F" w14:textId="77777777" w:rsidR="005F2920" w:rsidRDefault="005F2920">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56EBF" w14:textId="77777777" w:rsidR="005F2920" w:rsidRDefault="005F292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6669B" w14:textId="77777777" w:rsidR="005F2920" w:rsidRDefault="005F2920">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B449D" w14:textId="77777777" w:rsidR="005F2920" w:rsidRDefault="005F2920">
            <w:pPr>
              <w:jc w:val="right"/>
            </w:pPr>
            <w:r>
              <w:rPr>
                <w:rFonts w:ascii="宋体" w:hAnsi="宋体" w:hint="eastAsia"/>
                <w:szCs w:val="24"/>
              </w:rPr>
              <w:t>2,053,038,801.71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4220F" w14:textId="77777777" w:rsidR="005F2920" w:rsidRDefault="005F2920">
            <w:pPr>
              <w:jc w:val="center"/>
            </w:pPr>
            <w:r>
              <w:rPr>
                <w:rFonts w:ascii="宋体" w:hAnsi="宋体" w:hint="eastAsia"/>
                <w:szCs w:val="24"/>
              </w:rPr>
              <w:t>2015-08-04</w:t>
            </w:r>
          </w:p>
        </w:tc>
      </w:tr>
      <w:tr w:rsidR="00296EAA" w14:paraId="7382A666" w14:textId="77777777">
        <w:trPr>
          <w:divId w:val="185094509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6ADFD61" w14:textId="77777777" w:rsidR="005F2920" w:rsidRDefault="005F29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E318D" w14:textId="77777777" w:rsidR="005F2920" w:rsidRDefault="005F292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FDAB9" w14:textId="77777777" w:rsidR="005F2920" w:rsidRDefault="005F292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169F48" w14:textId="77777777" w:rsidR="005F2920" w:rsidRDefault="005F2920">
            <w:pPr>
              <w:jc w:val="right"/>
            </w:pPr>
            <w:r>
              <w:rPr>
                <w:rFonts w:ascii="宋体" w:hAnsi="宋体" w:hint="eastAsia"/>
                <w:szCs w:val="24"/>
              </w:rPr>
              <w:t>5,711,774.84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97037" w14:textId="77777777" w:rsidR="005F2920" w:rsidRDefault="005F2920">
            <w:pPr>
              <w:jc w:val="center"/>
            </w:pPr>
            <w:r>
              <w:rPr>
                <w:rFonts w:ascii="宋体" w:hAnsi="宋体" w:hint="eastAsia"/>
                <w:szCs w:val="24"/>
              </w:rPr>
              <w:t>2022-08-26</w:t>
            </w:r>
          </w:p>
        </w:tc>
      </w:tr>
      <w:tr w:rsidR="00296EAA" w14:paraId="6CB5D4B7" w14:textId="77777777">
        <w:trPr>
          <w:divId w:val="185094509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6368EA4" w14:textId="77777777" w:rsidR="005F2920" w:rsidRDefault="005F29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0B169A" w14:textId="77777777" w:rsidR="005F2920" w:rsidRDefault="005F292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6ED083" w14:textId="77777777" w:rsidR="005F2920" w:rsidRDefault="005F292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1FEC4" w14:textId="77777777" w:rsidR="005F2920" w:rsidRDefault="005F292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D7827D" w14:textId="77777777" w:rsidR="005F2920" w:rsidRDefault="005F2920">
            <w:pPr>
              <w:jc w:val="center"/>
            </w:pPr>
            <w:r>
              <w:rPr>
                <w:rFonts w:ascii="宋体" w:hAnsi="宋体" w:hint="eastAsia"/>
                <w:szCs w:val="24"/>
              </w:rPr>
              <w:t>-</w:t>
            </w:r>
          </w:p>
        </w:tc>
      </w:tr>
      <w:tr w:rsidR="00296EAA" w14:paraId="4DC3E824" w14:textId="77777777">
        <w:trPr>
          <w:divId w:val="185094509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6AE727C" w14:textId="77777777" w:rsidR="005F2920" w:rsidRDefault="005F29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6AB838" w14:textId="77777777" w:rsidR="005F2920" w:rsidRDefault="005F292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A0686" w14:textId="77777777" w:rsidR="005F2920" w:rsidRDefault="005F2920">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915C6" w14:textId="77777777" w:rsidR="005F2920" w:rsidRDefault="005F2920">
            <w:pPr>
              <w:jc w:val="right"/>
            </w:pPr>
            <w:r>
              <w:rPr>
                <w:rFonts w:ascii="宋体" w:hAnsi="宋体" w:hint="eastAsia"/>
                <w:szCs w:val="24"/>
              </w:rPr>
              <w:t>2,058,750,576.55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537A1" w14:textId="77777777" w:rsidR="005F2920" w:rsidRDefault="005F2920">
            <w:pPr>
              <w:jc w:val="center"/>
            </w:pPr>
            <w:r>
              <w:rPr>
                <w:rFonts w:ascii="宋体" w:hAnsi="宋体" w:hint="eastAsia"/>
                <w:szCs w:val="24"/>
              </w:rPr>
              <w:t xml:space="preserve">- </w:t>
            </w:r>
          </w:p>
        </w:tc>
      </w:tr>
    </w:tbl>
    <w:p w14:paraId="6FAD7FF2" w14:textId="77777777" w:rsidR="005F2920" w:rsidRDefault="005F292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6E126311" w14:textId="77777777" w:rsidR="005F2920" w:rsidRDefault="005F292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26F82A1" w14:textId="77777777" w:rsidR="005F2920" w:rsidRDefault="005F292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1AF33348" w14:textId="77777777" w:rsidR="005F2920" w:rsidRDefault="005F292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7F030DFF" w14:textId="77777777" w:rsidR="005F2920" w:rsidRDefault="005F292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33CDC5C" w14:textId="77777777" w:rsidR="005F2920" w:rsidRDefault="005F292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40DE7E7A" w14:textId="77777777" w:rsidR="005F2920" w:rsidRDefault="005F292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2A6EBFB" w14:textId="77777777" w:rsidR="005F2920" w:rsidRDefault="005F292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48B7D7F8" w14:textId="77777777" w:rsidR="005F2920" w:rsidRDefault="005F2920">
      <w:pPr>
        <w:spacing w:line="360" w:lineRule="auto"/>
        <w:ind w:firstLineChars="200" w:firstLine="420"/>
        <w:jc w:val="left"/>
      </w:pPr>
      <w:r>
        <w:rPr>
          <w:rFonts w:ascii="宋体" w:hAnsi="宋体" w:cs="宋体" w:hint="eastAsia"/>
          <w:color w:val="000000"/>
          <w:kern w:val="0"/>
        </w:rPr>
        <w:t>进入四季度，市场如期呈现震荡走势，经济边际压力显现。消费补贴阶段性收官导致需求提前退潮；基建则受传统淡季掣肘，投资保持低位，二者共同拖累经济基本面小幅下行。出口板块虽月度表现有所起伏，但整体态势向好，仍是三驾马车中的关键支撑力量。就此而言，基本面的阶段性走弱是驱动四季度行情震荡的核心因素。但我们判断，当前经济与市场的阶段性波动，是为2026年的企稳回升筑牢基础，蓄力待发。</w:t>
      </w:r>
      <w:r>
        <w:rPr>
          <w:rFonts w:ascii="宋体" w:hAnsi="宋体" w:cs="宋体" w:hint="eastAsia"/>
          <w:color w:val="000000"/>
          <w:kern w:val="0"/>
        </w:rPr>
        <w:br/>
        <w:t xml:space="preserve">　　站在2026年“十五五”规划开局的关键节点，预计政策将以“靠前发力”为主基调，消费补贴、服务业扶持、“两重一新”资金等利好举措密集落地，有望驱动经济迎来开门红行情。而我们对2026年经济的乐观预期，并非单纯依赖政策红利的短期释放，而是植根于对经济周期运行的底层逻辑判断。中国制造业凭借全球顶尖的实力与效率，在全球市占率高位承压、发达国家围追堵截的双重挑战下，出口屡屡打破“增长见顶”的质疑，出口与出海的成长空间依旧广阔，是支撑经济的中坚力量。投资领域，地产与制造业投资历经数年下行周期，对经济的影响将明显改善，尽管难以快速实现正增长，但下行压力已大幅缓释。与此同时，房价跌幅收窄将缓解居对居民消费信心的压制，叠加政策补贴的刺激作用，消费活力有望释放，为经济大盘注入新动能。综上，2026年经济增长值得期待。</w:t>
      </w:r>
      <w:r>
        <w:rPr>
          <w:rFonts w:ascii="宋体" w:hAnsi="宋体" w:cs="宋体" w:hint="eastAsia"/>
          <w:color w:val="000000"/>
          <w:kern w:val="0"/>
        </w:rPr>
        <w:br/>
        <w:t xml:space="preserve">　　因此，我们认为2025年四季度市场的震荡和经济的短期承压，都是阶段性的，是为2026年继续上行蓄力，我们看好明年的中国经济以及整体市场。分板块而言，我们依然看好AI算力相关的标的，如光模块、PCB等，以及产业趋势下延申出来的存储、燃气轮机、储能等高景气板块，AI是国内外互联网大厂的必争之地，投资并没有达峰；全球降息周期中，我们也看好部分供需偏紧的环节，如金、铜、铝、和化工资源环节。虽然目前基本面并无迹象、且我们也不会提</w:t>
      </w:r>
      <w:r>
        <w:rPr>
          <w:rFonts w:ascii="宋体" w:hAnsi="宋体" w:cs="宋体" w:hint="eastAsia"/>
          <w:color w:val="000000"/>
          <w:kern w:val="0"/>
        </w:rPr>
        <w:lastRenderedPageBreak/>
        <w:t>前左侧布局，但我们认为目前预期较低、基本面乏善可陈的内需相关环节，2026年随着CPI和PPI的触底有望结束延续了几年的熊市，我们会密切关注。</w:t>
      </w:r>
    </w:p>
    <w:p w14:paraId="4FE5327D" w14:textId="77777777" w:rsidR="005F2920" w:rsidRDefault="005F292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26CEC6BE" w14:textId="77777777" w:rsidR="005F2920" w:rsidRDefault="005F2920">
      <w:pPr>
        <w:spacing w:line="360" w:lineRule="auto"/>
        <w:ind w:firstLineChars="200" w:firstLine="420"/>
      </w:pPr>
      <w:r>
        <w:rPr>
          <w:rFonts w:ascii="宋体" w:hAnsi="宋体" w:hint="eastAsia"/>
        </w:rPr>
        <w:t>本报告期摩根双核平衡混合A份额净值增长率为：-0.05%，同期业绩比较基准收益率为：-0.03%；</w:t>
      </w:r>
      <w:r>
        <w:rPr>
          <w:rFonts w:ascii="宋体" w:hAnsi="宋体" w:hint="eastAsia"/>
        </w:rPr>
        <w:br/>
        <w:t xml:space="preserve">　　摩根双核平衡混合C份额净值增长率为：-0.17%，同期业绩比较基准收益率为：-0.03%。</w:t>
      </w:r>
    </w:p>
    <w:p w14:paraId="65AB3EFD" w14:textId="77777777" w:rsidR="005F2920" w:rsidRDefault="005F292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759C5330" w14:textId="77777777" w:rsidR="005F2920" w:rsidRDefault="005F2920">
      <w:pPr>
        <w:spacing w:line="360" w:lineRule="auto"/>
        <w:ind w:firstLineChars="200" w:firstLine="420"/>
        <w:jc w:val="left"/>
      </w:pPr>
      <w:r>
        <w:rPr>
          <w:rFonts w:ascii="宋体" w:hAnsi="宋体" w:hint="eastAsia"/>
        </w:rPr>
        <w:t>无。</w:t>
      </w:r>
    </w:p>
    <w:p w14:paraId="09304C21" w14:textId="77777777" w:rsidR="005F2920" w:rsidRDefault="005F292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1CE552DA" w14:textId="77777777" w:rsidR="005F2920" w:rsidRDefault="005F292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96EAA" w14:paraId="4C3B9677"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A825E7" w14:textId="77777777" w:rsidR="005F2920" w:rsidRDefault="005F292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1C2C4F1" w14:textId="77777777" w:rsidR="005F2920" w:rsidRDefault="005F292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80A29F8" w14:textId="77777777" w:rsidR="005F2920" w:rsidRDefault="005F292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8F8CF76" w14:textId="77777777" w:rsidR="005F2920" w:rsidRDefault="005F292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96EAA" w14:paraId="49FFC312"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0840B4" w14:textId="77777777" w:rsidR="005F2920" w:rsidRDefault="005F292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8A6FB54" w14:textId="77777777" w:rsidR="005F2920" w:rsidRDefault="005F292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04995C" w14:textId="77777777" w:rsidR="005F2920" w:rsidRDefault="005F2920">
            <w:pPr>
              <w:jc w:val="right"/>
            </w:pPr>
            <w:r>
              <w:rPr>
                <w:rFonts w:ascii="宋体" w:hAnsi="宋体" w:hint="eastAsia"/>
                <w:szCs w:val="24"/>
                <w:lang w:eastAsia="zh-Hans"/>
              </w:rPr>
              <w:t>204,816,114.15</w:t>
            </w:r>
          </w:p>
        </w:tc>
        <w:tc>
          <w:tcPr>
            <w:tcW w:w="1333" w:type="pct"/>
            <w:tcBorders>
              <w:top w:val="single" w:sz="4" w:space="0" w:color="auto"/>
              <w:left w:val="nil"/>
              <w:bottom w:val="single" w:sz="4" w:space="0" w:color="auto"/>
              <w:right w:val="single" w:sz="4" w:space="0" w:color="auto"/>
            </w:tcBorders>
            <w:vAlign w:val="center"/>
            <w:hideMark/>
          </w:tcPr>
          <w:p w14:paraId="507C4213" w14:textId="77777777" w:rsidR="005F2920" w:rsidRDefault="005F2920">
            <w:pPr>
              <w:jc w:val="right"/>
            </w:pPr>
            <w:r>
              <w:rPr>
                <w:rFonts w:ascii="宋体" w:hAnsi="宋体" w:hint="eastAsia"/>
                <w:szCs w:val="24"/>
                <w:lang w:eastAsia="zh-Hans"/>
              </w:rPr>
              <w:t>65.10</w:t>
            </w:r>
          </w:p>
        </w:tc>
      </w:tr>
      <w:tr w:rsidR="00296EAA" w14:paraId="7E5EB4E9"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EB6027" w14:textId="77777777" w:rsidR="005F2920" w:rsidRDefault="005F29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D4B779" w14:textId="77777777" w:rsidR="005F2920" w:rsidRDefault="005F292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8F67D0" w14:textId="77777777" w:rsidR="005F2920" w:rsidRDefault="005F2920">
            <w:pPr>
              <w:jc w:val="right"/>
            </w:pPr>
            <w:r>
              <w:rPr>
                <w:rFonts w:ascii="宋体" w:hAnsi="宋体" w:hint="eastAsia"/>
                <w:szCs w:val="24"/>
                <w:lang w:eastAsia="zh-Hans"/>
              </w:rPr>
              <w:t>204,816,114.15</w:t>
            </w:r>
          </w:p>
        </w:tc>
        <w:tc>
          <w:tcPr>
            <w:tcW w:w="1333" w:type="pct"/>
            <w:tcBorders>
              <w:top w:val="single" w:sz="4" w:space="0" w:color="auto"/>
              <w:left w:val="nil"/>
              <w:bottom w:val="single" w:sz="4" w:space="0" w:color="auto"/>
              <w:right w:val="single" w:sz="4" w:space="0" w:color="auto"/>
            </w:tcBorders>
            <w:vAlign w:val="center"/>
            <w:hideMark/>
          </w:tcPr>
          <w:p w14:paraId="668E5BA5" w14:textId="77777777" w:rsidR="005F2920" w:rsidRDefault="005F2920">
            <w:pPr>
              <w:jc w:val="right"/>
            </w:pPr>
            <w:r>
              <w:rPr>
                <w:rFonts w:ascii="宋体" w:hAnsi="宋体" w:hint="eastAsia"/>
                <w:szCs w:val="24"/>
                <w:lang w:eastAsia="zh-Hans"/>
              </w:rPr>
              <w:t>65.10</w:t>
            </w:r>
          </w:p>
        </w:tc>
      </w:tr>
      <w:tr w:rsidR="00296EAA" w14:paraId="371EC785"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4F4509" w14:textId="77777777" w:rsidR="005F2920" w:rsidRDefault="005F292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6181D73" w14:textId="77777777" w:rsidR="005F2920" w:rsidRDefault="005F292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2E7A93" w14:textId="77777777" w:rsidR="005F2920" w:rsidRDefault="005F29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214347" w14:textId="77777777" w:rsidR="005F2920" w:rsidRDefault="005F2920">
            <w:pPr>
              <w:jc w:val="right"/>
            </w:pPr>
            <w:r>
              <w:rPr>
                <w:rFonts w:ascii="宋体" w:hAnsi="宋体" w:hint="eastAsia"/>
                <w:szCs w:val="24"/>
                <w:lang w:eastAsia="zh-Hans"/>
              </w:rPr>
              <w:t>-</w:t>
            </w:r>
          </w:p>
        </w:tc>
      </w:tr>
      <w:tr w:rsidR="00296EAA" w14:paraId="33420A5B"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D91328" w14:textId="77777777" w:rsidR="005F2920" w:rsidRDefault="005F292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C0B734" w14:textId="77777777" w:rsidR="005F2920" w:rsidRDefault="005F292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411F48" w14:textId="77777777" w:rsidR="005F2920" w:rsidRDefault="005F2920">
            <w:pPr>
              <w:jc w:val="right"/>
            </w:pPr>
            <w:r>
              <w:rPr>
                <w:rFonts w:ascii="宋体" w:hAnsi="宋体" w:hint="eastAsia"/>
                <w:szCs w:val="24"/>
                <w:lang w:eastAsia="zh-Hans"/>
              </w:rPr>
              <w:t>89,025,500.04</w:t>
            </w:r>
          </w:p>
        </w:tc>
        <w:tc>
          <w:tcPr>
            <w:tcW w:w="1333" w:type="pct"/>
            <w:tcBorders>
              <w:top w:val="single" w:sz="4" w:space="0" w:color="auto"/>
              <w:left w:val="nil"/>
              <w:bottom w:val="single" w:sz="4" w:space="0" w:color="auto"/>
              <w:right w:val="single" w:sz="4" w:space="0" w:color="auto"/>
            </w:tcBorders>
            <w:vAlign w:val="center"/>
            <w:hideMark/>
          </w:tcPr>
          <w:p w14:paraId="1559DB62" w14:textId="77777777" w:rsidR="005F2920" w:rsidRDefault="005F2920">
            <w:pPr>
              <w:jc w:val="right"/>
            </w:pPr>
            <w:r>
              <w:rPr>
                <w:rFonts w:ascii="宋体" w:hAnsi="宋体" w:hint="eastAsia"/>
                <w:szCs w:val="24"/>
                <w:lang w:eastAsia="zh-Hans"/>
              </w:rPr>
              <w:t>28.30</w:t>
            </w:r>
          </w:p>
        </w:tc>
      </w:tr>
      <w:tr w:rsidR="00296EAA" w14:paraId="7E346F47"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94110A" w14:textId="77777777" w:rsidR="005F2920" w:rsidRDefault="005F29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5E6727" w14:textId="77777777" w:rsidR="005F2920" w:rsidRDefault="005F292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A817AF" w14:textId="77777777" w:rsidR="005F2920" w:rsidRDefault="005F2920">
            <w:pPr>
              <w:jc w:val="right"/>
            </w:pPr>
            <w:r>
              <w:rPr>
                <w:rFonts w:ascii="宋体" w:hAnsi="宋体" w:hint="eastAsia"/>
                <w:szCs w:val="24"/>
                <w:lang w:eastAsia="zh-Hans"/>
              </w:rPr>
              <w:t>89,025,500.04</w:t>
            </w:r>
          </w:p>
        </w:tc>
        <w:tc>
          <w:tcPr>
            <w:tcW w:w="1333" w:type="pct"/>
            <w:tcBorders>
              <w:top w:val="single" w:sz="4" w:space="0" w:color="auto"/>
              <w:left w:val="nil"/>
              <w:bottom w:val="single" w:sz="4" w:space="0" w:color="auto"/>
              <w:right w:val="single" w:sz="4" w:space="0" w:color="auto"/>
            </w:tcBorders>
            <w:vAlign w:val="center"/>
            <w:hideMark/>
          </w:tcPr>
          <w:p w14:paraId="11A19095" w14:textId="77777777" w:rsidR="005F2920" w:rsidRDefault="005F2920">
            <w:pPr>
              <w:jc w:val="right"/>
            </w:pPr>
            <w:r>
              <w:rPr>
                <w:rFonts w:ascii="宋体" w:hAnsi="宋体" w:hint="eastAsia"/>
                <w:szCs w:val="24"/>
                <w:lang w:eastAsia="zh-Hans"/>
              </w:rPr>
              <w:t>28.30</w:t>
            </w:r>
          </w:p>
        </w:tc>
      </w:tr>
      <w:tr w:rsidR="00296EAA" w14:paraId="6F541A57"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9DFE1D" w14:textId="77777777" w:rsidR="005F2920" w:rsidRDefault="005F29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2A7A2D" w14:textId="77777777" w:rsidR="005F2920" w:rsidRDefault="005F292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9DC972" w14:textId="77777777" w:rsidR="005F2920" w:rsidRDefault="005F29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45DDA1" w14:textId="77777777" w:rsidR="005F2920" w:rsidRDefault="005F2920">
            <w:pPr>
              <w:jc w:val="right"/>
            </w:pPr>
            <w:r>
              <w:rPr>
                <w:rFonts w:ascii="宋体" w:hAnsi="宋体" w:hint="eastAsia"/>
                <w:szCs w:val="24"/>
                <w:lang w:eastAsia="zh-Hans"/>
              </w:rPr>
              <w:t>-</w:t>
            </w:r>
          </w:p>
        </w:tc>
      </w:tr>
      <w:tr w:rsidR="00296EAA" w14:paraId="37B35427"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8365EF" w14:textId="77777777" w:rsidR="005F2920" w:rsidRDefault="005F292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3EA2BB6" w14:textId="77777777" w:rsidR="005F2920" w:rsidRDefault="005F292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9BAD33" w14:textId="77777777" w:rsidR="005F2920" w:rsidRDefault="005F29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504D54" w14:textId="77777777" w:rsidR="005F2920" w:rsidRDefault="005F2920">
            <w:pPr>
              <w:jc w:val="right"/>
            </w:pPr>
            <w:r>
              <w:rPr>
                <w:rFonts w:ascii="宋体" w:hAnsi="宋体" w:hint="eastAsia"/>
                <w:szCs w:val="24"/>
                <w:lang w:eastAsia="zh-Hans"/>
              </w:rPr>
              <w:t>-</w:t>
            </w:r>
          </w:p>
        </w:tc>
      </w:tr>
      <w:tr w:rsidR="00296EAA" w14:paraId="3A2E3B03"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B01E54" w14:textId="77777777" w:rsidR="005F2920" w:rsidRDefault="005F292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0886545" w14:textId="77777777" w:rsidR="005F2920" w:rsidRDefault="005F292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A1B926" w14:textId="77777777" w:rsidR="005F2920" w:rsidRDefault="005F29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48994E" w14:textId="77777777" w:rsidR="005F2920" w:rsidRDefault="005F2920">
            <w:pPr>
              <w:jc w:val="right"/>
            </w:pPr>
            <w:r>
              <w:rPr>
                <w:rFonts w:ascii="宋体" w:hAnsi="宋体" w:hint="eastAsia"/>
                <w:szCs w:val="24"/>
                <w:lang w:eastAsia="zh-Hans"/>
              </w:rPr>
              <w:t>-</w:t>
            </w:r>
          </w:p>
        </w:tc>
      </w:tr>
      <w:tr w:rsidR="00296EAA" w14:paraId="4A406117"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9AB304" w14:textId="77777777" w:rsidR="005F2920" w:rsidRDefault="005F292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BD25A86" w14:textId="77777777" w:rsidR="005F2920" w:rsidRDefault="005F292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E797C1" w14:textId="77777777" w:rsidR="005F2920" w:rsidRDefault="005F29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B58F1F" w14:textId="77777777" w:rsidR="005F2920" w:rsidRDefault="005F2920">
            <w:pPr>
              <w:jc w:val="right"/>
            </w:pPr>
            <w:r>
              <w:rPr>
                <w:rFonts w:ascii="宋体" w:hAnsi="宋体" w:hint="eastAsia"/>
                <w:szCs w:val="24"/>
                <w:lang w:eastAsia="zh-Hans"/>
              </w:rPr>
              <w:t>-</w:t>
            </w:r>
          </w:p>
        </w:tc>
      </w:tr>
      <w:tr w:rsidR="00296EAA" w14:paraId="63CF5B50"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D99E7A" w14:textId="77777777" w:rsidR="005F2920" w:rsidRDefault="005F29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A1701C" w14:textId="77777777" w:rsidR="005F2920" w:rsidRDefault="005F292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56A814" w14:textId="77777777" w:rsidR="005F2920" w:rsidRDefault="005F29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7AF32A" w14:textId="77777777" w:rsidR="005F2920" w:rsidRDefault="005F2920">
            <w:pPr>
              <w:jc w:val="right"/>
            </w:pPr>
            <w:r>
              <w:rPr>
                <w:rFonts w:ascii="宋体" w:hAnsi="宋体" w:hint="eastAsia"/>
                <w:szCs w:val="24"/>
                <w:lang w:eastAsia="zh-Hans"/>
              </w:rPr>
              <w:t>-</w:t>
            </w:r>
          </w:p>
        </w:tc>
      </w:tr>
      <w:tr w:rsidR="00296EAA" w14:paraId="1048D91C"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EEE9BA" w14:textId="77777777" w:rsidR="005F2920" w:rsidRDefault="005F292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8939FE" w14:textId="77777777" w:rsidR="005F2920" w:rsidRDefault="005F292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82B2AB" w14:textId="77777777" w:rsidR="005F2920" w:rsidRDefault="005F2920">
            <w:pPr>
              <w:jc w:val="right"/>
            </w:pPr>
            <w:r>
              <w:rPr>
                <w:rFonts w:ascii="宋体" w:hAnsi="宋体" w:hint="eastAsia"/>
                <w:szCs w:val="24"/>
                <w:lang w:eastAsia="zh-Hans"/>
              </w:rPr>
              <w:t>13,388,799.49</w:t>
            </w:r>
          </w:p>
        </w:tc>
        <w:tc>
          <w:tcPr>
            <w:tcW w:w="1333" w:type="pct"/>
            <w:tcBorders>
              <w:top w:val="single" w:sz="4" w:space="0" w:color="auto"/>
              <w:left w:val="nil"/>
              <w:bottom w:val="single" w:sz="4" w:space="0" w:color="auto"/>
              <w:right w:val="single" w:sz="4" w:space="0" w:color="auto"/>
            </w:tcBorders>
            <w:vAlign w:val="center"/>
            <w:hideMark/>
          </w:tcPr>
          <w:p w14:paraId="2C0D2B74" w14:textId="77777777" w:rsidR="005F2920" w:rsidRDefault="005F2920">
            <w:pPr>
              <w:jc w:val="right"/>
            </w:pPr>
            <w:r>
              <w:rPr>
                <w:rFonts w:ascii="宋体" w:hAnsi="宋体" w:hint="eastAsia"/>
                <w:szCs w:val="24"/>
                <w:lang w:eastAsia="zh-Hans"/>
              </w:rPr>
              <w:t>4.26</w:t>
            </w:r>
          </w:p>
        </w:tc>
      </w:tr>
      <w:tr w:rsidR="00296EAA" w14:paraId="713F5A95"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BDC416" w14:textId="77777777" w:rsidR="005F2920" w:rsidRDefault="005F292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C1873AE" w14:textId="77777777" w:rsidR="005F2920" w:rsidRDefault="005F292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1AC570" w14:textId="77777777" w:rsidR="005F2920" w:rsidRDefault="005F2920">
            <w:pPr>
              <w:jc w:val="right"/>
            </w:pPr>
            <w:r>
              <w:rPr>
                <w:rFonts w:ascii="宋体" w:hAnsi="宋体" w:hint="eastAsia"/>
                <w:szCs w:val="24"/>
                <w:lang w:eastAsia="zh-Hans"/>
              </w:rPr>
              <w:t>7,377,117.80</w:t>
            </w:r>
          </w:p>
        </w:tc>
        <w:tc>
          <w:tcPr>
            <w:tcW w:w="1333" w:type="pct"/>
            <w:tcBorders>
              <w:top w:val="single" w:sz="4" w:space="0" w:color="auto"/>
              <w:left w:val="nil"/>
              <w:bottom w:val="single" w:sz="4" w:space="0" w:color="auto"/>
              <w:right w:val="single" w:sz="4" w:space="0" w:color="auto"/>
            </w:tcBorders>
            <w:vAlign w:val="center"/>
            <w:hideMark/>
          </w:tcPr>
          <w:p w14:paraId="7B150A76" w14:textId="77777777" w:rsidR="005F2920" w:rsidRDefault="005F2920">
            <w:pPr>
              <w:jc w:val="right"/>
            </w:pPr>
            <w:r>
              <w:rPr>
                <w:rFonts w:ascii="宋体" w:hAnsi="宋体" w:hint="eastAsia"/>
                <w:szCs w:val="24"/>
                <w:lang w:eastAsia="zh-Hans"/>
              </w:rPr>
              <w:t>2.34</w:t>
            </w:r>
          </w:p>
        </w:tc>
      </w:tr>
      <w:tr w:rsidR="00296EAA" w14:paraId="4B884AD0" w14:textId="77777777">
        <w:trPr>
          <w:divId w:val="770590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830C54" w14:textId="77777777" w:rsidR="005F2920" w:rsidRDefault="005F292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C7CB248" w14:textId="77777777" w:rsidR="005F2920" w:rsidRDefault="005F292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D03DBD" w14:textId="77777777" w:rsidR="005F2920" w:rsidRDefault="005F2920">
            <w:pPr>
              <w:jc w:val="right"/>
            </w:pPr>
            <w:r>
              <w:rPr>
                <w:rFonts w:ascii="宋体" w:hAnsi="宋体" w:hint="eastAsia"/>
                <w:szCs w:val="24"/>
                <w:lang w:eastAsia="zh-Hans"/>
              </w:rPr>
              <w:t>314,607,531.48</w:t>
            </w:r>
          </w:p>
        </w:tc>
        <w:tc>
          <w:tcPr>
            <w:tcW w:w="1333" w:type="pct"/>
            <w:tcBorders>
              <w:top w:val="single" w:sz="4" w:space="0" w:color="auto"/>
              <w:left w:val="nil"/>
              <w:bottom w:val="single" w:sz="4" w:space="0" w:color="auto"/>
              <w:right w:val="single" w:sz="4" w:space="0" w:color="auto"/>
            </w:tcBorders>
            <w:vAlign w:val="center"/>
            <w:hideMark/>
          </w:tcPr>
          <w:p w14:paraId="1DDD3D60" w14:textId="77777777" w:rsidR="005F2920" w:rsidRDefault="005F2920">
            <w:pPr>
              <w:jc w:val="right"/>
            </w:pPr>
            <w:r>
              <w:rPr>
                <w:rFonts w:ascii="宋体" w:hAnsi="宋体" w:hint="eastAsia"/>
                <w:szCs w:val="24"/>
                <w:lang w:eastAsia="zh-Hans"/>
              </w:rPr>
              <w:t>100.00</w:t>
            </w:r>
          </w:p>
        </w:tc>
      </w:tr>
    </w:tbl>
    <w:p w14:paraId="46AAFD95" w14:textId="77777777" w:rsidR="005F2920" w:rsidRDefault="005F292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28CF05D0" w14:textId="77777777" w:rsidR="005F2920" w:rsidRDefault="005F2920">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96EAA" w14:paraId="0B087F07" w14:textId="77777777">
        <w:trPr>
          <w:divId w:val="28870768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1EB762" w14:textId="77777777" w:rsidR="005F2920" w:rsidRDefault="005F292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A6DF4A2" w14:textId="77777777" w:rsidR="005F2920" w:rsidRDefault="005F292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74EB004" w14:textId="77777777" w:rsidR="005F2920" w:rsidRDefault="005F292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0C32FAA" w14:textId="77777777" w:rsidR="005F2920" w:rsidRDefault="005F2920">
            <w:pPr>
              <w:jc w:val="center"/>
            </w:pPr>
            <w:r>
              <w:rPr>
                <w:rFonts w:ascii="宋体" w:hAnsi="宋体" w:hint="eastAsia"/>
                <w:color w:val="000000"/>
              </w:rPr>
              <w:t xml:space="preserve">占基金资产净值比例（%） </w:t>
            </w:r>
          </w:p>
        </w:tc>
      </w:tr>
      <w:tr w:rsidR="00296EAA" w14:paraId="0D5357AC"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FDE32B" w14:textId="77777777" w:rsidR="005F2920" w:rsidRDefault="005F292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00C83B" w14:textId="77777777" w:rsidR="005F2920" w:rsidRDefault="005F292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0E5094"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36331A" w14:textId="77777777" w:rsidR="005F2920" w:rsidRDefault="005F2920">
            <w:pPr>
              <w:jc w:val="right"/>
            </w:pPr>
            <w:r>
              <w:rPr>
                <w:rFonts w:ascii="宋体" w:hAnsi="宋体" w:hint="eastAsia"/>
                <w:szCs w:val="24"/>
                <w:lang w:eastAsia="zh-Hans"/>
              </w:rPr>
              <w:t>-</w:t>
            </w:r>
          </w:p>
        </w:tc>
      </w:tr>
      <w:tr w:rsidR="00296EAA" w14:paraId="4CFD1C40"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571243" w14:textId="77777777" w:rsidR="005F2920" w:rsidRDefault="005F292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6477B3" w14:textId="77777777" w:rsidR="005F2920" w:rsidRDefault="005F292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50BBF5" w14:textId="77777777" w:rsidR="005F2920" w:rsidRDefault="005F2920">
            <w:pPr>
              <w:jc w:val="right"/>
            </w:pPr>
            <w:r>
              <w:rPr>
                <w:rFonts w:ascii="宋体" w:hAnsi="宋体" w:hint="eastAsia"/>
                <w:szCs w:val="24"/>
                <w:lang w:eastAsia="zh-Hans"/>
              </w:rPr>
              <w:t>11,859,445.00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478D1B" w14:textId="77777777" w:rsidR="005F2920" w:rsidRDefault="005F2920">
            <w:pPr>
              <w:jc w:val="right"/>
            </w:pPr>
            <w:r>
              <w:rPr>
                <w:rFonts w:ascii="宋体" w:hAnsi="宋体" w:hint="eastAsia"/>
                <w:szCs w:val="24"/>
                <w:lang w:eastAsia="zh-Hans"/>
              </w:rPr>
              <w:t>3.81</w:t>
            </w:r>
          </w:p>
        </w:tc>
      </w:tr>
      <w:tr w:rsidR="00296EAA" w14:paraId="743EDFAD"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319C1E" w14:textId="77777777" w:rsidR="005F2920" w:rsidRDefault="005F292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3EEEB5" w14:textId="77777777" w:rsidR="005F2920" w:rsidRDefault="005F292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587E5B" w14:textId="77777777" w:rsidR="005F2920" w:rsidRDefault="005F2920">
            <w:pPr>
              <w:jc w:val="right"/>
            </w:pPr>
            <w:r>
              <w:rPr>
                <w:rFonts w:ascii="宋体" w:hAnsi="宋体" w:hint="eastAsia"/>
                <w:szCs w:val="24"/>
                <w:lang w:eastAsia="zh-Hans"/>
              </w:rPr>
              <w:t>165,944,691.77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F4326A" w14:textId="77777777" w:rsidR="005F2920" w:rsidRDefault="005F2920">
            <w:pPr>
              <w:jc w:val="right"/>
            </w:pPr>
            <w:r>
              <w:rPr>
                <w:rFonts w:ascii="宋体" w:hAnsi="宋体" w:hint="eastAsia"/>
                <w:szCs w:val="24"/>
                <w:lang w:eastAsia="zh-Hans"/>
              </w:rPr>
              <w:t>53.29</w:t>
            </w:r>
          </w:p>
        </w:tc>
      </w:tr>
      <w:tr w:rsidR="00296EAA" w14:paraId="2DFD9EEE"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17E184" w14:textId="77777777" w:rsidR="005F2920" w:rsidRDefault="005F292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334D8F" w14:textId="77777777" w:rsidR="005F2920" w:rsidRDefault="005F292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3412A"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57B668" w14:textId="77777777" w:rsidR="005F2920" w:rsidRDefault="005F2920">
            <w:pPr>
              <w:jc w:val="right"/>
            </w:pPr>
            <w:r>
              <w:rPr>
                <w:rFonts w:ascii="宋体" w:hAnsi="宋体" w:hint="eastAsia"/>
                <w:szCs w:val="24"/>
                <w:lang w:eastAsia="zh-Hans"/>
              </w:rPr>
              <w:t>-</w:t>
            </w:r>
          </w:p>
        </w:tc>
      </w:tr>
      <w:tr w:rsidR="00296EAA" w14:paraId="1A7134BE"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C6E08E" w14:textId="77777777" w:rsidR="005F2920" w:rsidRDefault="005F2920">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A1AE74" w14:textId="77777777" w:rsidR="005F2920" w:rsidRDefault="005F292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AE968B"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D23CBF" w14:textId="77777777" w:rsidR="005F2920" w:rsidRDefault="005F2920">
            <w:pPr>
              <w:jc w:val="right"/>
            </w:pPr>
            <w:r>
              <w:rPr>
                <w:rFonts w:ascii="宋体" w:hAnsi="宋体" w:hint="eastAsia"/>
                <w:szCs w:val="24"/>
                <w:lang w:eastAsia="zh-Hans"/>
              </w:rPr>
              <w:t>-</w:t>
            </w:r>
          </w:p>
        </w:tc>
      </w:tr>
      <w:tr w:rsidR="00296EAA" w14:paraId="169A2449"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013033" w14:textId="77777777" w:rsidR="005F2920" w:rsidRDefault="005F292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A2B978" w14:textId="77777777" w:rsidR="005F2920" w:rsidRDefault="005F292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B1F920" w14:textId="77777777" w:rsidR="005F2920" w:rsidRDefault="005F2920">
            <w:pPr>
              <w:jc w:val="right"/>
            </w:pPr>
            <w:r>
              <w:rPr>
                <w:rFonts w:ascii="宋体" w:hAnsi="宋体" w:hint="eastAsia"/>
                <w:szCs w:val="24"/>
                <w:lang w:eastAsia="zh-Hans"/>
              </w:rPr>
              <w:t>72,170.00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AF13DF" w14:textId="77777777" w:rsidR="005F2920" w:rsidRDefault="005F2920">
            <w:pPr>
              <w:jc w:val="right"/>
            </w:pPr>
            <w:r>
              <w:rPr>
                <w:rFonts w:ascii="宋体" w:hAnsi="宋体" w:hint="eastAsia"/>
                <w:szCs w:val="24"/>
                <w:lang w:eastAsia="zh-Hans"/>
              </w:rPr>
              <w:t>0.02</w:t>
            </w:r>
          </w:p>
        </w:tc>
      </w:tr>
      <w:tr w:rsidR="00296EAA" w14:paraId="1A1E4047"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6EC8EE" w14:textId="77777777" w:rsidR="005F2920" w:rsidRDefault="005F292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1F2614" w14:textId="77777777" w:rsidR="005F2920" w:rsidRDefault="005F292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04C261"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A1D968" w14:textId="77777777" w:rsidR="005F2920" w:rsidRDefault="005F2920">
            <w:pPr>
              <w:jc w:val="right"/>
            </w:pPr>
            <w:r>
              <w:rPr>
                <w:rFonts w:ascii="宋体" w:hAnsi="宋体" w:hint="eastAsia"/>
                <w:szCs w:val="24"/>
                <w:lang w:eastAsia="zh-Hans"/>
              </w:rPr>
              <w:t>-</w:t>
            </w:r>
          </w:p>
        </w:tc>
      </w:tr>
      <w:tr w:rsidR="00296EAA" w14:paraId="61AD2EA2"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94A0F0" w14:textId="77777777" w:rsidR="005F2920" w:rsidRDefault="005F292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EED30F" w14:textId="77777777" w:rsidR="005F2920" w:rsidRDefault="005F292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239EF2"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95821B" w14:textId="77777777" w:rsidR="005F2920" w:rsidRDefault="005F2920">
            <w:pPr>
              <w:jc w:val="right"/>
            </w:pPr>
            <w:r>
              <w:rPr>
                <w:rFonts w:ascii="宋体" w:hAnsi="宋体" w:hint="eastAsia"/>
                <w:szCs w:val="24"/>
                <w:lang w:eastAsia="zh-Hans"/>
              </w:rPr>
              <w:t>-</w:t>
            </w:r>
          </w:p>
        </w:tc>
      </w:tr>
      <w:tr w:rsidR="00296EAA" w14:paraId="2D394658"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E2DB30" w14:textId="77777777" w:rsidR="005F2920" w:rsidRDefault="005F292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FF8E36" w14:textId="77777777" w:rsidR="005F2920" w:rsidRDefault="005F292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FF9C49" w14:textId="77777777" w:rsidR="005F2920" w:rsidRDefault="005F2920">
            <w:pPr>
              <w:jc w:val="right"/>
            </w:pPr>
            <w:r>
              <w:rPr>
                <w:rFonts w:ascii="宋体" w:hAnsi="宋体" w:hint="eastAsia"/>
                <w:szCs w:val="24"/>
                <w:lang w:eastAsia="zh-Hans"/>
              </w:rPr>
              <w:t>15,799,565.38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1B813A" w14:textId="77777777" w:rsidR="005F2920" w:rsidRDefault="005F2920">
            <w:pPr>
              <w:jc w:val="right"/>
            </w:pPr>
            <w:r>
              <w:rPr>
                <w:rFonts w:ascii="宋体" w:hAnsi="宋体" w:hint="eastAsia"/>
                <w:szCs w:val="24"/>
                <w:lang w:eastAsia="zh-Hans"/>
              </w:rPr>
              <w:t>5.07</w:t>
            </w:r>
          </w:p>
        </w:tc>
      </w:tr>
      <w:tr w:rsidR="00296EAA" w14:paraId="7A392D9F"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4C6142" w14:textId="77777777" w:rsidR="005F2920" w:rsidRDefault="005F292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3BD8CC" w14:textId="77777777" w:rsidR="005F2920" w:rsidRDefault="005F292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F8F04F"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27FD9C" w14:textId="77777777" w:rsidR="005F2920" w:rsidRDefault="005F2920">
            <w:pPr>
              <w:jc w:val="right"/>
            </w:pPr>
            <w:r>
              <w:rPr>
                <w:rFonts w:ascii="宋体" w:hAnsi="宋体" w:hint="eastAsia"/>
                <w:szCs w:val="24"/>
                <w:lang w:eastAsia="zh-Hans"/>
              </w:rPr>
              <w:t>-</w:t>
            </w:r>
          </w:p>
        </w:tc>
      </w:tr>
      <w:tr w:rsidR="00296EAA" w14:paraId="7FE00BBE"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9838CD" w14:textId="77777777" w:rsidR="005F2920" w:rsidRDefault="005F292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C7FD0C" w14:textId="77777777" w:rsidR="005F2920" w:rsidRDefault="005F292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43707B"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3EDE39" w14:textId="77777777" w:rsidR="005F2920" w:rsidRDefault="005F2920">
            <w:pPr>
              <w:jc w:val="right"/>
            </w:pPr>
            <w:r>
              <w:rPr>
                <w:rFonts w:ascii="宋体" w:hAnsi="宋体" w:hint="eastAsia"/>
                <w:szCs w:val="24"/>
                <w:lang w:eastAsia="zh-Hans"/>
              </w:rPr>
              <w:t>-</w:t>
            </w:r>
          </w:p>
        </w:tc>
      </w:tr>
      <w:tr w:rsidR="00296EAA" w14:paraId="7B3F4D99"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2F8377" w14:textId="77777777" w:rsidR="005F2920" w:rsidRDefault="005F292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D3476C" w14:textId="77777777" w:rsidR="005F2920" w:rsidRDefault="005F292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67AFE3"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D34D0A" w14:textId="77777777" w:rsidR="005F2920" w:rsidRDefault="005F2920">
            <w:pPr>
              <w:jc w:val="right"/>
            </w:pPr>
            <w:r>
              <w:rPr>
                <w:rFonts w:ascii="宋体" w:hAnsi="宋体" w:hint="eastAsia"/>
                <w:szCs w:val="24"/>
                <w:lang w:eastAsia="zh-Hans"/>
              </w:rPr>
              <w:t>-</w:t>
            </w:r>
          </w:p>
        </w:tc>
      </w:tr>
      <w:tr w:rsidR="00296EAA" w14:paraId="601F7E4F"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90E609" w14:textId="77777777" w:rsidR="005F2920" w:rsidRDefault="005F292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5C00F" w14:textId="77777777" w:rsidR="005F2920" w:rsidRDefault="005F292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35E2A8" w14:textId="77777777" w:rsidR="005F2920" w:rsidRDefault="005F2920">
            <w:pPr>
              <w:jc w:val="right"/>
            </w:pPr>
            <w:r>
              <w:rPr>
                <w:rFonts w:ascii="宋体" w:hAnsi="宋体" w:hint="eastAsia"/>
                <w:szCs w:val="24"/>
                <w:lang w:eastAsia="zh-Hans"/>
              </w:rPr>
              <w:t>11,140,242.00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450D63" w14:textId="77777777" w:rsidR="005F2920" w:rsidRDefault="005F2920">
            <w:pPr>
              <w:jc w:val="right"/>
            </w:pPr>
            <w:r>
              <w:rPr>
                <w:rFonts w:ascii="宋体" w:hAnsi="宋体" w:hint="eastAsia"/>
                <w:szCs w:val="24"/>
                <w:lang w:eastAsia="zh-Hans"/>
              </w:rPr>
              <w:t>3.58</w:t>
            </w:r>
          </w:p>
        </w:tc>
      </w:tr>
      <w:tr w:rsidR="00296EAA" w14:paraId="20104604"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3D7364" w14:textId="77777777" w:rsidR="005F2920" w:rsidRDefault="005F292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80A33C" w14:textId="77777777" w:rsidR="005F2920" w:rsidRDefault="005F292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0321D0"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3533C7" w14:textId="77777777" w:rsidR="005F2920" w:rsidRDefault="005F2920">
            <w:pPr>
              <w:jc w:val="right"/>
            </w:pPr>
            <w:r>
              <w:rPr>
                <w:rFonts w:ascii="宋体" w:hAnsi="宋体" w:hint="eastAsia"/>
                <w:szCs w:val="24"/>
                <w:lang w:eastAsia="zh-Hans"/>
              </w:rPr>
              <w:t>-</w:t>
            </w:r>
          </w:p>
        </w:tc>
      </w:tr>
      <w:tr w:rsidR="00296EAA" w14:paraId="204EF747"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5AD083" w14:textId="77777777" w:rsidR="005F2920" w:rsidRDefault="005F292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FDE8E3" w14:textId="77777777" w:rsidR="005F2920" w:rsidRDefault="005F292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DC2841"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010CA6" w14:textId="77777777" w:rsidR="005F2920" w:rsidRDefault="005F2920">
            <w:pPr>
              <w:jc w:val="right"/>
            </w:pPr>
            <w:r>
              <w:rPr>
                <w:rFonts w:ascii="宋体" w:hAnsi="宋体" w:hint="eastAsia"/>
                <w:szCs w:val="24"/>
                <w:lang w:eastAsia="zh-Hans"/>
              </w:rPr>
              <w:t>-</w:t>
            </w:r>
          </w:p>
        </w:tc>
      </w:tr>
      <w:tr w:rsidR="00296EAA" w14:paraId="02A99B00"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711066" w14:textId="77777777" w:rsidR="005F2920" w:rsidRDefault="005F292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8EE179" w14:textId="77777777" w:rsidR="005F2920" w:rsidRDefault="005F292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6CBAEE"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4C2810" w14:textId="77777777" w:rsidR="005F2920" w:rsidRDefault="005F2920">
            <w:pPr>
              <w:jc w:val="right"/>
            </w:pPr>
            <w:r>
              <w:rPr>
                <w:rFonts w:ascii="宋体" w:hAnsi="宋体" w:hint="eastAsia"/>
                <w:szCs w:val="24"/>
                <w:lang w:eastAsia="zh-Hans"/>
              </w:rPr>
              <w:t>-</w:t>
            </w:r>
          </w:p>
        </w:tc>
      </w:tr>
      <w:tr w:rsidR="00296EAA" w14:paraId="4E07A6CE"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ABF06B" w14:textId="77777777" w:rsidR="005F2920" w:rsidRDefault="005F292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33132A" w14:textId="77777777" w:rsidR="005F2920" w:rsidRDefault="005F292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72F804"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A18F6A" w14:textId="77777777" w:rsidR="005F2920" w:rsidRDefault="005F2920">
            <w:pPr>
              <w:jc w:val="right"/>
            </w:pPr>
            <w:r>
              <w:rPr>
                <w:rFonts w:ascii="宋体" w:hAnsi="宋体" w:hint="eastAsia"/>
                <w:szCs w:val="24"/>
                <w:lang w:eastAsia="zh-Hans"/>
              </w:rPr>
              <w:t>-</w:t>
            </w:r>
          </w:p>
        </w:tc>
      </w:tr>
      <w:tr w:rsidR="00296EAA" w14:paraId="4932DB11"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9709C0" w14:textId="77777777" w:rsidR="005F2920" w:rsidRDefault="005F292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5DC738" w14:textId="77777777" w:rsidR="005F2920" w:rsidRDefault="005F292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B0793A"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275D4A" w14:textId="77777777" w:rsidR="005F2920" w:rsidRDefault="005F2920">
            <w:pPr>
              <w:jc w:val="right"/>
            </w:pPr>
            <w:r>
              <w:rPr>
                <w:rFonts w:ascii="宋体" w:hAnsi="宋体" w:hint="eastAsia"/>
                <w:szCs w:val="24"/>
                <w:lang w:eastAsia="zh-Hans"/>
              </w:rPr>
              <w:t>-</w:t>
            </w:r>
          </w:p>
        </w:tc>
      </w:tr>
      <w:tr w:rsidR="00296EAA" w14:paraId="70360EA3"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0AE654" w14:textId="77777777" w:rsidR="005F2920" w:rsidRDefault="005F292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33057A" w14:textId="77777777" w:rsidR="005F2920" w:rsidRDefault="005F292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65CE71" w14:textId="77777777" w:rsidR="005F2920" w:rsidRDefault="005F29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ADBCF0" w14:textId="77777777" w:rsidR="005F2920" w:rsidRDefault="005F2920">
            <w:pPr>
              <w:jc w:val="right"/>
            </w:pPr>
            <w:r>
              <w:rPr>
                <w:rFonts w:ascii="宋体" w:hAnsi="宋体" w:hint="eastAsia"/>
                <w:szCs w:val="24"/>
                <w:lang w:eastAsia="zh-Hans"/>
              </w:rPr>
              <w:t>-</w:t>
            </w:r>
          </w:p>
        </w:tc>
      </w:tr>
      <w:tr w:rsidR="00296EAA" w14:paraId="38742A99" w14:textId="77777777">
        <w:trPr>
          <w:divId w:val="2887076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DC800B" w14:textId="77777777" w:rsidR="005F2920" w:rsidRDefault="005F292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291782" w14:textId="77777777" w:rsidR="005F2920" w:rsidRDefault="005F292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77DD8D" w14:textId="77777777" w:rsidR="005F2920" w:rsidRDefault="005F2920">
            <w:pPr>
              <w:jc w:val="right"/>
            </w:pPr>
            <w:r>
              <w:rPr>
                <w:rFonts w:ascii="宋体" w:hAnsi="宋体" w:hint="eastAsia"/>
                <w:szCs w:val="24"/>
                <w:lang w:eastAsia="zh-Hans"/>
              </w:rPr>
              <w:t>204,816,114.15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7B1F7F" w14:textId="77777777" w:rsidR="005F2920" w:rsidRDefault="005F2920">
            <w:pPr>
              <w:jc w:val="right"/>
            </w:pPr>
            <w:r>
              <w:rPr>
                <w:rFonts w:ascii="宋体" w:hAnsi="宋体" w:hint="eastAsia"/>
                <w:szCs w:val="24"/>
                <w:lang w:eastAsia="zh-Hans"/>
              </w:rPr>
              <w:t>65.77</w:t>
            </w:r>
          </w:p>
        </w:tc>
      </w:tr>
    </w:tbl>
    <w:p w14:paraId="5B92F2CB" w14:textId="77777777" w:rsidR="005F2920" w:rsidRDefault="005F292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2F792CF7" w14:textId="77777777" w:rsidR="005F2920" w:rsidRDefault="005F2920">
      <w:pPr>
        <w:spacing w:line="360" w:lineRule="auto"/>
        <w:ind w:firstLineChars="200" w:firstLine="420"/>
        <w:divId w:val="1614898490"/>
      </w:pPr>
      <w:r>
        <w:rPr>
          <w:rFonts w:ascii="宋体" w:hAnsi="宋体" w:hint="eastAsia"/>
          <w:szCs w:val="21"/>
          <w:lang w:eastAsia="zh-Hans"/>
        </w:rPr>
        <w:t>本基金本报告期末未持有港股通股票　。</w:t>
      </w:r>
    </w:p>
    <w:p w14:paraId="56BEC3B0" w14:textId="77777777" w:rsidR="005F2920" w:rsidRDefault="005F292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6F662D79" w14:textId="77777777" w:rsidR="005F2920" w:rsidRDefault="005F2920">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96EAA" w14:paraId="53D6EF2F" w14:textId="77777777">
        <w:trPr>
          <w:divId w:val="25286016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EB626F" w14:textId="77777777" w:rsidR="005F2920" w:rsidRDefault="005F292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2C1053" w14:textId="77777777" w:rsidR="005F2920" w:rsidRDefault="005F292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7AE504" w14:textId="77777777" w:rsidR="005F2920" w:rsidRDefault="005F292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0B262" w14:textId="77777777" w:rsidR="005F2920" w:rsidRDefault="005F292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B80A9B" w14:textId="77777777" w:rsidR="005F2920" w:rsidRDefault="005F292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7BAE34" w14:textId="77777777" w:rsidR="005F2920" w:rsidRDefault="005F2920">
            <w:pPr>
              <w:jc w:val="center"/>
            </w:pPr>
            <w:r>
              <w:rPr>
                <w:rFonts w:ascii="宋体" w:hAnsi="宋体" w:hint="eastAsia"/>
                <w:color w:val="000000"/>
              </w:rPr>
              <w:t xml:space="preserve">占基金资产净值比例（%） </w:t>
            </w:r>
          </w:p>
        </w:tc>
      </w:tr>
      <w:tr w:rsidR="00296EAA" w14:paraId="7188EA7D"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2C64C" w14:textId="77777777" w:rsidR="005F2920" w:rsidRDefault="005F292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E44DA" w14:textId="77777777" w:rsidR="005F2920" w:rsidRDefault="005F292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420C1" w14:textId="77777777" w:rsidR="005F2920" w:rsidRDefault="005F292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989D8" w14:textId="77777777" w:rsidR="005F2920" w:rsidRDefault="005F2920">
            <w:pPr>
              <w:jc w:val="right"/>
            </w:pPr>
            <w:r>
              <w:rPr>
                <w:rFonts w:ascii="宋体" w:hAnsi="宋体" w:hint="eastAsia"/>
                <w:szCs w:val="24"/>
                <w:lang w:eastAsia="zh-Hans"/>
              </w:rPr>
              <w:t>34,526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9F55D" w14:textId="77777777" w:rsidR="005F2920" w:rsidRDefault="005F2920">
            <w:pPr>
              <w:jc w:val="right"/>
            </w:pPr>
            <w:r>
              <w:rPr>
                <w:rFonts w:ascii="宋体" w:hAnsi="宋体" w:hint="eastAsia"/>
                <w:szCs w:val="24"/>
                <w:lang w:eastAsia="zh-Hans"/>
              </w:rPr>
              <w:t>21,060,860.00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6DF14" w14:textId="77777777" w:rsidR="005F2920" w:rsidRDefault="005F2920">
            <w:pPr>
              <w:jc w:val="right"/>
            </w:pPr>
            <w:r>
              <w:rPr>
                <w:rFonts w:ascii="宋体" w:hAnsi="宋体" w:hint="eastAsia"/>
                <w:szCs w:val="24"/>
                <w:lang w:eastAsia="zh-Hans"/>
              </w:rPr>
              <w:t>6.76</w:t>
            </w:r>
          </w:p>
        </w:tc>
      </w:tr>
      <w:tr w:rsidR="00296EAA" w14:paraId="29BD6814"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8B0A7" w14:textId="77777777" w:rsidR="005F2920" w:rsidRDefault="005F292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DB83A" w14:textId="77777777" w:rsidR="005F2920" w:rsidRDefault="005F292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186CD" w14:textId="77777777" w:rsidR="005F2920" w:rsidRDefault="005F292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D3885" w14:textId="77777777" w:rsidR="005F2920" w:rsidRDefault="005F2920">
            <w:pPr>
              <w:jc w:val="right"/>
            </w:pPr>
            <w:r>
              <w:rPr>
                <w:rFonts w:ascii="宋体" w:hAnsi="宋体" w:hint="eastAsia"/>
                <w:szCs w:val="24"/>
                <w:lang w:eastAsia="zh-Hans"/>
              </w:rPr>
              <w:t>47,565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E1C2F" w14:textId="77777777" w:rsidR="005F2920" w:rsidRDefault="005F2920">
            <w:pPr>
              <w:jc w:val="right"/>
            </w:pPr>
            <w:r>
              <w:rPr>
                <w:rFonts w:ascii="宋体" w:hAnsi="宋体" w:hint="eastAsia"/>
                <w:szCs w:val="24"/>
                <w:lang w:eastAsia="zh-Hans"/>
              </w:rPr>
              <w:t>20,494,807.20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C1710" w14:textId="77777777" w:rsidR="005F2920" w:rsidRDefault="005F2920">
            <w:pPr>
              <w:jc w:val="right"/>
            </w:pPr>
            <w:r>
              <w:rPr>
                <w:rFonts w:ascii="宋体" w:hAnsi="宋体" w:hint="eastAsia"/>
                <w:szCs w:val="24"/>
                <w:lang w:eastAsia="zh-Hans"/>
              </w:rPr>
              <w:t>6.58</w:t>
            </w:r>
          </w:p>
        </w:tc>
      </w:tr>
      <w:tr w:rsidR="00296EAA" w14:paraId="74AEC336"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E81A2" w14:textId="77777777" w:rsidR="005F2920" w:rsidRDefault="005F292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010CB" w14:textId="77777777" w:rsidR="005F2920" w:rsidRDefault="005F292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13FFE" w14:textId="77777777" w:rsidR="005F2920" w:rsidRDefault="005F292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0E40A" w14:textId="77777777" w:rsidR="005F2920" w:rsidRDefault="005F2920">
            <w:pPr>
              <w:jc w:val="right"/>
            </w:pPr>
            <w:r>
              <w:rPr>
                <w:rFonts w:ascii="宋体" w:hAnsi="宋体" w:hint="eastAsia"/>
                <w:szCs w:val="24"/>
                <w:lang w:eastAsia="zh-Hans"/>
              </w:rPr>
              <w:t>190,384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93BA2" w14:textId="77777777" w:rsidR="005F2920" w:rsidRDefault="005F2920">
            <w:pPr>
              <w:jc w:val="right"/>
            </w:pPr>
            <w:r>
              <w:rPr>
                <w:rFonts w:ascii="宋体" w:hAnsi="宋体" w:hint="eastAsia"/>
                <w:szCs w:val="24"/>
                <w:lang w:eastAsia="zh-Hans"/>
              </w:rPr>
              <w:t>16,116,005.60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19430" w14:textId="77777777" w:rsidR="005F2920" w:rsidRDefault="005F2920">
            <w:pPr>
              <w:jc w:val="right"/>
            </w:pPr>
            <w:r>
              <w:rPr>
                <w:rFonts w:ascii="宋体" w:hAnsi="宋体" w:hint="eastAsia"/>
                <w:szCs w:val="24"/>
                <w:lang w:eastAsia="zh-Hans"/>
              </w:rPr>
              <w:t>5.18</w:t>
            </w:r>
          </w:p>
        </w:tc>
      </w:tr>
      <w:tr w:rsidR="00296EAA" w14:paraId="7AE970E2"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3DD49" w14:textId="77777777" w:rsidR="005F2920" w:rsidRDefault="005F292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D1E4D" w14:textId="77777777" w:rsidR="005F2920" w:rsidRDefault="005F2920">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02F49" w14:textId="77777777" w:rsidR="005F2920" w:rsidRDefault="005F2920">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2F004" w14:textId="77777777" w:rsidR="005F2920" w:rsidRDefault="005F2920">
            <w:pPr>
              <w:jc w:val="right"/>
            </w:pPr>
            <w:r>
              <w:rPr>
                <w:rFonts w:ascii="宋体" w:hAnsi="宋体" w:hint="eastAsia"/>
                <w:szCs w:val="24"/>
                <w:lang w:eastAsia="zh-Hans"/>
              </w:rPr>
              <w:t>258,563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EA3E5" w14:textId="77777777" w:rsidR="005F2920" w:rsidRDefault="005F2920">
            <w:pPr>
              <w:jc w:val="right"/>
            </w:pPr>
            <w:r>
              <w:rPr>
                <w:rFonts w:ascii="宋体" w:hAnsi="宋体" w:hint="eastAsia"/>
                <w:szCs w:val="24"/>
                <w:lang w:eastAsia="zh-Hans"/>
              </w:rPr>
              <w:t>9,933,990.46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244E1" w14:textId="77777777" w:rsidR="005F2920" w:rsidRDefault="005F2920">
            <w:pPr>
              <w:jc w:val="right"/>
            </w:pPr>
            <w:r>
              <w:rPr>
                <w:rFonts w:ascii="宋体" w:hAnsi="宋体" w:hint="eastAsia"/>
                <w:szCs w:val="24"/>
                <w:lang w:eastAsia="zh-Hans"/>
              </w:rPr>
              <w:t>3.19</w:t>
            </w:r>
          </w:p>
        </w:tc>
      </w:tr>
      <w:tr w:rsidR="00296EAA" w14:paraId="266AFF2A"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C85C3" w14:textId="77777777" w:rsidR="005F2920" w:rsidRDefault="005F292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466D3" w14:textId="77777777" w:rsidR="005F2920" w:rsidRDefault="005F2920">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99674" w14:textId="77777777" w:rsidR="005F2920" w:rsidRDefault="005F2920">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DA5E7" w14:textId="77777777" w:rsidR="005F2920" w:rsidRDefault="005F2920">
            <w:pPr>
              <w:jc w:val="right"/>
            </w:pPr>
            <w:r>
              <w:rPr>
                <w:rFonts w:ascii="宋体" w:hAnsi="宋体" w:hint="eastAsia"/>
                <w:szCs w:val="24"/>
                <w:lang w:eastAsia="zh-Hans"/>
              </w:rPr>
              <w:t>403,400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24684" w14:textId="77777777" w:rsidR="005F2920" w:rsidRDefault="005F2920">
            <w:pPr>
              <w:jc w:val="right"/>
            </w:pPr>
            <w:r>
              <w:rPr>
                <w:rFonts w:ascii="宋体" w:hAnsi="宋体" w:hint="eastAsia"/>
                <w:szCs w:val="24"/>
                <w:lang w:eastAsia="zh-Hans"/>
              </w:rPr>
              <w:t>9,899,436.00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8073F" w14:textId="77777777" w:rsidR="005F2920" w:rsidRDefault="005F2920">
            <w:pPr>
              <w:jc w:val="right"/>
            </w:pPr>
            <w:r>
              <w:rPr>
                <w:rFonts w:ascii="宋体" w:hAnsi="宋体" w:hint="eastAsia"/>
                <w:szCs w:val="24"/>
                <w:lang w:eastAsia="zh-Hans"/>
              </w:rPr>
              <w:t>3.18</w:t>
            </w:r>
          </w:p>
        </w:tc>
      </w:tr>
      <w:tr w:rsidR="00296EAA" w14:paraId="51C654E1"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BAAB9" w14:textId="77777777" w:rsidR="005F2920" w:rsidRDefault="005F292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16B73" w14:textId="77777777" w:rsidR="005F2920" w:rsidRDefault="005F292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3F884" w14:textId="77777777" w:rsidR="005F2920" w:rsidRDefault="005F292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19C58" w14:textId="77777777" w:rsidR="005F2920" w:rsidRDefault="005F2920">
            <w:pPr>
              <w:jc w:val="right"/>
            </w:pPr>
            <w:r>
              <w:rPr>
                <w:rFonts w:ascii="宋体" w:hAnsi="宋体" w:hint="eastAsia"/>
                <w:szCs w:val="24"/>
                <w:lang w:eastAsia="zh-Hans"/>
              </w:rPr>
              <w:t>284,500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7C53F" w14:textId="77777777" w:rsidR="005F2920" w:rsidRDefault="005F2920">
            <w:pPr>
              <w:jc w:val="right"/>
            </w:pPr>
            <w:r>
              <w:rPr>
                <w:rFonts w:ascii="宋体" w:hAnsi="宋体" w:hint="eastAsia"/>
                <w:szCs w:val="24"/>
                <w:lang w:eastAsia="zh-Hans"/>
              </w:rPr>
              <w:t>9,806,715.00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6BD3A" w14:textId="77777777" w:rsidR="005F2920" w:rsidRDefault="005F2920">
            <w:pPr>
              <w:jc w:val="right"/>
            </w:pPr>
            <w:r>
              <w:rPr>
                <w:rFonts w:ascii="宋体" w:hAnsi="宋体" w:hint="eastAsia"/>
                <w:szCs w:val="24"/>
                <w:lang w:eastAsia="zh-Hans"/>
              </w:rPr>
              <w:t>3.15</w:t>
            </w:r>
          </w:p>
        </w:tc>
      </w:tr>
      <w:tr w:rsidR="00296EAA" w14:paraId="01A88CB1"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30A6A" w14:textId="77777777" w:rsidR="005F2920" w:rsidRDefault="005F292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353B5" w14:textId="77777777" w:rsidR="005F2920" w:rsidRDefault="005F2920">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F205F" w14:textId="77777777" w:rsidR="005F2920" w:rsidRDefault="005F2920">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99947" w14:textId="77777777" w:rsidR="005F2920" w:rsidRDefault="005F2920">
            <w:pPr>
              <w:jc w:val="right"/>
            </w:pPr>
            <w:r>
              <w:rPr>
                <w:rFonts w:ascii="宋体" w:hAnsi="宋体" w:hint="eastAsia"/>
                <w:szCs w:val="24"/>
                <w:lang w:eastAsia="zh-Hans"/>
              </w:rPr>
              <w:t>61,900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A1E8D" w14:textId="77777777" w:rsidR="005F2920" w:rsidRDefault="005F2920">
            <w:pPr>
              <w:jc w:val="right"/>
            </w:pPr>
            <w:r>
              <w:rPr>
                <w:rFonts w:ascii="宋体" w:hAnsi="宋体" w:hint="eastAsia"/>
                <w:szCs w:val="24"/>
                <w:lang w:eastAsia="zh-Hans"/>
              </w:rPr>
              <w:t>9,569,121.00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2ADF5" w14:textId="77777777" w:rsidR="005F2920" w:rsidRDefault="005F2920">
            <w:pPr>
              <w:jc w:val="right"/>
            </w:pPr>
            <w:r>
              <w:rPr>
                <w:rFonts w:ascii="宋体" w:hAnsi="宋体" w:hint="eastAsia"/>
                <w:szCs w:val="24"/>
                <w:lang w:eastAsia="zh-Hans"/>
              </w:rPr>
              <w:t>3.07</w:t>
            </w:r>
          </w:p>
        </w:tc>
      </w:tr>
      <w:tr w:rsidR="00296EAA" w14:paraId="59B77CA8"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A0478" w14:textId="77777777" w:rsidR="005F2920" w:rsidRDefault="005F292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A42D6" w14:textId="77777777" w:rsidR="005F2920" w:rsidRDefault="005F2920">
            <w:pPr>
              <w:jc w:val="center"/>
            </w:pPr>
            <w:r>
              <w:rPr>
                <w:rFonts w:ascii="宋体" w:hAnsi="宋体" w:hint="eastAsia"/>
                <w:szCs w:val="24"/>
                <w:lang w:eastAsia="zh-Hans"/>
              </w:rPr>
              <w:t>000893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30FD8" w14:textId="77777777" w:rsidR="005F2920" w:rsidRDefault="005F2920">
            <w:pPr>
              <w:jc w:val="center"/>
            </w:pPr>
            <w:r>
              <w:rPr>
                <w:rFonts w:ascii="宋体" w:hAnsi="宋体" w:hint="eastAsia"/>
                <w:szCs w:val="24"/>
                <w:lang w:eastAsia="zh-Hans"/>
              </w:rPr>
              <w:t>亚钾国际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38DF0" w14:textId="77777777" w:rsidR="005F2920" w:rsidRDefault="005F2920">
            <w:pPr>
              <w:jc w:val="right"/>
            </w:pPr>
            <w:r>
              <w:rPr>
                <w:rFonts w:ascii="宋体" w:hAnsi="宋体" w:hint="eastAsia"/>
                <w:szCs w:val="24"/>
                <w:lang w:eastAsia="zh-Hans"/>
              </w:rPr>
              <w:t>196,500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8FA11" w14:textId="77777777" w:rsidR="005F2920" w:rsidRDefault="005F2920">
            <w:pPr>
              <w:jc w:val="right"/>
            </w:pPr>
            <w:r>
              <w:rPr>
                <w:rFonts w:ascii="宋体" w:hAnsi="宋体" w:hint="eastAsia"/>
                <w:szCs w:val="24"/>
                <w:lang w:eastAsia="zh-Hans"/>
              </w:rPr>
              <w:t>9,426,105.00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E3BC4" w14:textId="77777777" w:rsidR="005F2920" w:rsidRDefault="005F2920">
            <w:pPr>
              <w:jc w:val="right"/>
            </w:pPr>
            <w:r>
              <w:rPr>
                <w:rFonts w:ascii="宋体" w:hAnsi="宋体" w:hint="eastAsia"/>
                <w:szCs w:val="24"/>
                <w:lang w:eastAsia="zh-Hans"/>
              </w:rPr>
              <w:t>3.03</w:t>
            </w:r>
          </w:p>
        </w:tc>
      </w:tr>
      <w:tr w:rsidR="00296EAA" w14:paraId="7429EF91"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62A8C" w14:textId="77777777" w:rsidR="005F2920" w:rsidRDefault="005F292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B1DD2" w14:textId="77777777" w:rsidR="005F2920" w:rsidRDefault="005F2920">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3B691" w14:textId="77777777" w:rsidR="005F2920" w:rsidRDefault="005F2920">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F91C5" w14:textId="77777777" w:rsidR="005F2920" w:rsidRDefault="005F2920">
            <w:pPr>
              <w:jc w:val="right"/>
            </w:pPr>
            <w:r>
              <w:rPr>
                <w:rFonts w:ascii="宋体" w:hAnsi="宋体" w:hint="eastAsia"/>
                <w:szCs w:val="24"/>
                <w:lang w:eastAsia="zh-Hans"/>
              </w:rPr>
              <w:t>172,900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81C23" w14:textId="77777777" w:rsidR="005F2920" w:rsidRDefault="005F2920">
            <w:pPr>
              <w:jc w:val="right"/>
            </w:pPr>
            <w:r>
              <w:rPr>
                <w:rFonts w:ascii="宋体" w:hAnsi="宋体" w:hint="eastAsia"/>
                <w:szCs w:val="24"/>
                <w:lang w:eastAsia="zh-Hans"/>
              </w:rPr>
              <w:t>8,978,697.00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C684B" w14:textId="77777777" w:rsidR="005F2920" w:rsidRDefault="005F2920">
            <w:pPr>
              <w:jc w:val="right"/>
            </w:pPr>
            <w:r>
              <w:rPr>
                <w:rFonts w:ascii="宋体" w:hAnsi="宋体" w:hint="eastAsia"/>
                <w:szCs w:val="24"/>
                <w:lang w:eastAsia="zh-Hans"/>
              </w:rPr>
              <w:t>2.88</w:t>
            </w:r>
          </w:p>
        </w:tc>
      </w:tr>
      <w:tr w:rsidR="00296EAA" w14:paraId="707C651A" w14:textId="77777777">
        <w:trPr>
          <w:divId w:val="2528601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88437" w14:textId="77777777" w:rsidR="005F2920" w:rsidRDefault="005F292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4F33F" w14:textId="77777777" w:rsidR="005F2920" w:rsidRDefault="005F292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47362" w14:textId="77777777" w:rsidR="005F2920" w:rsidRDefault="005F292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B329E" w14:textId="77777777" w:rsidR="005F2920" w:rsidRDefault="005F2920">
            <w:pPr>
              <w:jc w:val="right"/>
            </w:pPr>
            <w:r>
              <w:rPr>
                <w:rFonts w:ascii="宋体" w:hAnsi="宋体" w:hint="eastAsia"/>
                <w:szCs w:val="24"/>
                <w:lang w:eastAsia="zh-Hans"/>
              </w:rPr>
              <w:t>149,446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1C432" w14:textId="77777777" w:rsidR="005F2920" w:rsidRDefault="005F2920">
            <w:pPr>
              <w:jc w:val="right"/>
            </w:pPr>
            <w:r>
              <w:rPr>
                <w:rFonts w:ascii="宋体" w:hAnsi="宋体" w:hint="eastAsia"/>
                <w:szCs w:val="24"/>
                <w:lang w:eastAsia="zh-Hans"/>
              </w:rPr>
              <w:t>7,766,708.62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0821D" w14:textId="77777777" w:rsidR="005F2920" w:rsidRDefault="005F2920">
            <w:pPr>
              <w:jc w:val="right"/>
            </w:pPr>
            <w:r>
              <w:rPr>
                <w:rFonts w:ascii="宋体" w:hAnsi="宋体" w:hint="eastAsia"/>
                <w:szCs w:val="24"/>
                <w:lang w:eastAsia="zh-Hans"/>
              </w:rPr>
              <w:t>2.49</w:t>
            </w:r>
          </w:p>
        </w:tc>
      </w:tr>
    </w:tbl>
    <w:p w14:paraId="6F3F9D17" w14:textId="77777777" w:rsidR="005F2920" w:rsidRDefault="005F292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96EAA" w14:paraId="633E6019"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7A64ED" w14:textId="77777777" w:rsidR="005F2920" w:rsidRDefault="005F292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7ED5C0" w14:textId="77777777" w:rsidR="005F2920" w:rsidRDefault="005F292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B181E" w14:textId="77777777" w:rsidR="005F2920" w:rsidRDefault="005F292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3909EB" w14:textId="77777777" w:rsidR="005F2920" w:rsidRDefault="005F2920">
            <w:pPr>
              <w:jc w:val="center"/>
            </w:pPr>
            <w:r>
              <w:rPr>
                <w:rFonts w:ascii="宋体" w:hAnsi="宋体" w:hint="eastAsia"/>
                <w:color w:val="000000"/>
              </w:rPr>
              <w:t xml:space="preserve">占基金资产净值比例（%） </w:t>
            </w:r>
          </w:p>
        </w:tc>
      </w:tr>
      <w:tr w:rsidR="00296EAA" w14:paraId="0BFD97CD"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F9964A" w14:textId="77777777" w:rsidR="005F2920" w:rsidRDefault="005F292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0794B7" w14:textId="77777777" w:rsidR="005F2920" w:rsidRDefault="005F292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E0DF76" w14:textId="77777777" w:rsidR="005F2920" w:rsidRDefault="005F2920">
            <w:pPr>
              <w:jc w:val="right"/>
            </w:pPr>
            <w:r>
              <w:rPr>
                <w:rFonts w:ascii="宋体" w:hAnsi="宋体" w:hint="eastAsia"/>
                <w:szCs w:val="24"/>
                <w:lang w:eastAsia="zh-Hans"/>
              </w:rPr>
              <w:t>28,784,420.59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E98770" w14:textId="77777777" w:rsidR="005F2920" w:rsidRDefault="005F2920">
            <w:pPr>
              <w:jc w:val="right"/>
            </w:pPr>
            <w:r>
              <w:rPr>
                <w:rFonts w:ascii="宋体" w:hAnsi="宋体" w:hint="eastAsia"/>
                <w:szCs w:val="24"/>
                <w:lang w:eastAsia="zh-Hans"/>
              </w:rPr>
              <w:t>9.24</w:t>
            </w:r>
          </w:p>
        </w:tc>
      </w:tr>
      <w:tr w:rsidR="00296EAA" w14:paraId="778EF41D"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B54B39" w14:textId="77777777" w:rsidR="005F2920" w:rsidRDefault="005F292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138294" w14:textId="77777777" w:rsidR="005F2920" w:rsidRDefault="005F292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853C6F"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6C51E8" w14:textId="77777777" w:rsidR="005F2920" w:rsidRDefault="005F2920">
            <w:pPr>
              <w:jc w:val="right"/>
            </w:pPr>
            <w:r>
              <w:rPr>
                <w:rFonts w:ascii="宋体" w:hAnsi="宋体" w:hint="eastAsia"/>
                <w:szCs w:val="24"/>
                <w:lang w:eastAsia="zh-Hans"/>
              </w:rPr>
              <w:t>-</w:t>
            </w:r>
          </w:p>
        </w:tc>
      </w:tr>
      <w:tr w:rsidR="00296EAA" w14:paraId="37B5D85F"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37FDA3" w14:textId="77777777" w:rsidR="005F2920" w:rsidRDefault="005F292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0A2EDA" w14:textId="77777777" w:rsidR="005F2920" w:rsidRDefault="005F292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B45CD4" w14:textId="77777777" w:rsidR="005F2920" w:rsidRDefault="005F2920">
            <w:pPr>
              <w:jc w:val="right"/>
            </w:pPr>
            <w:r>
              <w:rPr>
                <w:rFonts w:ascii="宋体" w:hAnsi="宋体" w:hint="eastAsia"/>
                <w:szCs w:val="24"/>
                <w:lang w:eastAsia="zh-Hans"/>
              </w:rPr>
              <w:t>60,241,079.45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59FFC4" w14:textId="77777777" w:rsidR="005F2920" w:rsidRDefault="005F2920">
            <w:pPr>
              <w:jc w:val="right"/>
            </w:pPr>
            <w:r>
              <w:rPr>
                <w:rFonts w:ascii="宋体" w:hAnsi="宋体" w:hint="eastAsia"/>
                <w:szCs w:val="24"/>
                <w:lang w:eastAsia="zh-Hans"/>
              </w:rPr>
              <w:t>19.34</w:t>
            </w:r>
          </w:p>
        </w:tc>
      </w:tr>
      <w:tr w:rsidR="00296EAA" w14:paraId="7D37F0C5"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3A8A01" w14:textId="77777777" w:rsidR="005F2920" w:rsidRDefault="005F292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CD2BDF" w14:textId="77777777" w:rsidR="005F2920" w:rsidRDefault="005F292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18C5E1" w14:textId="77777777" w:rsidR="005F2920" w:rsidRDefault="005F2920">
            <w:pPr>
              <w:jc w:val="right"/>
            </w:pPr>
            <w:r>
              <w:rPr>
                <w:rFonts w:ascii="宋体" w:hAnsi="宋体" w:hint="eastAsia"/>
                <w:szCs w:val="24"/>
                <w:lang w:eastAsia="zh-Hans"/>
              </w:rPr>
              <w:t>50,234,904.11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6C279A" w14:textId="77777777" w:rsidR="005F2920" w:rsidRDefault="005F2920">
            <w:pPr>
              <w:jc w:val="right"/>
            </w:pPr>
            <w:r>
              <w:rPr>
                <w:rFonts w:ascii="宋体" w:hAnsi="宋体" w:hint="eastAsia"/>
                <w:szCs w:val="24"/>
                <w:lang w:eastAsia="zh-Hans"/>
              </w:rPr>
              <w:t>16.13</w:t>
            </w:r>
          </w:p>
        </w:tc>
      </w:tr>
      <w:tr w:rsidR="00296EAA" w14:paraId="58D2B2CA"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61CADC0" w14:textId="77777777" w:rsidR="005F2920" w:rsidRDefault="005F2920">
            <w:pPr>
              <w:jc w:val="center"/>
            </w:pPr>
            <w:r>
              <w:rPr>
                <w:rFonts w:ascii="宋体" w:hAnsi="宋体" w:hint="eastAsia"/>
              </w:rPr>
              <w:lastRenderedPageBreak/>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428613" w14:textId="77777777" w:rsidR="005F2920" w:rsidRDefault="005F292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1E7340"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382AE6" w14:textId="77777777" w:rsidR="005F2920" w:rsidRDefault="005F2920">
            <w:pPr>
              <w:jc w:val="right"/>
            </w:pPr>
            <w:r>
              <w:rPr>
                <w:rFonts w:ascii="宋体" w:hAnsi="宋体" w:hint="eastAsia"/>
                <w:szCs w:val="24"/>
                <w:lang w:eastAsia="zh-Hans"/>
              </w:rPr>
              <w:t>-</w:t>
            </w:r>
          </w:p>
        </w:tc>
      </w:tr>
      <w:tr w:rsidR="00296EAA" w14:paraId="1CD6A5EB"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21C554" w14:textId="77777777" w:rsidR="005F2920" w:rsidRDefault="005F292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9BE81A" w14:textId="77777777" w:rsidR="005F2920" w:rsidRDefault="005F2920">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241D51"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85673E" w14:textId="77777777" w:rsidR="005F2920" w:rsidRDefault="005F2920">
            <w:pPr>
              <w:jc w:val="right"/>
            </w:pPr>
            <w:r>
              <w:rPr>
                <w:rFonts w:ascii="宋体" w:hAnsi="宋体" w:hint="eastAsia"/>
                <w:szCs w:val="24"/>
                <w:lang w:eastAsia="zh-Hans"/>
              </w:rPr>
              <w:t>-</w:t>
            </w:r>
          </w:p>
        </w:tc>
      </w:tr>
      <w:tr w:rsidR="00296EAA" w14:paraId="2C4678E0"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A7ED87" w14:textId="77777777" w:rsidR="005F2920" w:rsidRDefault="005F292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5046FB" w14:textId="77777777" w:rsidR="005F2920" w:rsidRDefault="005F292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BFFD99"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70BE6F" w14:textId="77777777" w:rsidR="005F2920" w:rsidRDefault="005F2920">
            <w:pPr>
              <w:jc w:val="right"/>
            </w:pPr>
            <w:r>
              <w:rPr>
                <w:rFonts w:ascii="宋体" w:hAnsi="宋体" w:hint="eastAsia"/>
                <w:szCs w:val="24"/>
                <w:lang w:eastAsia="zh-Hans"/>
              </w:rPr>
              <w:t>-</w:t>
            </w:r>
          </w:p>
        </w:tc>
      </w:tr>
      <w:tr w:rsidR="00296EAA" w14:paraId="333CE591"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97E6F8" w14:textId="77777777" w:rsidR="005F2920" w:rsidRDefault="005F292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847769" w14:textId="77777777" w:rsidR="005F2920" w:rsidRDefault="005F292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E5BD46"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9B273B" w14:textId="77777777" w:rsidR="005F2920" w:rsidRDefault="005F2920">
            <w:pPr>
              <w:jc w:val="right"/>
            </w:pPr>
            <w:r>
              <w:rPr>
                <w:rFonts w:ascii="宋体" w:hAnsi="宋体" w:hint="eastAsia"/>
                <w:szCs w:val="24"/>
                <w:lang w:eastAsia="zh-Hans"/>
              </w:rPr>
              <w:t>-</w:t>
            </w:r>
          </w:p>
        </w:tc>
      </w:tr>
      <w:tr w:rsidR="00296EAA" w14:paraId="0D93B236"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3FAB11" w14:textId="77777777" w:rsidR="005F2920" w:rsidRDefault="005F292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927848" w14:textId="77777777" w:rsidR="005F2920" w:rsidRDefault="005F292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1D121C"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4C9F9A" w14:textId="77777777" w:rsidR="005F2920" w:rsidRDefault="005F2920">
            <w:pPr>
              <w:jc w:val="right"/>
            </w:pPr>
            <w:r>
              <w:rPr>
                <w:rFonts w:ascii="宋体" w:hAnsi="宋体" w:hint="eastAsia"/>
                <w:szCs w:val="24"/>
                <w:lang w:eastAsia="zh-Hans"/>
              </w:rPr>
              <w:t>-</w:t>
            </w:r>
          </w:p>
        </w:tc>
      </w:tr>
      <w:tr w:rsidR="00296EAA" w14:paraId="761F324E"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287E3B" w14:textId="77777777" w:rsidR="005F2920" w:rsidRDefault="005F292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7F9B9E" w14:textId="77777777" w:rsidR="005F2920" w:rsidRDefault="005F292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81AB61" w14:textId="77777777" w:rsidR="005F2920" w:rsidRDefault="005F292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987DCE" w14:textId="77777777" w:rsidR="005F2920" w:rsidRDefault="005F2920">
            <w:pPr>
              <w:jc w:val="right"/>
            </w:pPr>
            <w:r>
              <w:rPr>
                <w:rFonts w:ascii="宋体" w:hAnsi="宋体" w:hint="eastAsia"/>
                <w:szCs w:val="24"/>
                <w:lang w:eastAsia="zh-Hans"/>
              </w:rPr>
              <w:t>-</w:t>
            </w:r>
          </w:p>
        </w:tc>
      </w:tr>
      <w:tr w:rsidR="00296EAA" w14:paraId="381A5AF8" w14:textId="77777777">
        <w:trPr>
          <w:divId w:val="188910585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5D9DEE3" w14:textId="77777777" w:rsidR="005F2920" w:rsidRDefault="005F292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486A61" w14:textId="77777777" w:rsidR="005F2920" w:rsidRDefault="005F292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25E2C2" w14:textId="77777777" w:rsidR="005F2920" w:rsidRDefault="005F2920">
            <w:pPr>
              <w:jc w:val="right"/>
            </w:pPr>
            <w:r>
              <w:rPr>
                <w:rFonts w:ascii="宋体" w:hAnsi="宋体" w:hint="eastAsia"/>
                <w:szCs w:val="24"/>
                <w:lang w:eastAsia="zh-Hans"/>
              </w:rPr>
              <w:t>89,025,500.04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78E5F3" w14:textId="77777777" w:rsidR="005F2920" w:rsidRDefault="005F2920">
            <w:pPr>
              <w:jc w:val="right"/>
            </w:pPr>
            <w:r>
              <w:rPr>
                <w:rFonts w:ascii="宋体" w:hAnsi="宋体" w:hint="eastAsia"/>
                <w:szCs w:val="24"/>
                <w:lang w:eastAsia="zh-Hans"/>
              </w:rPr>
              <w:t>28.59</w:t>
            </w:r>
          </w:p>
        </w:tc>
      </w:tr>
    </w:tbl>
    <w:p w14:paraId="66209EB4" w14:textId="77777777" w:rsidR="005F2920" w:rsidRDefault="005F2920">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96EAA" w14:paraId="2C4874DA" w14:textId="77777777">
        <w:trPr>
          <w:divId w:val="40699861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754B97" w14:textId="77777777" w:rsidR="005F2920" w:rsidRDefault="005F292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E19E6D" w14:textId="77777777" w:rsidR="005F2920" w:rsidRDefault="005F292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87626A" w14:textId="77777777" w:rsidR="005F2920" w:rsidRDefault="005F292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D7336E" w14:textId="77777777" w:rsidR="005F2920" w:rsidRDefault="005F292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DCE246" w14:textId="77777777" w:rsidR="005F2920" w:rsidRDefault="005F292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E14CB5" w14:textId="77777777" w:rsidR="005F2920" w:rsidRDefault="005F2920">
            <w:pPr>
              <w:jc w:val="center"/>
            </w:pPr>
            <w:r>
              <w:rPr>
                <w:rFonts w:ascii="宋体" w:hAnsi="宋体" w:hint="eastAsia"/>
                <w:color w:val="000000"/>
              </w:rPr>
              <w:t xml:space="preserve">占基金资产净值比例（%） </w:t>
            </w:r>
          </w:p>
        </w:tc>
      </w:tr>
      <w:tr w:rsidR="00296EAA" w14:paraId="644C2B7A" w14:textId="77777777">
        <w:trPr>
          <w:divId w:val="4069986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79267" w14:textId="77777777" w:rsidR="005F2920" w:rsidRDefault="005F292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87700" w14:textId="77777777" w:rsidR="005F2920" w:rsidRDefault="005F2920">
            <w:pPr>
              <w:jc w:val="center"/>
            </w:pPr>
            <w:r>
              <w:rPr>
                <w:rFonts w:ascii="宋体" w:hAnsi="宋体" w:hint="eastAsia"/>
                <w:szCs w:val="24"/>
                <w:lang w:eastAsia="zh-Hans"/>
              </w:rPr>
              <w:t>250431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9FEF6" w14:textId="77777777" w:rsidR="005F2920" w:rsidRDefault="005F2920">
            <w:pPr>
              <w:jc w:val="center"/>
            </w:pPr>
            <w:r>
              <w:rPr>
                <w:rFonts w:ascii="宋体" w:hAnsi="宋体" w:hint="eastAsia"/>
                <w:szCs w:val="24"/>
                <w:lang w:eastAsia="zh-Hans"/>
              </w:rPr>
              <w:t>25农发31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6F38A" w14:textId="77777777" w:rsidR="005F2920" w:rsidRDefault="005F2920">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9DC9C" w14:textId="77777777" w:rsidR="005F2920" w:rsidRDefault="005F2920">
            <w:pPr>
              <w:jc w:val="right"/>
            </w:pPr>
            <w:r>
              <w:rPr>
                <w:rFonts w:ascii="宋体" w:hAnsi="宋体" w:hint="eastAsia"/>
                <w:szCs w:val="24"/>
                <w:lang w:eastAsia="zh-Hans"/>
              </w:rPr>
              <w:t>50,234,904.11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12098" w14:textId="77777777" w:rsidR="005F2920" w:rsidRDefault="005F2920">
            <w:pPr>
              <w:jc w:val="right"/>
            </w:pPr>
            <w:r>
              <w:rPr>
                <w:rFonts w:ascii="宋体" w:hAnsi="宋体" w:hint="eastAsia"/>
                <w:szCs w:val="24"/>
                <w:lang w:eastAsia="zh-Hans"/>
              </w:rPr>
              <w:t>16.13</w:t>
            </w:r>
          </w:p>
        </w:tc>
      </w:tr>
      <w:tr w:rsidR="00296EAA" w14:paraId="076904AD" w14:textId="77777777">
        <w:trPr>
          <w:divId w:val="4069986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CD35E" w14:textId="77777777" w:rsidR="005F2920" w:rsidRDefault="005F292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59424" w14:textId="77777777" w:rsidR="005F2920" w:rsidRDefault="005F2920">
            <w:pPr>
              <w:jc w:val="center"/>
            </w:pPr>
            <w:r>
              <w:rPr>
                <w:rFonts w:ascii="宋体" w:hAnsi="宋体" w:hint="eastAsia"/>
                <w:szCs w:val="24"/>
                <w:lang w:eastAsia="zh-Hans"/>
              </w:rPr>
              <w:t>212580041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0FE7E" w14:textId="77777777" w:rsidR="005F2920" w:rsidRDefault="005F2920">
            <w:pPr>
              <w:jc w:val="center"/>
            </w:pPr>
            <w:r>
              <w:rPr>
                <w:rFonts w:ascii="宋体" w:hAnsi="宋体" w:hint="eastAsia"/>
                <w:szCs w:val="24"/>
                <w:lang w:eastAsia="zh-Hans"/>
              </w:rPr>
              <w:t>25南京银行债02BC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02AAC" w14:textId="77777777" w:rsidR="005F2920" w:rsidRDefault="005F292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1EEE9" w14:textId="77777777" w:rsidR="005F2920" w:rsidRDefault="005F2920">
            <w:pPr>
              <w:jc w:val="right"/>
            </w:pPr>
            <w:r>
              <w:rPr>
                <w:rFonts w:ascii="宋体" w:hAnsi="宋体" w:hint="eastAsia"/>
                <w:szCs w:val="24"/>
                <w:lang w:eastAsia="zh-Hans"/>
              </w:rPr>
              <w:t>10,006,175.34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74619" w14:textId="77777777" w:rsidR="005F2920" w:rsidRDefault="005F2920">
            <w:pPr>
              <w:jc w:val="right"/>
            </w:pPr>
            <w:r>
              <w:rPr>
                <w:rFonts w:ascii="宋体" w:hAnsi="宋体" w:hint="eastAsia"/>
                <w:szCs w:val="24"/>
                <w:lang w:eastAsia="zh-Hans"/>
              </w:rPr>
              <w:t>3.21</w:t>
            </w:r>
          </w:p>
        </w:tc>
      </w:tr>
      <w:tr w:rsidR="00296EAA" w14:paraId="54DA4F25" w14:textId="77777777">
        <w:trPr>
          <w:divId w:val="4069986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52149" w14:textId="77777777" w:rsidR="005F2920" w:rsidRDefault="005F292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ACF74" w14:textId="77777777" w:rsidR="005F2920" w:rsidRDefault="005F2920">
            <w:pPr>
              <w:jc w:val="center"/>
            </w:pPr>
            <w:r>
              <w:rPr>
                <w:rFonts w:ascii="宋体" w:hAnsi="宋体" w:hint="eastAsia"/>
                <w:szCs w:val="24"/>
                <w:lang w:eastAsia="zh-Hans"/>
              </w:rPr>
              <w:t>2500002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55820" w14:textId="77777777" w:rsidR="005F2920" w:rsidRDefault="005F2920">
            <w:pPr>
              <w:jc w:val="center"/>
            </w:pPr>
            <w:r>
              <w:rPr>
                <w:rFonts w:ascii="宋体" w:hAnsi="宋体" w:hint="eastAsia"/>
                <w:szCs w:val="24"/>
                <w:lang w:eastAsia="zh-Hans"/>
              </w:rPr>
              <w:t>25超长特别国债02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2AC4D" w14:textId="77777777" w:rsidR="005F2920" w:rsidRDefault="005F292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8D64B" w14:textId="77777777" w:rsidR="005F2920" w:rsidRDefault="005F2920">
            <w:pPr>
              <w:jc w:val="right"/>
            </w:pPr>
            <w:r>
              <w:rPr>
                <w:rFonts w:ascii="宋体" w:hAnsi="宋体" w:hint="eastAsia"/>
                <w:szCs w:val="24"/>
                <w:lang w:eastAsia="zh-Hans"/>
              </w:rPr>
              <w:t>9,218,120.88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1F0A8" w14:textId="77777777" w:rsidR="005F2920" w:rsidRDefault="005F2920">
            <w:pPr>
              <w:jc w:val="right"/>
            </w:pPr>
            <w:r>
              <w:rPr>
                <w:rFonts w:ascii="宋体" w:hAnsi="宋体" w:hint="eastAsia"/>
                <w:szCs w:val="24"/>
                <w:lang w:eastAsia="zh-Hans"/>
              </w:rPr>
              <w:t>2.96</w:t>
            </w:r>
          </w:p>
        </w:tc>
      </w:tr>
      <w:tr w:rsidR="00296EAA" w14:paraId="4B7D6A24" w14:textId="77777777">
        <w:trPr>
          <w:divId w:val="4069986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B30DB" w14:textId="77777777" w:rsidR="005F2920" w:rsidRDefault="005F292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E2968" w14:textId="77777777" w:rsidR="005F2920" w:rsidRDefault="005F2920">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7718B" w14:textId="77777777" w:rsidR="005F2920" w:rsidRDefault="005F2920">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BB797" w14:textId="77777777" w:rsidR="005F2920" w:rsidRDefault="005F2920">
            <w:pPr>
              <w:jc w:val="right"/>
            </w:pPr>
            <w:r>
              <w:rPr>
                <w:rFonts w:ascii="宋体" w:hAnsi="宋体" w:hint="eastAsia"/>
                <w:szCs w:val="24"/>
                <w:lang w:eastAsia="zh-Hans"/>
              </w:rPr>
              <w:t>80,000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EEA61" w14:textId="77777777" w:rsidR="005F2920" w:rsidRDefault="005F2920">
            <w:pPr>
              <w:jc w:val="right"/>
            </w:pPr>
            <w:r>
              <w:rPr>
                <w:rFonts w:ascii="宋体" w:hAnsi="宋体" w:hint="eastAsia"/>
                <w:szCs w:val="24"/>
                <w:lang w:eastAsia="zh-Hans"/>
              </w:rPr>
              <w:t>8,080,771.51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272DC" w14:textId="77777777" w:rsidR="005F2920" w:rsidRDefault="005F2920">
            <w:pPr>
              <w:jc w:val="right"/>
            </w:pPr>
            <w:r>
              <w:rPr>
                <w:rFonts w:ascii="宋体" w:hAnsi="宋体" w:hint="eastAsia"/>
                <w:szCs w:val="24"/>
                <w:lang w:eastAsia="zh-Hans"/>
              </w:rPr>
              <w:t>2.59</w:t>
            </w:r>
          </w:p>
        </w:tc>
      </w:tr>
      <w:tr w:rsidR="00296EAA" w14:paraId="4237E143" w14:textId="77777777">
        <w:trPr>
          <w:divId w:val="4069986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DC99C" w14:textId="77777777" w:rsidR="005F2920" w:rsidRDefault="005F292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C3A0B" w14:textId="77777777" w:rsidR="005F2920" w:rsidRDefault="005F2920">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B7FB3" w14:textId="77777777" w:rsidR="005F2920" w:rsidRDefault="005F2920">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EEFB6" w14:textId="77777777" w:rsidR="005F2920" w:rsidRDefault="005F2920">
            <w:pPr>
              <w:jc w:val="right"/>
            </w:pPr>
            <w:r>
              <w:rPr>
                <w:rFonts w:ascii="宋体" w:hAnsi="宋体" w:hint="eastAsia"/>
                <w:szCs w:val="24"/>
                <w:lang w:eastAsia="zh-Hans"/>
              </w:rPr>
              <w:t>55,000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EF25B" w14:textId="77777777" w:rsidR="005F2920" w:rsidRDefault="005F2920">
            <w:pPr>
              <w:jc w:val="right"/>
            </w:pPr>
            <w:r>
              <w:rPr>
                <w:rFonts w:ascii="宋体" w:hAnsi="宋体" w:hint="eastAsia"/>
                <w:szCs w:val="24"/>
                <w:lang w:eastAsia="zh-Hans"/>
              </w:rPr>
              <w:t>5,561,352.88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473B5" w14:textId="77777777" w:rsidR="005F2920" w:rsidRDefault="005F2920">
            <w:pPr>
              <w:jc w:val="right"/>
            </w:pPr>
            <w:r>
              <w:rPr>
                <w:rFonts w:ascii="宋体" w:hAnsi="宋体" w:hint="eastAsia"/>
                <w:szCs w:val="24"/>
                <w:lang w:eastAsia="zh-Hans"/>
              </w:rPr>
              <w:t>1.79</w:t>
            </w:r>
          </w:p>
        </w:tc>
      </w:tr>
    </w:tbl>
    <w:p w14:paraId="74C9A080" w14:textId="77777777" w:rsidR="005F2920" w:rsidRDefault="005F2920">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r>
        <w:rPr>
          <w:rFonts w:hAnsi="宋体" w:hint="eastAsia"/>
        </w:rPr>
        <w:t xml:space="preserve"> </w:t>
      </w:r>
    </w:p>
    <w:p w14:paraId="761F548B" w14:textId="77777777" w:rsidR="005F2920" w:rsidRDefault="005F292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AFB570D" w14:textId="77777777" w:rsidR="005F2920" w:rsidRDefault="005F2920">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r>
        <w:rPr>
          <w:rFonts w:hAnsi="宋体" w:hint="eastAsia"/>
        </w:rPr>
        <w:t xml:space="preserve"> </w:t>
      </w:r>
    </w:p>
    <w:p w14:paraId="07475FA0" w14:textId="77777777" w:rsidR="005F2920" w:rsidRDefault="005F2920">
      <w:pPr>
        <w:spacing w:line="360" w:lineRule="auto"/>
        <w:ind w:firstLineChars="200" w:firstLine="420"/>
        <w:divId w:val="1521120257"/>
      </w:pPr>
      <w:r>
        <w:rPr>
          <w:rFonts w:ascii="宋体" w:hAnsi="宋体" w:hint="eastAsia"/>
          <w:szCs w:val="21"/>
          <w:lang w:eastAsia="zh-Hans"/>
        </w:rPr>
        <w:t>本基金本报告期末未持有贵金属。</w:t>
      </w:r>
    </w:p>
    <w:p w14:paraId="582C1EB1" w14:textId="77777777" w:rsidR="005F2920" w:rsidRDefault="005F2920">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r>
        <w:rPr>
          <w:rFonts w:hAnsi="宋体" w:hint="eastAsia"/>
        </w:rPr>
        <w:t xml:space="preserve"> </w:t>
      </w:r>
      <w:bookmarkEnd w:id="242"/>
    </w:p>
    <w:p w14:paraId="2FA25487" w14:textId="77777777" w:rsidR="005F2920" w:rsidRDefault="005F2920">
      <w:pPr>
        <w:spacing w:line="360" w:lineRule="auto"/>
        <w:ind w:firstLineChars="200" w:firstLine="420"/>
        <w:divId w:val="79452807"/>
      </w:pPr>
      <w:r>
        <w:rPr>
          <w:rFonts w:ascii="宋体" w:hAnsi="宋体" w:hint="eastAsia"/>
          <w:szCs w:val="21"/>
          <w:lang w:eastAsia="zh-Hans"/>
        </w:rPr>
        <w:t>本基金本报告期末未持有权证。</w:t>
      </w:r>
    </w:p>
    <w:p w14:paraId="01918BEC" w14:textId="77777777" w:rsidR="005F2920" w:rsidRDefault="005F2920">
      <w:pPr>
        <w:pStyle w:val="XBRLTitle2"/>
        <w:spacing w:before="156"/>
        <w:ind w:left="454"/>
      </w:pPr>
      <w:bookmarkStart w:id="243" w:name="_Toc17898206"/>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
    <w:p w14:paraId="47B19E26" w14:textId="77777777" w:rsidR="005F2920" w:rsidRDefault="005F2920">
      <w:pPr>
        <w:spacing w:line="360" w:lineRule="auto"/>
        <w:ind w:firstLineChars="200" w:firstLine="420"/>
        <w:divId w:val="573317617"/>
      </w:pPr>
      <w:r>
        <w:rPr>
          <w:rFonts w:ascii="宋体" w:hAnsi="宋体" w:hint="eastAsia"/>
          <w:szCs w:val="21"/>
          <w:lang w:eastAsia="zh-Hans"/>
        </w:rPr>
        <w:t>本基金本报告期末未持有股指期货。</w:t>
      </w:r>
    </w:p>
    <w:p w14:paraId="040CE13D" w14:textId="77777777" w:rsidR="005F2920" w:rsidRDefault="005F2920">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r>
        <w:rPr>
          <w:rFonts w:hAnsi="宋体" w:hint="eastAsia"/>
        </w:rPr>
        <w:t>报告期末本基金投资的国债期货交易情况说明</w:t>
      </w:r>
      <w:bookmarkEnd w:id="244"/>
      <w:bookmarkEnd w:id="245"/>
      <w:bookmarkEnd w:id="246"/>
      <w:bookmarkEnd w:id="247"/>
      <w:bookmarkEnd w:id="248"/>
      <w:bookmarkEnd w:id="249"/>
      <w:bookmarkEnd w:id="250"/>
      <w:r>
        <w:rPr>
          <w:rFonts w:hAnsi="宋体" w:hint="eastAsia"/>
        </w:rPr>
        <w:t xml:space="preserve"> </w:t>
      </w:r>
      <w:bookmarkEnd w:id="251"/>
    </w:p>
    <w:p w14:paraId="7D29A065" w14:textId="77777777" w:rsidR="005F2920" w:rsidRDefault="005F2920">
      <w:pPr>
        <w:spacing w:line="360" w:lineRule="auto"/>
        <w:ind w:firstLineChars="200" w:firstLine="420"/>
        <w:divId w:val="611323665"/>
      </w:pPr>
      <w:bookmarkStart w:id="252" w:name="m510_01_1597"/>
      <w:bookmarkStart w:id="253" w:name="m510_01_1598"/>
      <w:bookmarkEnd w:id="252"/>
      <w:r>
        <w:rPr>
          <w:rFonts w:ascii="宋体" w:hAnsi="宋体" w:hint="eastAsia"/>
          <w:szCs w:val="21"/>
          <w:lang w:eastAsia="zh-Hans"/>
        </w:rPr>
        <w:t>本基金本报告期末未持有国债期货。</w:t>
      </w:r>
    </w:p>
    <w:p w14:paraId="40FB4E95" w14:textId="77777777" w:rsidR="005F2920" w:rsidRDefault="005F2920">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r>
        <w:rPr>
          <w:rFonts w:hAnsi="宋体" w:hint="eastAsia"/>
        </w:rPr>
        <w:t>投资组合报告附注</w:t>
      </w:r>
      <w:bookmarkEnd w:id="254"/>
      <w:bookmarkEnd w:id="255"/>
      <w:bookmarkEnd w:id="256"/>
      <w:bookmarkEnd w:id="257"/>
      <w:bookmarkEnd w:id="258"/>
      <w:bookmarkEnd w:id="259"/>
      <w:bookmarkEnd w:id="260"/>
      <w:r>
        <w:rPr>
          <w:rFonts w:hAnsi="宋体" w:hint="eastAsia"/>
        </w:rPr>
        <w:t xml:space="preserve"> </w:t>
      </w:r>
    </w:p>
    <w:p w14:paraId="040288C4" w14:textId="77777777" w:rsidR="005F2920" w:rsidRDefault="005F2920">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70458A7C" w14:textId="77777777" w:rsidR="005F2920" w:rsidRDefault="005F2920">
      <w:pPr>
        <w:spacing w:line="360" w:lineRule="auto"/>
        <w:ind w:firstLineChars="200" w:firstLine="420"/>
      </w:pPr>
      <w:r>
        <w:rPr>
          <w:rFonts w:ascii="宋体" w:hAnsi="宋体" w:hint="eastAsia"/>
        </w:rPr>
        <w:t>本基金投资的前十名证券的发行主体中，南京银行股份有限公司报告编制日前一年内曾受到国家金融监督管理总局江苏监管局的处罚，中国农业发展银行报告编制日前一年内曾受到国家金融监督管理总局的处罚。</w:t>
      </w:r>
      <w:r>
        <w:rPr>
          <w:rFonts w:ascii="宋体" w:hAnsi="宋体" w:hint="eastAsia"/>
        </w:rPr>
        <w:br/>
      </w:r>
      <w:r>
        <w:rPr>
          <w:rFonts w:ascii="宋体" w:hAnsi="宋体" w:hint="eastAsia"/>
        </w:rPr>
        <w:lastRenderedPageBreak/>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6DEBB99" w14:textId="77777777" w:rsidR="005F2920" w:rsidRDefault="005F2920">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19CF9C80" w14:textId="77777777" w:rsidR="005F2920" w:rsidRDefault="005F2920">
      <w:pPr>
        <w:spacing w:line="360" w:lineRule="auto"/>
        <w:ind w:firstLineChars="200" w:firstLine="420"/>
      </w:pPr>
      <w:r>
        <w:rPr>
          <w:rFonts w:ascii="宋体" w:hAnsi="宋体" w:hint="eastAsia"/>
        </w:rPr>
        <w:t>报告期内本基金投资的前十名股票中没有在基金合同规定备选股票库之外的股票。</w:t>
      </w:r>
    </w:p>
    <w:p w14:paraId="4CB38BA7" w14:textId="77777777" w:rsidR="005F2920" w:rsidRDefault="005F2920">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r>
        <w:rPr>
          <w:rFonts w:hint="eastAsia"/>
        </w:rPr>
        <w:t>其他资产构成</w:t>
      </w:r>
      <w:bookmarkEnd w:id="271"/>
      <w:bookmarkEnd w:id="272"/>
      <w:bookmarkEnd w:id="273"/>
      <w:bookmarkEnd w:id="274"/>
      <w:bookmarkEnd w:id="2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96EAA" w14:paraId="5BD0B95C" w14:textId="77777777">
        <w:trPr>
          <w:divId w:val="184858992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16581" w14:textId="77777777" w:rsidR="005F2920" w:rsidRDefault="005F292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FC58E" w14:textId="77777777" w:rsidR="005F2920" w:rsidRDefault="005F292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A9B32" w14:textId="77777777" w:rsidR="005F2920" w:rsidRDefault="005F2920">
            <w:pPr>
              <w:jc w:val="center"/>
            </w:pPr>
            <w:r>
              <w:rPr>
                <w:rFonts w:ascii="宋体" w:hAnsi="宋体" w:hint="eastAsia"/>
              </w:rPr>
              <w:t>金额（元）</w:t>
            </w:r>
            <w:r>
              <w:t xml:space="preserve"> </w:t>
            </w:r>
          </w:p>
        </w:tc>
      </w:tr>
      <w:tr w:rsidR="00296EAA" w14:paraId="5971EAA9"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3E359" w14:textId="77777777" w:rsidR="005F2920" w:rsidRDefault="005F292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5C0E0" w14:textId="77777777" w:rsidR="005F2920" w:rsidRDefault="005F292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50872" w14:textId="77777777" w:rsidR="005F2920" w:rsidRDefault="005F2920">
            <w:pPr>
              <w:jc w:val="right"/>
            </w:pPr>
            <w:r>
              <w:rPr>
                <w:rFonts w:ascii="宋体" w:hAnsi="宋体" w:hint="eastAsia"/>
              </w:rPr>
              <w:t>112,231.16</w:t>
            </w:r>
          </w:p>
        </w:tc>
      </w:tr>
      <w:tr w:rsidR="00296EAA" w14:paraId="4FD2CDBC"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428F2" w14:textId="77777777" w:rsidR="005F2920" w:rsidRDefault="005F292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36D56" w14:textId="77777777" w:rsidR="005F2920" w:rsidRDefault="005F292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6302C" w14:textId="77777777" w:rsidR="005F2920" w:rsidRDefault="005F2920">
            <w:pPr>
              <w:jc w:val="right"/>
            </w:pPr>
            <w:r>
              <w:rPr>
                <w:rFonts w:ascii="宋体" w:hAnsi="宋体" w:hint="eastAsia"/>
              </w:rPr>
              <w:t>7,259,729.87</w:t>
            </w:r>
          </w:p>
        </w:tc>
      </w:tr>
      <w:tr w:rsidR="00296EAA" w14:paraId="4691BE1E"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B7402" w14:textId="77777777" w:rsidR="005F2920" w:rsidRDefault="005F292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E56A1" w14:textId="77777777" w:rsidR="005F2920" w:rsidRDefault="005F292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E3986" w14:textId="77777777" w:rsidR="005F2920" w:rsidRDefault="005F2920">
            <w:pPr>
              <w:jc w:val="right"/>
            </w:pPr>
            <w:r>
              <w:rPr>
                <w:rFonts w:ascii="宋体" w:hAnsi="宋体" w:hint="eastAsia"/>
              </w:rPr>
              <w:t>-</w:t>
            </w:r>
          </w:p>
        </w:tc>
      </w:tr>
      <w:tr w:rsidR="00296EAA" w14:paraId="38C899AE"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7693A" w14:textId="77777777" w:rsidR="005F2920" w:rsidRDefault="005F292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CB83A" w14:textId="77777777" w:rsidR="005F2920" w:rsidRDefault="005F292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460F5" w14:textId="77777777" w:rsidR="005F2920" w:rsidRDefault="005F2920">
            <w:pPr>
              <w:jc w:val="right"/>
            </w:pPr>
            <w:r>
              <w:rPr>
                <w:rFonts w:ascii="宋体" w:hAnsi="宋体" w:hint="eastAsia"/>
              </w:rPr>
              <w:t>-</w:t>
            </w:r>
          </w:p>
        </w:tc>
      </w:tr>
      <w:tr w:rsidR="00296EAA" w14:paraId="04C9EE27"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C79A9" w14:textId="77777777" w:rsidR="005F2920" w:rsidRDefault="005F292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40CE2" w14:textId="77777777" w:rsidR="005F2920" w:rsidRDefault="005F292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EEE55" w14:textId="77777777" w:rsidR="005F2920" w:rsidRDefault="005F2920">
            <w:pPr>
              <w:jc w:val="right"/>
            </w:pPr>
            <w:r>
              <w:rPr>
                <w:rFonts w:ascii="宋体" w:hAnsi="宋体" w:hint="eastAsia"/>
              </w:rPr>
              <w:t>5,156.77</w:t>
            </w:r>
          </w:p>
        </w:tc>
      </w:tr>
      <w:tr w:rsidR="00296EAA" w14:paraId="770F7A5D"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1F548" w14:textId="77777777" w:rsidR="005F2920" w:rsidRDefault="005F292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B9DF4" w14:textId="77777777" w:rsidR="005F2920" w:rsidRDefault="005F292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76878" w14:textId="77777777" w:rsidR="005F2920" w:rsidRDefault="005F2920">
            <w:pPr>
              <w:jc w:val="right"/>
            </w:pPr>
            <w:r>
              <w:rPr>
                <w:rFonts w:ascii="宋体" w:hAnsi="宋体" w:hint="eastAsia"/>
              </w:rPr>
              <w:t>-</w:t>
            </w:r>
          </w:p>
        </w:tc>
      </w:tr>
      <w:tr w:rsidR="00296EAA" w14:paraId="284E9A69"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63986" w14:textId="77777777" w:rsidR="005F2920" w:rsidRDefault="005F292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98758" w14:textId="77777777" w:rsidR="005F2920" w:rsidRDefault="005F292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A279D" w14:textId="77777777" w:rsidR="005F2920" w:rsidRDefault="005F2920">
            <w:pPr>
              <w:jc w:val="right"/>
            </w:pPr>
            <w:r>
              <w:rPr>
                <w:rFonts w:ascii="宋体" w:hAnsi="宋体" w:hint="eastAsia"/>
              </w:rPr>
              <w:t>-</w:t>
            </w:r>
          </w:p>
        </w:tc>
      </w:tr>
      <w:tr w:rsidR="00296EAA" w14:paraId="149ED629" w14:textId="77777777">
        <w:trPr>
          <w:divId w:val="18485899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688F5" w14:textId="77777777" w:rsidR="005F2920" w:rsidRDefault="005F292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0FE8A" w14:textId="77777777" w:rsidR="005F2920" w:rsidRDefault="005F292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1BE50" w14:textId="77777777" w:rsidR="005F2920" w:rsidRDefault="005F2920">
            <w:pPr>
              <w:jc w:val="right"/>
            </w:pPr>
            <w:r>
              <w:rPr>
                <w:rFonts w:ascii="宋体" w:hAnsi="宋体" w:hint="eastAsia"/>
              </w:rPr>
              <w:t>7,377,117.80</w:t>
            </w:r>
          </w:p>
        </w:tc>
      </w:tr>
    </w:tbl>
    <w:p w14:paraId="2C8AA73B" w14:textId="77777777" w:rsidR="005F2920" w:rsidRDefault="005F2920">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r>
        <w:rPr>
          <w:rFonts w:hint="eastAsia"/>
        </w:rPr>
        <w:t>报告期末持有的处于转股期的可转换债券明细</w:t>
      </w:r>
      <w:bookmarkEnd w:id="277"/>
      <w:bookmarkEnd w:id="278"/>
      <w:bookmarkEnd w:id="279"/>
      <w:bookmarkEnd w:id="280"/>
      <w:bookmarkEnd w:id="281"/>
    </w:p>
    <w:p w14:paraId="5E3E4F15" w14:textId="77777777" w:rsidR="005F2920" w:rsidRDefault="005F2920">
      <w:pPr>
        <w:spacing w:line="360" w:lineRule="auto"/>
        <w:ind w:firstLineChars="200" w:firstLine="420"/>
        <w:jc w:val="left"/>
      </w:pPr>
      <w:r>
        <w:rPr>
          <w:rFonts w:ascii="宋体" w:hAnsi="宋体" w:hint="eastAsia"/>
        </w:rPr>
        <w:t xml:space="preserve">本基金本报告期末未持有处于转股期的可转换债券。 </w:t>
      </w:r>
    </w:p>
    <w:p w14:paraId="176CD1DE" w14:textId="77777777" w:rsidR="005F2920" w:rsidRDefault="005F2920">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r>
        <w:rPr>
          <w:rFonts w:hint="eastAsia"/>
        </w:rPr>
        <w:t>报告期末前十名股票中存在流通受限情况的说明</w:t>
      </w:r>
      <w:bookmarkEnd w:id="283"/>
      <w:bookmarkEnd w:id="284"/>
      <w:bookmarkEnd w:id="285"/>
      <w:bookmarkEnd w:id="286"/>
      <w:bookmarkEnd w:id="287"/>
    </w:p>
    <w:p w14:paraId="44BBE114" w14:textId="77777777" w:rsidR="005F2920" w:rsidRDefault="005F2920">
      <w:pPr>
        <w:spacing w:line="360" w:lineRule="auto"/>
        <w:ind w:firstLineChars="200" w:firstLine="420"/>
        <w:jc w:val="left"/>
        <w:divId w:val="244921739"/>
      </w:pPr>
      <w:r>
        <w:rPr>
          <w:rFonts w:ascii="宋体" w:hAnsi="宋体" w:hint="eastAsia"/>
        </w:rPr>
        <w:t>本基金本报告期末前十名股票中不存在流通受限情况。</w:t>
      </w:r>
      <w:bookmarkEnd w:id="18"/>
      <w:bookmarkEnd w:id="19"/>
      <w:bookmarkEnd w:id="20"/>
      <w:bookmarkEnd w:id="21"/>
      <w:bookmarkEnd w:id="17"/>
    </w:p>
    <w:p w14:paraId="76B69547" w14:textId="77777777" w:rsidR="005F2920" w:rsidRDefault="005F2920">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r>
        <w:rPr>
          <w:rFonts w:hint="eastAsia"/>
        </w:rPr>
        <w:t>投资组合报告附注的其他文字描述部分</w:t>
      </w:r>
      <w:bookmarkEnd w:id="289"/>
      <w:bookmarkEnd w:id="290"/>
      <w:bookmarkEnd w:id="291"/>
      <w:bookmarkEnd w:id="292"/>
      <w:bookmarkEnd w:id="293"/>
      <w:r>
        <w:rPr>
          <w:rFonts w:hint="eastAsia"/>
          <w:sz w:val="21"/>
        </w:rPr>
        <w:t xml:space="preserve"> </w:t>
      </w:r>
    </w:p>
    <w:p w14:paraId="5589BCE7" w14:textId="77777777" w:rsidR="005F2920" w:rsidRDefault="005F2920">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2020CA5A" w14:textId="77777777" w:rsidR="005F2920" w:rsidRDefault="005F2920">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r>
        <w:rPr>
          <w:rFonts w:hAnsi="宋体" w:hint="eastAsia"/>
        </w:rPr>
        <w:t xml:space="preserve"> </w:t>
      </w:r>
    </w:p>
    <w:p w14:paraId="24FFAFC5" w14:textId="77777777" w:rsidR="005F2920" w:rsidRDefault="005F2920">
      <w:pPr>
        <w:wordWrap w:val="0"/>
        <w:spacing w:line="360" w:lineRule="auto"/>
        <w:jc w:val="right"/>
        <w:divId w:val="226111071"/>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296EAA" w14:paraId="5E76B502" w14:textId="77777777">
        <w:trPr>
          <w:divId w:val="22611107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006E094" w14:textId="77777777" w:rsidR="005F2920" w:rsidRDefault="005F2920">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E2303C" w14:textId="77777777" w:rsidR="005F2920" w:rsidRDefault="005F2920">
            <w:pPr>
              <w:ind w:right="3"/>
              <w:jc w:val="center"/>
            </w:pPr>
            <w:r>
              <w:rPr>
                <w:rFonts w:ascii="宋体" w:hAnsi="宋体" w:hint="eastAsia"/>
                <w:lang w:eastAsia="zh-Hans"/>
              </w:rPr>
              <w:t>摩根双核平衡混合A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61368D" w14:textId="77777777" w:rsidR="005F2920" w:rsidRDefault="005F2920">
            <w:pPr>
              <w:ind w:right="3"/>
              <w:jc w:val="center"/>
            </w:pPr>
            <w:r>
              <w:rPr>
                <w:rFonts w:ascii="宋体" w:hAnsi="宋体" w:hint="eastAsia"/>
                <w:lang w:eastAsia="zh-Hans"/>
              </w:rPr>
              <w:t>摩根双核平衡混合C</w:t>
            </w:r>
            <w:r>
              <w:rPr>
                <w:rFonts w:ascii="宋体" w:hAnsi="宋体" w:hint="eastAsia"/>
                <w:kern w:val="0"/>
                <w:szCs w:val="24"/>
                <w:lang w:eastAsia="zh-Hans"/>
              </w:rPr>
              <w:t xml:space="preserve"> </w:t>
            </w:r>
          </w:p>
        </w:tc>
      </w:tr>
      <w:tr w:rsidR="00296EAA" w14:paraId="49168165" w14:textId="77777777">
        <w:trPr>
          <w:divId w:val="2261110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AFC40" w14:textId="77777777" w:rsidR="005F2920" w:rsidRDefault="005F29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BD3A7" w14:textId="77777777" w:rsidR="005F2920" w:rsidRDefault="005F2920">
            <w:pPr>
              <w:jc w:val="right"/>
            </w:pPr>
            <w:r>
              <w:rPr>
                <w:rFonts w:ascii="宋体" w:hAnsi="宋体" w:hint="eastAsia"/>
              </w:rPr>
              <w:t>170,926,318.88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73948C" w14:textId="77777777" w:rsidR="005F2920" w:rsidRDefault="005F2920">
            <w:pPr>
              <w:jc w:val="right"/>
            </w:pPr>
            <w:r>
              <w:rPr>
                <w:rFonts w:ascii="宋体" w:hAnsi="宋体" w:hint="eastAsia"/>
              </w:rPr>
              <w:t>936,175.44</w:t>
            </w:r>
          </w:p>
        </w:tc>
      </w:tr>
      <w:tr w:rsidR="00296EAA" w14:paraId="0DB719D2" w14:textId="77777777">
        <w:trPr>
          <w:divId w:val="2261110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6EE4EA" w14:textId="77777777" w:rsidR="005F2920" w:rsidRDefault="005F29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50F46B" w14:textId="77777777" w:rsidR="005F2920" w:rsidRDefault="005F2920">
            <w:pPr>
              <w:jc w:val="right"/>
            </w:pPr>
            <w:r>
              <w:rPr>
                <w:rFonts w:ascii="宋体" w:hAnsi="宋体" w:hint="eastAsia"/>
              </w:rPr>
              <w:t>2,460,319.60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BDA030" w14:textId="77777777" w:rsidR="005F2920" w:rsidRDefault="005F2920">
            <w:pPr>
              <w:jc w:val="right"/>
            </w:pPr>
            <w:r>
              <w:rPr>
                <w:rFonts w:ascii="宋体" w:hAnsi="宋体" w:hint="eastAsia"/>
              </w:rPr>
              <w:t>288,975.68</w:t>
            </w:r>
          </w:p>
        </w:tc>
      </w:tr>
      <w:tr w:rsidR="00296EAA" w14:paraId="31442FB0" w14:textId="77777777">
        <w:trPr>
          <w:divId w:val="2261110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65299" w14:textId="77777777" w:rsidR="005F2920" w:rsidRDefault="005F29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7B9219" w14:textId="77777777" w:rsidR="005F2920" w:rsidRDefault="005F2920">
            <w:pPr>
              <w:jc w:val="right"/>
            </w:pPr>
            <w:r>
              <w:rPr>
                <w:rFonts w:ascii="宋体" w:hAnsi="宋体" w:hint="eastAsia"/>
              </w:rPr>
              <w:t>8,002,433.95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A08CBE" w14:textId="77777777" w:rsidR="005F2920" w:rsidRDefault="005F2920">
            <w:pPr>
              <w:jc w:val="right"/>
            </w:pPr>
            <w:r>
              <w:rPr>
                <w:rFonts w:ascii="宋体" w:hAnsi="宋体" w:hint="eastAsia"/>
              </w:rPr>
              <w:t>605,884.78</w:t>
            </w:r>
          </w:p>
        </w:tc>
      </w:tr>
      <w:tr w:rsidR="00296EAA" w14:paraId="12E2BD30" w14:textId="77777777">
        <w:trPr>
          <w:divId w:val="2261110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E64489" w14:textId="77777777" w:rsidR="005F2920" w:rsidRDefault="005F29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00E30" w14:textId="77777777" w:rsidR="005F2920" w:rsidRDefault="005F292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D4026" w14:textId="77777777" w:rsidR="005F2920" w:rsidRDefault="005F2920">
            <w:pPr>
              <w:jc w:val="right"/>
            </w:pPr>
            <w:r>
              <w:rPr>
                <w:rFonts w:ascii="宋体" w:hAnsi="宋体" w:hint="eastAsia"/>
              </w:rPr>
              <w:t>-</w:t>
            </w:r>
          </w:p>
        </w:tc>
      </w:tr>
      <w:tr w:rsidR="00296EAA" w14:paraId="0B499531" w14:textId="77777777">
        <w:trPr>
          <w:divId w:val="22611107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08393" w14:textId="77777777" w:rsidR="005F2920" w:rsidRDefault="005F29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46D87" w14:textId="77777777" w:rsidR="005F2920" w:rsidRDefault="005F2920">
            <w:pPr>
              <w:jc w:val="right"/>
            </w:pPr>
            <w:r>
              <w:rPr>
                <w:rFonts w:ascii="宋体" w:hAnsi="宋体" w:hint="eastAsia"/>
              </w:rPr>
              <w:t>165,384,204.53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2AA6AF" w14:textId="77777777" w:rsidR="005F2920" w:rsidRDefault="005F2920">
            <w:pPr>
              <w:jc w:val="right"/>
            </w:pPr>
            <w:r>
              <w:rPr>
                <w:rFonts w:ascii="宋体" w:hAnsi="宋体" w:hint="eastAsia"/>
              </w:rPr>
              <w:t>619,266.34</w:t>
            </w:r>
          </w:p>
        </w:tc>
      </w:tr>
    </w:tbl>
    <w:p w14:paraId="20ED37F8" w14:textId="77777777" w:rsidR="005F2920" w:rsidRDefault="005F2920">
      <w:pPr>
        <w:spacing w:line="360" w:lineRule="auto"/>
        <w:jc w:val="left"/>
        <w:divId w:val="22611107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4788DD4A" w14:textId="77777777" w:rsidR="005F2920" w:rsidRDefault="005F2920">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r>
        <w:rPr>
          <w:rFonts w:hAnsi="宋体" w:hint="eastAsia"/>
        </w:rPr>
        <w:t xml:space="preserve"> </w:t>
      </w:r>
    </w:p>
    <w:p w14:paraId="689E4290" w14:textId="77777777" w:rsidR="005F2920" w:rsidRDefault="005F2920">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r>
        <w:rPr>
          <w:rFonts w:hAnsi="宋体" w:hint="eastAsia"/>
        </w:rPr>
        <w:lastRenderedPageBreak/>
        <w:t>基金管理人持有本基金份额变动情况</w:t>
      </w:r>
      <w:bookmarkEnd w:id="316"/>
      <w:bookmarkEnd w:id="317"/>
      <w:bookmarkEnd w:id="318"/>
      <w:bookmarkEnd w:id="319"/>
      <w:bookmarkEnd w:id="320"/>
      <w:bookmarkEnd w:id="321"/>
      <w:bookmarkEnd w:id="322"/>
      <w:bookmarkEnd w:id="323"/>
      <w:r>
        <w:rPr>
          <w:rFonts w:hAnsi="宋体" w:hint="eastAsia"/>
          <w:lang w:eastAsia="zh-CN"/>
        </w:rPr>
        <w:t xml:space="preserve"> </w:t>
      </w:r>
    </w:p>
    <w:p w14:paraId="1A6C709F" w14:textId="77777777" w:rsidR="005F2920" w:rsidRDefault="005F2920">
      <w:pPr>
        <w:spacing w:line="360" w:lineRule="auto"/>
        <w:ind w:firstLineChars="200" w:firstLine="420"/>
        <w:jc w:val="left"/>
        <w:divId w:val="286353931"/>
      </w:pPr>
      <w:r>
        <w:rPr>
          <w:rFonts w:ascii="宋体" w:hAnsi="宋体" w:hint="eastAsia"/>
          <w:szCs w:val="21"/>
          <w:lang w:eastAsia="zh-Hans"/>
        </w:rPr>
        <w:t>无。</w:t>
      </w:r>
      <w:r>
        <w:rPr>
          <w:rFonts w:ascii="宋体" w:hAnsi="宋体" w:hint="eastAsia"/>
          <w:szCs w:val="21"/>
        </w:rPr>
        <w:t xml:space="preserve"> </w:t>
      </w:r>
    </w:p>
    <w:p w14:paraId="4D29433A" w14:textId="77777777" w:rsidR="005F2920" w:rsidRDefault="005F2920">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r>
        <w:rPr>
          <w:rFonts w:hAnsi="宋体" w:hint="eastAsia"/>
        </w:rPr>
        <w:t>基金管理人运用固有资金投资本基金交易明细</w:t>
      </w:r>
      <w:bookmarkEnd w:id="324"/>
      <w:bookmarkEnd w:id="325"/>
      <w:bookmarkEnd w:id="326"/>
      <w:bookmarkEnd w:id="327"/>
      <w:bookmarkEnd w:id="328"/>
      <w:bookmarkEnd w:id="329"/>
      <w:bookmarkEnd w:id="330"/>
      <w:bookmarkEnd w:id="331"/>
      <w:r>
        <w:rPr>
          <w:rFonts w:hAnsi="宋体" w:hint="eastAsia"/>
          <w:lang w:eastAsia="zh-CN"/>
        </w:rPr>
        <w:t xml:space="preserve"> </w:t>
      </w:r>
    </w:p>
    <w:p w14:paraId="4304DC24" w14:textId="77777777" w:rsidR="005F2920" w:rsidRDefault="005F2920">
      <w:pPr>
        <w:spacing w:line="360" w:lineRule="auto"/>
        <w:ind w:firstLineChars="200" w:firstLine="420"/>
        <w:jc w:val="left"/>
        <w:divId w:val="1471363333"/>
      </w:pPr>
      <w:r>
        <w:rPr>
          <w:rFonts w:ascii="宋体" w:hAnsi="宋体" w:hint="eastAsia"/>
          <w:lang w:eastAsia="zh-Hans"/>
        </w:rPr>
        <w:t>无。</w:t>
      </w:r>
      <w:r>
        <w:rPr>
          <w:rFonts w:ascii="宋体" w:hAnsi="宋体" w:hint="eastAsia"/>
        </w:rPr>
        <w:t xml:space="preserve"> </w:t>
      </w:r>
    </w:p>
    <w:p w14:paraId="2C7E2347" w14:textId="77777777" w:rsidR="005F2920" w:rsidRDefault="005F2920">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r>
        <w:rPr>
          <w:rFonts w:hAnsi="宋体" w:hint="eastAsia"/>
        </w:rPr>
        <w:t>影响投资者决策的其他重要信息</w:t>
      </w:r>
      <w:bookmarkEnd w:id="332"/>
      <w:bookmarkEnd w:id="333"/>
      <w:bookmarkEnd w:id="334"/>
      <w:bookmarkEnd w:id="335"/>
      <w:bookmarkEnd w:id="336"/>
      <w:bookmarkEnd w:id="337"/>
      <w:bookmarkEnd w:id="338"/>
      <w:bookmarkEnd w:id="339"/>
      <w:r>
        <w:rPr>
          <w:rFonts w:hAnsi="宋体" w:hint="eastAsia"/>
          <w:lang w:eastAsia="zh-CN"/>
        </w:rPr>
        <w:t xml:space="preserve"> </w:t>
      </w:r>
    </w:p>
    <w:p w14:paraId="7E1C183B" w14:textId="77777777" w:rsidR="005F2920" w:rsidRDefault="005F2920">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16DA8D8A" w14:textId="77777777" w:rsidR="005F2920" w:rsidRDefault="005F2920">
      <w:pPr>
        <w:spacing w:line="360" w:lineRule="auto"/>
        <w:ind w:firstLineChars="200" w:firstLine="420"/>
        <w:divId w:val="262150839"/>
        <w:rPr>
          <w:rFonts w:ascii="宋体" w:hAnsi="宋体" w:hint="eastAsia"/>
          <w:szCs w:val="21"/>
          <w:lang w:eastAsia="zh-Hans"/>
        </w:rPr>
      </w:pPr>
      <w:r>
        <w:rPr>
          <w:rFonts w:ascii="宋体" w:hAnsi="宋体" w:hint="eastAsia"/>
          <w:szCs w:val="21"/>
          <w:lang w:eastAsia="zh-Hans"/>
        </w:rPr>
        <w:t>无。</w:t>
      </w:r>
    </w:p>
    <w:p w14:paraId="5974B595" w14:textId="77777777" w:rsidR="005F2920" w:rsidRDefault="005F2920">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r>
        <w:rPr>
          <w:rFonts w:hAnsi="宋体" w:hint="eastAsia"/>
        </w:rPr>
        <w:t>备查文件目录</w:t>
      </w:r>
      <w:bookmarkEnd w:id="348"/>
      <w:bookmarkEnd w:id="349"/>
      <w:bookmarkEnd w:id="350"/>
      <w:bookmarkEnd w:id="351"/>
      <w:bookmarkEnd w:id="352"/>
      <w:bookmarkEnd w:id="353"/>
      <w:bookmarkEnd w:id="354"/>
      <w:bookmarkEnd w:id="355"/>
      <w:r>
        <w:rPr>
          <w:rFonts w:hAnsi="宋体" w:hint="eastAsia"/>
        </w:rPr>
        <w:t xml:space="preserve"> </w:t>
      </w:r>
    </w:p>
    <w:p w14:paraId="6D66F5C9" w14:textId="77777777" w:rsidR="005F2920" w:rsidRDefault="005F2920">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r>
        <w:rPr>
          <w:rFonts w:hAnsi="宋体" w:hint="eastAsia"/>
        </w:rPr>
        <w:t>备查文件目录</w:t>
      </w:r>
      <w:bookmarkEnd w:id="356"/>
      <w:bookmarkEnd w:id="357"/>
      <w:bookmarkEnd w:id="358"/>
      <w:bookmarkEnd w:id="359"/>
      <w:bookmarkEnd w:id="360"/>
      <w:bookmarkEnd w:id="361"/>
      <w:bookmarkEnd w:id="362"/>
      <w:bookmarkEnd w:id="363"/>
      <w:r>
        <w:rPr>
          <w:rFonts w:hAnsi="宋体" w:hint="eastAsia"/>
        </w:rPr>
        <w:t xml:space="preserve"> </w:t>
      </w:r>
    </w:p>
    <w:p w14:paraId="21F00600" w14:textId="77777777" w:rsidR="005F2920" w:rsidRDefault="005F2920">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2、《摩根双核平衡混合型证券投资基金基金合同》；</w:t>
      </w:r>
      <w:r>
        <w:rPr>
          <w:rFonts w:ascii="宋体" w:hAnsi="宋体" w:cs="宋体" w:hint="eastAsia"/>
          <w:color w:val="000000"/>
          <w:kern w:val="0"/>
        </w:rPr>
        <w:br/>
        <w:t xml:space="preserve">　　3、《摩根基金管理(中国)有限公司开放式基金业务规则》；</w:t>
      </w:r>
      <w:r>
        <w:rPr>
          <w:rFonts w:ascii="宋体" w:hAnsi="宋体" w:cs="宋体" w:hint="eastAsia"/>
          <w:color w:val="000000"/>
          <w:kern w:val="0"/>
        </w:rPr>
        <w:br/>
        <w:t xml:space="preserve">　　4、《摩根双核平衡混合型证券投资基金托管协议》；</w:t>
      </w:r>
      <w:r>
        <w:rPr>
          <w:rFonts w:ascii="宋体" w:hAnsi="宋体" w:cs="宋体" w:hint="eastAsia"/>
          <w:color w:val="000000"/>
          <w:kern w:val="0"/>
        </w:rPr>
        <w:br/>
        <w:t xml:space="preserve">　　5、法律意见书；</w:t>
      </w:r>
      <w:r>
        <w:rPr>
          <w:rFonts w:ascii="宋体" w:hAnsi="宋体" w:cs="宋体" w:hint="eastAsia"/>
          <w:color w:val="000000"/>
          <w:kern w:val="0"/>
        </w:rPr>
        <w:br/>
        <w:t xml:space="preserve">　　6、基金管理人业务资格批件、营业执照；</w:t>
      </w:r>
      <w:r>
        <w:rPr>
          <w:rFonts w:ascii="宋体" w:hAnsi="宋体" w:cs="宋体" w:hint="eastAsia"/>
          <w:color w:val="000000"/>
          <w:kern w:val="0"/>
        </w:rPr>
        <w:br/>
        <w:t xml:space="preserve">　　7、基金托管人业务资格批件、营业执照；</w:t>
      </w:r>
      <w:r>
        <w:rPr>
          <w:rFonts w:ascii="宋体" w:hAnsi="宋体" w:cs="宋体" w:hint="eastAsia"/>
          <w:color w:val="000000"/>
          <w:kern w:val="0"/>
        </w:rPr>
        <w:br/>
        <w:t xml:space="preserve">　　8、中国证监会要求的其他文件。</w:t>
      </w:r>
    </w:p>
    <w:p w14:paraId="1022E9B9" w14:textId="77777777" w:rsidR="005F2920" w:rsidRDefault="005F2920">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r>
        <w:rPr>
          <w:rFonts w:hAnsi="宋体" w:hint="eastAsia"/>
        </w:rPr>
        <w:t>存放地点</w:t>
      </w:r>
      <w:bookmarkEnd w:id="365"/>
      <w:bookmarkEnd w:id="366"/>
      <w:bookmarkEnd w:id="367"/>
      <w:bookmarkEnd w:id="368"/>
      <w:bookmarkEnd w:id="369"/>
      <w:bookmarkEnd w:id="370"/>
      <w:bookmarkEnd w:id="371"/>
      <w:bookmarkEnd w:id="372"/>
      <w:r>
        <w:rPr>
          <w:rFonts w:hAnsi="宋体" w:hint="eastAsia"/>
        </w:rPr>
        <w:t xml:space="preserve"> </w:t>
      </w:r>
    </w:p>
    <w:p w14:paraId="266D08C5" w14:textId="77777777" w:rsidR="005F2920" w:rsidRDefault="005F2920">
      <w:pPr>
        <w:spacing w:line="360" w:lineRule="auto"/>
        <w:ind w:firstLineChars="200" w:firstLine="420"/>
        <w:jc w:val="left"/>
      </w:pPr>
      <w:r>
        <w:rPr>
          <w:rFonts w:ascii="宋体" w:hAnsi="宋体" w:cs="宋体" w:hint="eastAsia"/>
          <w:color w:val="000000"/>
          <w:kern w:val="0"/>
        </w:rPr>
        <w:t>基金管理人或基金托管人住所。</w:t>
      </w:r>
    </w:p>
    <w:p w14:paraId="3FF627A3" w14:textId="77777777" w:rsidR="005F2920" w:rsidRDefault="005F2920">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r>
        <w:rPr>
          <w:rFonts w:hAnsi="宋体" w:hint="eastAsia"/>
        </w:rPr>
        <w:t>查阅方式</w:t>
      </w:r>
      <w:bookmarkEnd w:id="374"/>
      <w:bookmarkEnd w:id="375"/>
      <w:bookmarkEnd w:id="376"/>
      <w:bookmarkEnd w:id="377"/>
      <w:bookmarkEnd w:id="378"/>
      <w:bookmarkEnd w:id="379"/>
      <w:bookmarkEnd w:id="380"/>
      <w:bookmarkEnd w:id="381"/>
      <w:r>
        <w:rPr>
          <w:rFonts w:hAnsi="宋体" w:hint="eastAsia"/>
        </w:rPr>
        <w:t xml:space="preserve"> </w:t>
      </w:r>
    </w:p>
    <w:p w14:paraId="615B6949" w14:textId="77777777" w:rsidR="005F2920" w:rsidRDefault="005F292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0AE303E4" w14:textId="77777777" w:rsidR="005F2920" w:rsidRDefault="005F2920">
      <w:pPr>
        <w:spacing w:line="360" w:lineRule="auto"/>
        <w:ind w:firstLineChars="600" w:firstLine="1687"/>
        <w:jc w:val="left"/>
      </w:pPr>
      <w:r>
        <w:rPr>
          <w:rFonts w:ascii="宋体" w:hAnsi="宋体" w:hint="eastAsia"/>
          <w:b/>
          <w:bCs/>
          <w:sz w:val="28"/>
          <w:szCs w:val="30"/>
        </w:rPr>
        <w:t xml:space="preserve">　 </w:t>
      </w:r>
    </w:p>
    <w:p w14:paraId="42190AA9" w14:textId="77777777" w:rsidR="005F2920" w:rsidRDefault="005F2920">
      <w:pPr>
        <w:spacing w:line="360" w:lineRule="auto"/>
        <w:ind w:firstLineChars="600" w:firstLine="1687"/>
        <w:jc w:val="left"/>
      </w:pPr>
      <w:r>
        <w:rPr>
          <w:rFonts w:ascii="宋体" w:hAnsi="宋体" w:hint="eastAsia"/>
          <w:b/>
          <w:bCs/>
          <w:sz w:val="28"/>
          <w:szCs w:val="30"/>
        </w:rPr>
        <w:t xml:space="preserve">　 </w:t>
      </w:r>
    </w:p>
    <w:p w14:paraId="55BABE26" w14:textId="77777777" w:rsidR="005F2920" w:rsidRDefault="005F2920">
      <w:pPr>
        <w:spacing w:line="360" w:lineRule="auto"/>
        <w:ind w:firstLineChars="600" w:firstLine="1446"/>
        <w:jc w:val="right"/>
      </w:pPr>
      <w:r>
        <w:rPr>
          <w:rFonts w:ascii="宋体" w:hAnsi="宋体" w:hint="eastAsia"/>
          <w:b/>
          <w:bCs/>
          <w:sz w:val="24"/>
          <w:szCs w:val="24"/>
        </w:rPr>
        <w:t>摩根基金管理（中国）有限公司</w:t>
      </w:r>
    </w:p>
    <w:p w14:paraId="781D9FF4" w14:textId="77777777" w:rsidR="005F2920" w:rsidRDefault="005F2920">
      <w:pPr>
        <w:spacing w:line="360" w:lineRule="auto"/>
        <w:ind w:firstLineChars="600" w:firstLine="1446"/>
        <w:jc w:val="right"/>
      </w:pPr>
      <w:r>
        <w:rPr>
          <w:rFonts w:ascii="宋体" w:hAnsi="宋体" w:hint="eastAsia"/>
          <w:b/>
          <w:bCs/>
          <w:sz w:val="24"/>
          <w:szCs w:val="24"/>
        </w:rPr>
        <w:t>2026年1月22日</w:t>
      </w:r>
      <w:bookmarkEnd w:id="23"/>
    </w:p>
    <w:sectPr w:rsidR="005F292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2D7E" w14:textId="77777777" w:rsidR="005F2920" w:rsidRDefault="005F2920">
      <w:pPr>
        <w:rPr>
          <w:szCs w:val="21"/>
        </w:rPr>
      </w:pPr>
      <w:r>
        <w:rPr>
          <w:szCs w:val="21"/>
        </w:rPr>
        <w:separator/>
      </w:r>
      <w:r>
        <w:rPr>
          <w:szCs w:val="21"/>
        </w:rPr>
        <w:t xml:space="preserve"> </w:t>
      </w:r>
    </w:p>
  </w:endnote>
  <w:endnote w:type="continuationSeparator" w:id="0">
    <w:p w14:paraId="06EEBAB7" w14:textId="77777777" w:rsidR="005F2920" w:rsidRDefault="005F292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B40E" w14:textId="77777777" w:rsidR="005F2920" w:rsidRDefault="005F292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1E6" w14:textId="77777777" w:rsidR="005F2920" w:rsidRDefault="005F2920">
      <w:pPr>
        <w:rPr>
          <w:szCs w:val="21"/>
        </w:rPr>
      </w:pPr>
      <w:r>
        <w:rPr>
          <w:szCs w:val="21"/>
        </w:rPr>
        <w:separator/>
      </w:r>
      <w:r>
        <w:rPr>
          <w:szCs w:val="21"/>
        </w:rPr>
        <w:t xml:space="preserve"> </w:t>
      </w:r>
    </w:p>
  </w:footnote>
  <w:footnote w:type="continuationSeparator" w:id="0">
    <w:p w14:paraId="308B061E" w14:textId="77777777" w:rsidR="005F2920" w:rsidRDefault="005F292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9B9F" w14:textId="77777777" w:rsidR="005F2920" w:rsidRDefault="005F2920">
    <w:pPr>
      <w:pStyle w:val="a8"/>
      <w:jc w:val="right"/>
    </w:pPr>
    <w:r>
      <w:rPr>
        <w:rFonts w:ascii="宋体" w:hAnsi="宋体" w:hint="eastAsia"/>
      </w:rPr>
      <w:t>摩根双核平衡混合型证券投资基金2025年第4季度报告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28034840">
    <w:abstractNumId w:val="0"/>
  </w:num>
  <w:num w:numId="2" w16cid:durableId="1039475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20"/>
    <w:rsid w:val="00296EAA"/>
    <w:rsid w:val="005F2920"/>
    <w:rsid w:val="00652C77"/>
    <w:rsid w:val="00A60801"/>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8EFF370"/>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807">
      <w:marLeft w:val="0"/>
      <w:marRight w:val="0"/>
      <w:marTop w:val="0"/>
      <w:marBottom w:val="0"/>
      <w:divBdr>
        <w:top w:val="none" w:sz="0" w:space="0" w:color="auto"/>
        <w:left w:val="none" w:sz="0" w:space="0" w:color="auto"/>
        <w:bottom w:val="none" w:sz="0" w:space="0" w:color="auto"/>
        <w:right w:val="none" w:sz="0" w:space="0" w:color="auto"/>
      </w:divBdr>
    </w:div>
    <w:div w:id="186332116">
      <w:marLeft w:val="0"/>
      <w:marRight w:val="0"/>
      <w:marTop w:val="0"/>
      <w:marBottom w:val="0"/>
      <w:divBdr>
        <w:top w:val="none" w:sz="0" w:space="0" w:color="auto"/>
        <w:left w:val="none" w:sz="0" w:space="0" w:color="auto"/>
        <w:bottom w:val="none" w:sz="0" w:space="0" w:color="auto"/>
        <w:right w:val="none" w:sz="0" w:space="0" w:color="auto"/>
      </w:divBdr>
    </w:div>
    <w:div w:id="226111071">
      <w:marLeft w:val="0"/>
      <w:marRight w:val="0"/>
      <w:marTop w:val="0"/>
      <w:marBottom w:val="0"/>
      <w:divBdr>
        <w:top w:val="none" w:sz="0" w:space="0" w:color="auto"/>
        <w:left w:val="none" w:sz="0" w:space="0" w:color="auto"/>
        <w:bottom w:val="none" w:sz="0" w:space="0" w:color="auto"/>
        <w:right w:val="none" w:sz="0" w:space="0" w:color="auto"/>
      </w:divBdr>
    </w:div>
    <w:div w:id="244921739">
      <w:marLeft w:val="0"/>
      <w:marRight w:val="0"/>
      <w:marTop w:val="0"/>
      <w:marBottom w:val="0"/>
      <w:divBdr>
        <w:top w:val="none" w:sz="0" w:space="0" w:color="auto"/>
        <w:left w:val="none" w:sz="0" w:space="0" w:color="auto"/>
        <w:bottom w:val="none" w:sz="0" w:space="0" w:color="auto"/>
        <w:right w:val="none" w:sz="0" w:space="0" w:color="auto"/>
      </w:divBdr>
    </w:div>
    <w:div w:id="252592780">
      <w:marLeft w:val="0"/>
      <w:marRight w:val="0"/>
      <w:marTop w:val="0"/>
      <w:marBottom w:val="0"/>
      <w:divBdr>
        <w:top w:val="none" w:sz="0" w:space="0" w:color="auto"/>
        <w:left w:val="none" w:sz="0" w:space="0" w:color="auto"/>
        <w:bottom w:val="none" w:sz="0" w:space="0" w:color="auto"/>
        <w:right w:val="none" w:sz="0" w:space="0" w:color="auto"/>
      </w:divBdr>
      <w:divsChild>
        <w:div w:id="738941338">
          <w:marLeft w:val="0"/>
          <w:marRight w:val="0"/>
          <w:marTop w:val="0"/>
          <w:marBottom w:val="0"/>
          <w:divBdr>
            <w:top w:val="none" w:sz="0" w:space="0" w:color="auto"/>
            <w:left w:val="none" w:sz="0" w:space="0" w:color="auto"/>
            <w:bottom w:val="none" w:sz="0" w:space="0" w:color="auto"/>
            <w:right w:val="none" w:sz="0" w:space="0" w:color="auto"/>
          </w:divBdr>
          <w:divsChild>
            <w:div w:id="18509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165">
      <w:marLeft w:val="0"/>
      <w:marRight w:val="0"/>
      <w:marTop w:val="0"/>
      <w:marBottom w:val="0"/>
      <w:divBdr>
        <w:top w:val="none" w:sz="0" w:space="0" w:color="auto"/>
        <w:left w:val="none" w:sz="0" w:space="0" w:color="auto"/>
        <w:bottom w:val="none" w:sz="0" w:space="0" w:color="auto"/>
        <w:right w:val="none" w:sz="0" w:space="0" w:color="auto"/>
      </w:divBdr>
    </w:div>
    <w:div w:id="262150839">
      <w:marLeft w:val="0"/>
      <w:marRight w:val="0"/>
      <w:marTop w:val="0"/>
      <w:marBottom w:val="0"/>
      <w:divBdr>
        <w:top w:val="none" w:sz="0" w:space="0" w:color="auto"/>
        <w:left w:val="none" w:sz="0" w:space="0" w:color="auto"/>
        <w:bottom w:val="none" w:sz="0" w:space="0" w:color="auto"/>
        <w:right w:val="none" w:sz="0" w:space="0" w:color="auto"/>
      </w:divBdr>
    </w:div>
    <w:div w:id="286353931">
      <w:marLeft w:val="0"/>
      <w:marRight w:val="0"/>
      <w:marTop w:val="0"/>
      <w:marBottom w:val="0"/>
      <w:divBdr>
        <w:top w:val="none" w:sz="0" w:space="0" w:color="auto"/>
        <w:left w:val="none" w:sz="0" w:space="0" w:color="auto"/>
        <w:bottom w:val="none" w:sz="0" w:space="0" w:color="auto"/>
        <w:right w:val="none" w:sz="0" w:space="0" w:color="auto"/>
      </w:divBdr>
    </w:div>
    <w:div w:id="290209798">
      <w:marLeft w:val="0"/>
      <w:marRight w:val="0"/>
      <w:marTop w:val="0"/>
      <w:marBottom w:val="0"/>
      <w:divBdr>
        <w:top w:val="none" w:sz="0" w:space="0" w:color="auto"/>
        <w:left w:val="none" w:sz="0" w:space="0" w:color="auto"/>
        <w:bottom w:val="none" w:sz="0" w:space="0" w:color="auto"/>
        <w:right w:val="none" w:sz="0" w:space="0" w:color="auto"/>
      </w:divBdr>
    </w:div>
    <w:div w:id="406998617">
      <w:marLeft w:val="0"/>
      <w:marRight w:val="0"/>
      <w:marTop w:val="0"/>
      <w:marBottom w:val="0"/>
      <w:divBdr>
        <w:top w:val="none" w:sz="0" w:space="0" w:color="auto"/>
        <w:left w:val="none" w:sz="0" w:space="0" w:color="auto"/>
        <w:bottom w:val="none" w:sz="0" w:space="0" w:color="auto"/>
        <w:right w:val="none" w:sz="0" w:space="0" w:color="auto"/>
      </w:divBdr>
    </w:div>
    <w:div w:id="490801240">
      <w:marLeft w:val="0"/>
      <w:marRight w:val="0"/>
      <w:marTop w:val="0"/>
      <w:marBottom w:val="0"/>
      <w:divBdr>
        <w:top w:val="none" w:sz="0" w:space="0" w:color="auto"/>
        <w:left w:val="none" w:sz="0" w:space="0" w:color="auto"/>
        <w:bottom w:val="none" w:sz="0" w:space="0" w:color="auto"/>
        <w:right w:val="none" w:sz="0" w:space="0" w:color="auto"/>
      </w:divBdr>
      <w:divsChild>
        <w:div w:id="1197817287">
          <w:marLeft w:val="0"/>
          <w:marRight w:val="0"/>
          <w:marTop w:val="0"/>
          <w:marBottom w:val="0"/>
          <w:divBdr>
            <w:top w:val="none" w:sz="0" w:space="0" w:color="auto"/>
            <w:left w:val="none" w:sz="0" w:space="0" w:color="auto"/>
            <w:bottom w:val="none" w:sz="0" w:space="0" w:color="auto"/>
            <w:right w:val="none" w:sz="0" w:space="0" w:color="auto"/>
          </w:divBdr>
        </w:div>
      </w:divsChild>
    </w:div>
    <w:div w:id="573317617">
      <w:marLeft w:val="0"/>
      <w:marRight w:val="0"/>
      <w:marTop w:val="0"/>
      <w:marBottom w:val="0"/>
      <w:divBdr>
        <w:top w:val="none" w:sz="0" w:space="0" w:color="auto"/>
        <w:left w:val="none" w:sz="0" w:space="0" w:color="auto"/>
        <w:bottom w:val="none" w:sz="0" w:space="0" w:color="auto"/>
        <w:right w:val="none" w:sz="0" w:space="0" w:color="auto"/>
      </w:divBdr>
    </w:div>
    <w:div w:id="611323665">
      <w:marLeft w:val="0"/>
      <w:marRight w:val="0"/>
      <w:marTop w:val="0"/>
      <w:marBottom w:val="0"/>
      <w:divBdr>
        <w:top w:val="none" w:sz="0" w:space="0" w:color="auto"/>
        <w:left w:val="none" w:sz="0" w:space="0" w:color="auto"/>
        <w:bottom w:val="none" w:sz="0" w:space="0" w:color="auto"/>
        <w:right w:val="none" w:sz="0" w:space="0" w:color="auto"/>
      </w:divBdr>
    </w:div>
    <w:div w:id="804081392">
      <w:marLeft w:val="0"/>
      <w:marRight w:val="0"/>
      <w:marTop w:val="0"/>
      <w:marBottom w:val="0"/>
      <w:divBdr>
        <w:top w:val="none" w:sz="0" w:space="0" w:color="auto"/>
        <w:left w:val="none" w:sz="0" w:space="0" w:color="auto"/>
        <w:bottom w:val="none" w:sz="0" w:space="0" w:color="auto"/>
        <w:right w:val="none" w:sz="0" w:space="0" w:color="auto"/>
      </w:divBdr>
      <w:divsChild>
        <w:div w:id="770590786">
          <w:marLeft w:val="0"/>
          <w:marRight w:val="0"/>
          <w:marTop w:val="0"/>
          <w:marBottom w:val="0"/>
          <w:divBdr>
            <w:top w:val="none" w:sz="0" w:space="0" w:color="auto"/>
            <w:left w:val="none" w:sz="0" w:space="0" w:color="auto"/>
            <w:bottom w:val="none" w:sz="0" w:space="0" w:color="auto"/>
            <w:right w:val="none" w:sz="0" w:space="0" w:color="auto"/>
          </w:divBdr>
        </w:div>
      </w:divsChild>
    </w:div>
    <w:div w:id="805850357">
      <w:marLeft w:val="0"/>
      <w:marRight w:val="0"/>
      <w:marTop w:val="0"/>
      <w:marBottom w:val="0"/>
      <w:divBdr>
        <w:top w:val="none" w:sz="0" w:space="0" w:color="auto"/>
        <w:left w:val="none" w:sz="0" w:space="0" w:color="auto"/>
        <w:bottom w:val="none" w:sz="0" w:space="0" w:color="auto"/>
        <w:right w:val="none" w:sz="0" w:space="0" w:color="auto"/>
      </w:divBdr>
      <w:divsChild>
        <w:div w:id="288707681">
          <w:marLeft w:val="0"/>
          <w:marRight w:val="0"/>
          <w:marTop w:val="0"/>
          <w:marBottom w:val="0"/>
          <w:divBdr>
            <w:top w:val="none" w:sz="0" w:space="0" w:color="auto"/>
            <w:left w:val="none" w:sz="0" w:space="0" w:color="auto"/>
            <w:bottom w:val="none" w:sz="0" w:space="0" w:color="auto"/>
            <w:right w:val="none" w:sz="0" w:space="0" w:color="auto"/>
          </w:divBdr>
        </w:div>
      </w:divsChild>
    </w:div>
    <w:div w:id="830025642">
      <w:marLeft w:val="0"/>
      <w:marRight w:val="0"/>
      <w:marTop w:val="0"/>
      <w:marBottom w:val="0"/>
      <w:divBdr>
        <w:top w:val="none" w:sz="0" w:space="0" w:color="auto"/>
        <w:left w:val="none" w:sz="0" w:space="0" w:color="auto"/>
        <w:bottom w:val="none" w:sz="0" w:space="0" w:color="auto"/>
        <w:right w:val="none" w:sz="0" w:space="0" w:color="auto"/>
      </w:divBdr>
      <w:divsChild>
        <w:div w:id="1362318337">
          <w:marLeft w:val="0"/>
          <w:marRight w:val="0"/>
          <w:marTop w:val="0"/>
          <w:marBottom w:val="0"/>
          <w:divBdr>
            <w:top w:val="none" w:sz="0" w:space="0" w:color="auto"/>
            <w:left w:val="none" w:sz="0" w:space="0" w:color="auto"/>
            <w:bottom w:val="none" w:sz="0" w:space="0" w:color="auto"/>
            <w:right w:val="none" w:sz="0" w:space="0" w:color="auto"/>
          </w:divBdr>
        </w:div>
        <w:div w:id="1674793591">
          <w:marLeft w:val="0"/>
          <w:marRight w:val="0"/>
          <w:marTop w:val="0"/>
          <w:marBottom w:val="0"/>
          <w:divBdr>
            <w:top w:val="none" w:sz="0" w:space="0" w:color="auto"/>
            <w:left w:val="none" w:sz="0" w:space="0" w:color="auto"/>
            <w:bottom w:val="none" w:sz="0" w:space="0" w:color="auto"/>
            <w:right w:val="none" w:sz="0" w:space="0" w:color="auto"/>
          </w:divBdr>
        </w:div>
      </w:divsChild>
    </w:div>
    <w:div w:id="922372897">
      <w:marLeft w:val="0"/>
      <w:marRight w:val="0"/>
      <w:marTop w:val="0"/>
      <w:marBottom w:val="0"/>
      <w:divBdr>
        <w:top w:val="none" w:sz="0" w:space="0" w:color="auto"/>
        <w:left w:val="none" w:sz="0" w:space="0" w:color="auto"/>
        <w:bottom w:val="none" w:sz="0" w:space="0" w:color="auto"/>
        <w:right w:val="none" w:sz="0" w:space="0" w:color="auto"/>
      </w:divBdr>
    </w:div>
    <w:div w:id="1471363333">
      <w:marLeft w:val="0"/>
      <w:marRight w:val="0"/>
      <w:marTop w:val="0"/>
      <w:marBottom w:val="0"/>
      <w:divBdr>
        <w:top w:val="none" w:sz="0" w:space="0" w:color="auto"/>
        <w:left w:val="none" w:sz="0" w:space="0" w:color="auto"/>
        <w:bottom w:val="none" w:sz="0" w:space="0" w:color="auto"/>
        <w:right w:val="none" w:sz="0" w:space="0" w:color="auto"/>
      </w:divBdr>
    </w:div>
    <w:div w:id="1521120257">
      <w:marLeft w:val="0"/>
      <w:marRight w:val="0"/>
      <w:marTop w:val="0"/>
      <w:marBottom w:val="0"/>
      <w:divBdr>
        <w:top w:val="none" w:sz="0" w:space="0" w:color="auto"/>
        <w:left w:val="none" w:sz="0" w:space="0" w:color="auto"/>
        <w:bottom w:val="none" w:sz="0" w:space="0" w:color="auto"/>
        <w:right w:val="none" w:sz="0" w:space="0" w:color="auto"/>
      </w:divBdr>
    </w:div>
    <w:div w:id="1555695330">
      <w:marLeft w:val="0"/>
      <w:marRight w:val="0"/>
      <w:marTop w:val="0"/>
      <w:marBottom w:val="0"/>
      <w:divBdr>
        <w:top w:val="none" w:sz="0" w:space="0" w:color="auto"/>
        <w:left w:val="none" w:sz="0" w:space="0" w:color="auto"/>
        <w:bottom w:val="none" w:sz="0" w:space="0" w:color="auto"/>
        <w:right w:val="none" w:sz="0" w:space="0" w:color="auto"/>
      </w:divBdr>
      <w:divsChild>
        <w:div w:id="1848589922">
          <w:marLeft w:val="0"/>
          <w:marRight w:val="0"/>
          <w:marTop w:val="0"/>
          <w:marBottom w:val="0"/>
          <w:divBdr>
            <w:top w:val="none" w:sz="0" w:space="0" w:color="auto"/>
            <w:left w:val="none" w:sz="0" w:space="0" w:color="auto"/>
            <w:bottom w:val="none" w:sz="0" w:space="0" w:color="auto"/>
            <w:right w:val="none" w:sz="0" w:space="0" w:color="auto"/>
          </w:divBdr>
        </w:div>
      </w:divsChild>
    </w:div>
    <w:div w:id="1614898490">
      <w:marLeft w:val="0"/>
      <w:marRight w:val="0"/>
      <w:marTop w:val="0"/>
      <w:marBottom w:val="0"/>
      <w:divBdr>
        <w:top w:val="none" w:sz="0" w:space="0" w:color="auto"/>
        <w:left w:val="none" w:sz="0" w:space="0" w:color="auto"/>
        <w:bottom w:val="none" w:sz="0" w:space="0" w:color="auto"/>
        <w:right w:val="none" w:sz="0" w:space="0" w:color="auto"/>
      </w:divBdr>
    </w:div>
    <w:div w:id="1621302139">
      <w:marLeft w:val="0"/>
      <w:marRight w:val="0"/>
      <w:marTop w:val="0"/>
      <w:marBottom w:val="0"/>
      <w:divBdr>
        <w:top w:val="none" w:sz="0" w:space="0" w:color="auto"/>
        <w:left w:val="none" w:sz="0" w:space="0" w:color="auto"/>
        <w:bottom w:val="none" w:sz="0" w:space="0" w:color="auto"/>
        <w:right w:val="none" w:sz="0" w:space="0" w:color="auto"/>
      </w:divBdr>
      <w:divsChild>
        <w:div w:id="923807583">
          <w:marLeft w:val="0"/>
          <w:marRight w:val="0"/>
          <w:marTop w:val="0"/>
          <w:marBottom w:val="0"/>
          <w:divBdr>
            <w:top w:val="none" w:sz="0" w:space="0" w:color="auto"/>
            <w:left w:val="none" w:sz="0" w:space="0" w:color="auto"/>
            <w:bottom w:val="none" w:sz="0" w:space="0" w:color="auto"/>
            <w:right w:val="none" w:sz="0" w:space="0" w:color="auto"/>
          </w:divBdr>
        </w:div>
      </w:divsChild>
    </w:div>
    <w:div w:id="18891058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7967</Words>
  <Characters>2594</Characters>
  <Application>Microsoft Office Word</Application>
  <DocSecurity>0</DocSecurity>
  <Lines>235</Lines>
  <Paragraphs>621</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2026-01-14T13:56:00Z</dcterms:created>
  <dcterms:modified xsi:type="dcterms:W3CDTF">2026-01-21T06:35:00Z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