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2838F1" w:rsidRDefault="002838F1">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2838F1" w:rsidRDefault="002838F1">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2838F1" w:rsidRDefault="002838F1">
      <w:pPr>
        <w:spacing w:line="360" w:lineRule="auto"/>
        <w:jc w:val="center"/>
        <w:rPr>
          <w:rFonts w:hint="eastAsia"/>
        </w:rPr>
      </w:pPr>
      <w:r>
        <w:rPr>
          <w:rFonts w:ascii="宋体" w:hAnsi="宋体" w:hint="eastAsia"/>
          <w:b/>
          <w:bCs/>
          <w:color w:val="000000" w:themeColor="text1"/>
          <w:sz w:val="48"/>
          <w:szCs w:val="30"/>
        </w:rPr>
        <w:t>摩根双核平衡混合型证券投资基金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2838F1" w:rsidRDefault="002838F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2838F1" w:rsidRDefault="002838F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38F1" w:rsidRDefault="002838F1">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2838F1" w:rsidRDefault="002838F1">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2838F1" w:rsidRDefault="002838F1">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2838F1" w:rsidRDefault="002838F1">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2838F1" w:rsidRDefault="002838F1">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2838F1" w:rsidRDefault="002838F1">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961883487"/>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2838F1" w:rsidRDefault="002838F1">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szCs w:val="24"/>
                <w:lang w:eastAsia="zh-Hans"/>
              </w:rPr>
              <w:t>摩根双核平衡混</w:t>
            </w:r>
            <w:r>
              <w:rPr>
                <w:rFonts w:ascii="宋体" w:hAnsi="宋体" w:hint="eastAsia"/>
                <w:szCs w:val="24"/>
                <w:lang w:eastAsia="zh-Hans"/>
              </w:rPr>
              <w:t>合</w:t>
            </w:r>
            <w:r>
              <w:rPr>
                <w:rFonts w:ascii="宋体" w:hAnsi="宋体" w:hint="eastAsia"/>
                <w:lang w:eastAsia="zh-Hans"/>
              </w:rPr>
              <w:t xml:space="preserve"> </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37302</w:t>
            </w:r>
            <w:r>
              <w:rPr>
                <w:rFonts w:ascii="宋体" w:hAnsi="宋体" w:hint="eastAsia"/>
                <w:lang w:eastAsia="zh-Hans"/>
              </w:rPr>
              <w:t>0</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契约型开放</w:t>
            </w:r>
            <w:r>
              <w:rPr>
                <w:rFonts w:ascii="宋体" w:hAnsi="宋体" w:hint="eastAsia"/>
                <w:lang w:eastAsia="zh-Hans"/>
              </w:rPr>
              <w:t>式</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2008</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194,642,166.7</w:t>
            </w:r>
            <w:r>
              <w:rPr>
                <w:rFonts w:ascii="宋体" w:hAnsi="宋体" w:hint="eastAsia"/>
                <w:lang w:eastAsia="zh-Hans"/>
              </w:rPr>
              <w:t>4</w:t>
            </w:r>
            <w:r>
              <w:rPr>
                <w:rFonts w:hint="eastAsia"/>
              </w:rPr>
              <w:t>份</w:t>
            </w:r>
            <w:r>
              <w:rPr>
                <w:rFonts w:ascii="宋体" w:hAnsi="宋体" w:hint="eastAsia"/>
                <w:lang w:eastAsia="zh-Hans"/>
              </w:rPr>
              <w:t xml:space="preserve"> </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本基金深化价值投资理念，精选具备较高估值优势的上市公司股票与优质债券等，持续优化投资风险与收益的动态匹配，通过积极主动的组合管理，追求基金资产的长期稳定增值</w:t>
            </w:r>
            <w:r>
              <w:rPr>
                <w:rFonts w:ascii="宋体" w:hAnsi="宋体" w:hint="eastAsia"/>
                <w:lang w:eastAsia="zh-Hans"/>
              </w:rPr>
              <w:t>。</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1</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价值投资注重股票内在价值的发现。在内在价值确定以后，通过股票市场价格和内在价值的比较，就可以明确投资方向。特别当股票的价格低于它的内在价值时，就存在一个正的安全边际。足够的安全边际使投资拥有更容易取胜的优势，因为在价值引力作用下，股票价格更倾向于上涨。所以，安全边际越高，投资风险就会相对较低。</w:t>
            </w:r>
            <w:r>
              <w:rPr>
                <w:rFonts w:ascii="宋体" w:hAnsi="宋体" w:hint="eastAsia"/>
                <w:lang w:eastAsia="zh-Hans"/>
              </w:rPr>
              <w:br/>
            </w:r>
            <w:r>
              <w:rPr>
                <w:rFonts w:ascii="宋体" w:hAnsi="宋体" w:hint="eastAsia"/>
                <w:lang w:eastAsia="zh-Hans"/>
              </w:rPr>
              <w:t>本基金将运用安全边际策略有效挖掘价值低估的股票类投资品种。在控制宏观经济趋势、产业发展周期等宏观经济环境变量基础上，考察上市公司的商业模式、管理能力、财务状况等影响企业持续经营的因素，然后综合运用量化价值模型来衡量股票价格是高估还是低估。根据不同的产业和行业特征，本基金将有针对性地选用不同的</w:t>
            </w:r>
            <w:r>
              <w:rPr>
                <w:rFonts w:ascii="宋体" w:hAnsi="宋体" w:hint="eastAsia"/>
                <w:lang w:eastAsia="zh-Hans"/>
              </w:rPr>
              <w:t>P/E</w:t>
            </w:r>
            <w:r>
              <w:rPr>
                <w:rFonts w:ascii="宋体" w:hAnsi="宋体" w:hint="eastAsia"/>
                <w:lang w:eastAsia="zh-Hans"/>
              </w:rPr>
              <w:t>、</w:t>
            </w:r>
            <w:r>
              <w:rPr>
                <w:rFonts w:ascii="宋体" w:hAnsi="宋体" w:hint="eastAsia"/>
                <w:lang w:eastAsia="zh-Hans"/>
              </w:rPr>
              <w:t>P/CFPS</w:t>
            </w:r>
            <w:r>
              <w:rPr>
                <w:rFonts w:ascii="宋体" w:hAnsi="宋体" w:hint="eastAsia"/>
                <w:lang w:eastAsia="zh-Hans"/>
              </w:rPr>
              <w:t>、</w:t>
            </w:r>
            <w:r>
              <w:rPr>
                <w:rFonts w:ascii="宋体" w:hAnsi="宋体" w:hint="eastAsia"/>
                <w:lang w:eastAsia="zh-Hans"/>
              </w:rPr>
              <w:t>P/S</w:t>
            </w:r>
            <w:r>
              <w:rPr>
                <w:rFonts w:ascii="宋体" w:hAnsi="宋体" w:hint="eastAsia"/>
                <w:lang w:eastAsia="zh-Hans"/>
              </w:rPr>
              <w:t>、</w:t>
            </w:r>
            <w:r>
              <w:rPr>
                <w:rFonts w:ascii="宋体" w:hAnsi="宋体" w:hint="eastAsia"/>
                <w:lang w:eastAsia="zh-Hans"/>
              </w:rPr>
              <w:t>P/B</w:t>
            </w:r>
            <w:r>
              <w:rPr>
                <w:rFonts w:ascii="宋体" w:hAnsi="宋体" w:hint="eastAsia"/>
                <w:lang w:eastAsia="zh-Hans"/>
              </w:rPr>
              <w:t>等乘数法和</w:t>
            </w:r>
            <w:r>
              <w:rPr>
                <w:rFonts w:ascii="宋体" w:hAnsi="宋体" w:hint="eastAsia"/>
                <w:lang w:eastAsia="zh-Hans"/>
              </w:rPr>
              <w:t>DCF</w:t>
            </w:r>
            <w:r>
              <w:rPr>
                <w:rFonts w:ascii="宋体" w:hAnsi="宋体" w:hint="eastAsia"/>
                <w:lang w:eastAsia="zh-Hans"/>
              </w:rPr>
              <w:t>增长模型建立股票选择池。</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）宏观经济分析</w:t>
            </w:r>
            <w:r>
              <w:rPr>
                <w:rFonts w:ascii="宋体" w:hAnsi="宋体" w:hint="eastAsia"/>
                <w:lang w:eastAsia="zh-Hans"/>
              </w:rPr>
              <w:br/>
            </w:r>
            <w:r>
              <w:rPr>
                <w:rFonts w:ascii="宋体" w:hAnsi="宋体" w:hint="eastAsia"/>
                <w:lang w:eastAsia="zh-Hans"/>
              </w:rPr>
              <w:t>本基金基于对宏观经济运行状况及政策分析、财政政策与货币政策运行状况分析、行业运行景气状况分析的基础上，重点判断宏观经济周期对市场不同行业的影响，作为资产配置的依据。同时根据宏观经济对市场影响的分析，初步判断市场的多空方向，决定大类资产配置。</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）行业分析</w:t>
            </w:r>
            <w:r>
              <w:rPr>
                <w:rFonts w:ascii="宋体" w:hAnsi="宋体" w:hint="eastAsia"/>
                <w:lang w:eastAsia="zh-Hans"/>
              </w:rPr>
              <w:br/>
            </w:r>
            <w:r>
              <w:rPr>
                <w:rFonts w:ascii="宋体" w:hAnsi="宋体" w:hint="eastAsia"/>
                <w:lang w:eastAsia="zh-Hans"/>
              </w:rPr>
              <w:t>本基金将根据各行业所处生命周期、产业竞争结构、近期发展趋势等方面</w:t>
            </w:r>
            <w:r>
              <w:rPr>
                <w:rFonts w:ascii="宋体" w:hAnsi="宋体" w:hint="eastAsia"/>
                <w:lang w:eastAsia="zh-Hans"/>
              </w:rPr>
              <w:t>因素对各行业的相对盈利能力及投资吸引力进行评价，考察净资产收益率、营运周期、销售收入、净利润等指标，对各行业投资机会进行评估，并根据行业综合评价结果确定股票资产中各行业的权重。</w:t>
            </w:r>
            <w:r>
              <w:rPr>
                <w:rFonts w:ascii="宋体" w:hAnsi="宋体" w:hint="eastAsia"/>
                <w:lang w:eastAsia="zh-Hans"/>
              </w:rPr>
              <w:br/>
            </w:r>
            <w:r>
              <w:rPr>
                <w:rFonts w:ascii="宋体" w:hAnsi="宋体" w:hint="eastAsia"/>
                <w:lang w:eastAsia="zh-Hans"/>
              </w:rPr>
              <w:t>（</w:t>
            </w:r>
            <w:r>
              <w:rPr>
                <w:rFonts w:ascii="宋体" w:hAnsi="宋体" w:hint="eastAsia"/>
                <w:lang w:eastAsia="zh-Hans"/>
              </w:rPr>
              <w:t>3</w:t>
            </w:r>
            <w:r>
              <w:rPr>
                <w:rFonts w:ascii="宋体" w:hAnsi="宋体" w:hint="eastAsia"/>
                <w:lang w:eastAsia="zh-Hans"/>
              </w:rPr>
              <w:t>）公司质地分析</w:t>
            </w:r>
            <w:r>
              <w:rPr>
                <w:rFonts w:ascii="宋体" w:hAnsi="宋体" w:hint="eastAsia"/>
                <w:lang w:eastAsia="zh-Hans"/>
              </w:rPr>
              <w:br/>
            </w:r>
            <w:r>
              <w:rPr>
                <w:rFonts w:ascii="宋体" w:hAnsi="宋体" w:hint="eastAsia"/>
                <w:lang w:eastAsia="zh-Hans"/>
              </w:rPr>
              <w:t>企业在行业中的相对竞争力是决定企业成败和投资价值的关键，本基金将根据公司质地对上市公司当前和未来的竞争优势加以评估。公司质地良好的企业通常具备以下特征：企业在管理、品牌、资源、技术、创新能力中的某一方面或多个方面具有竞争对手在短时间内难以模仿的显著优势，从而能够获得超越行业平均的盈利水平和增长速度。本基金将通过包括实际调研在内的多种分析手段，对上市公司质地进行判断。</w:t>
            </w:r>
            <w:r>
              <w:rPr>
                <w:rFonts w:ascii="宋体" w:hAnsi="宋体" w:hint="eastAsia"/>
                <w:lang w:eastAsia="zh-Hans"/>
              </w:rPr>
              <w:br/>
            </w:r>
            <w:r>
              <w:rPr>
                <w:rFonts w:ascii="宋体" w:hAnsi="宋体" w:hint="eastAsia"/>
                <w:lang w:eastAsia="zh-Hans"/>
              </w:rPr>
              <w:t>（</w:t>
            </w:r>
            <w:r>
              <w:rPr>
                <w:rFonts w:ascii="宋体" w:hAnsi="宋体" w:hint="eastAsia"/>
                <w:lang w:eastAsia="zh-Hans"/>
              </w:rPr>
              <w:t>4</w:t>
            </w:r>
            <w:r>
              <w:rPr>
                <w:rFonts w:ascii="宋体" w:hAnsi="宋体" w:hint="eastAsia"/>
                <w:lang w:eastAsia="zh-Hans"/>
              </w:rPr>
              <w:t>）股票估值水平分析</w:t>
            </w:r>
            <w:r>
              <w:rPr>
                <w:rFonts w:ascii="宋体" w:hAnsi="宋体" w:hint="eastAsia"/>
                <w:lang w:eastAsia="zh-Hans"/>
              </w:rPr>
              <w:br/>
            </w:r>
            <w:r>
              <w:rPr>
                <w:rFonts w:ascii="宋体" w:hAnsi="宋体" w:hint="eastAsia"/>
                <w:lang w:eastAsia="zh-Hans"/>
              </w:rPr>
              <w:t>本基金的战略目标是构造可以创造主动管理报酬的投资组合，上市公司经过竞争优势指标筛选之后，将由研究团队进行估值水平考察。通过基本面和估值指标筛选的基础组合即被纳入摩根基金管理（中国）有限公司策略性评价体系。本基金在对股票进行估值时，首先采用现金流折现模型（</w:t>
            </w:r>
            <w:r>
              <w:rPr>
                <w:rFonts w:ascii="宋体" w:hAnsi="宋体" w:hint="eastAsia"/>
                <w:lang w:eastAsia="zh-Hans"/>
              </w:rPr>
              <w:t>DCF</w:t>
            </w:r>
            <w:r>
              <w:rPr>
                <w:rFonts w:ascii="宋体" w:hAnsi="宋体" w:hint="eastAsia"/>
                <w:lang w:eastAsia="zh-Hans"/>
              </w:rPr>
              <w:t>）计算出股票的内在价值，然后在第二阶段采用乘数估值法（</w:t>
            </w:r>
            <w:r>
              <w:rPr>
                <w:rFonts w:ascii="宋体" w:hAnsi="宋体" w:hint="eastAsia"/>
                <w:lang w:eastAsia="zh-Hans"/>
              </w:rPr>
              <w:t>Multiple</w:t>
            </w:r>
            <w:r>
              <w:rPr>
                <w:rFonts w:ascii="宋体" w:hAnsi="宋体" w:hint="eastAsia"/>
                <w:lang w:eastAsia="zh-Hans"/>
              </w:rPr>
              <w:t>），通过对对同行业公司的情况对样本公司价值进行比较修正，使得对于股票价值的评估更加准确可靠。</w:t>
            </w:r>
            <w:r>
              <w:rPr>
                <w:rFonts w:ascii="宋体" w:hAnsi="宋体" w:hint="eastAsia"/>
                <w:lang w:eastAsia="zh-Hans"/>
              </w:rPr>
              <w:br/>
              <w:t>2</w:t>
            </w:r>
            <w:r>
              <w:rPr>
                <w:rFonts w:ascii="宋体" w:hAnsi="宋体" w:hint="eastAsia"/>
                <w:lang w:eastAsia="zh-Hans"/>
              </w:rPr>
              <w:t>、固定</w:t>
            </w:r>
            <w:r>
              <w:rPr>
                <w:rFonts w:ascii="宋体" w:hAnsi="宋体" w:hint="eastAsia"/>
                <w:lang w:eastAsia="zh-Hans"/>
              </w:rPr>
              <w:t>收益类投资策略</w:t>
            </w:r>
            <w:r>
              <w:rPr>
                <w:rFonts w:ascii="宋体" w:hAnsi="宋体" w:hint="eastAsia"/>
                <w:lang w:eastAsia="zh-Hans"/>
              </w:rPr>
              <w:br/>
            </w:r>
            <w:r>
              <w:rPr>
                <w:rFonts w:ascii="宋体" w:hAnsi="宋体" w:hint="eastAsia"/>
                <w:lang w:eastAsia="zh-Hans"/>
              </w:rPr>
              <w:t>本基金的债券投资策略是建立在对债券核心内在价值的认识上。我们将采用更为有效的债券估值模型，同时综合考虑宏观经济运行状况、金融市场环境及利率走势，采取至上而下和至下而上结合的投资策略积极配置资产。在控制利率风险、信用风险以及流动性风险的基础上，通过组合投资为投资者创造长期回报。具体而言，我们将运用利率预期策略、骑乘收益曲线策略和类属资产配置策略等积极策略配置各类债券资产。</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利率预期策略：本基金将首先根据对国内外经济形势的预测，分析市场投资环境的变化趋势，重点关注利率趋势变化。通过全面分析宏观经济、货币政策与财政政策、物价水平变化趋势等因素，对利率走势形成合理预期。</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骑乘收益率曲线策略：骑乘收益率曲线策略是短期货币市场证券管理中流行的一种策略。具体操作时买入收益率曲线最突起部位所在剩余期限的债券，这一期限的收益率水平此时处于相对较高的位置，随着一段时间的持有，当收益率下降时，对应的将是债券价格的走高，而这一期限债券的涨幅将会高于其他期限，这样就可以获得更好的价差收益。</w:t>
            </w:r>
            <w:r>
              <w:rPr>
                <w:rFonts w:ascii="宋体" w:hAnsi="宋体" w:hint="eastAsia"/>
                <w:lang w:eastAsia="zh-Hans"/>
              </w:rPr>
              <w:br/>
            </w:r>
            <w:r>
              <w:rPr>
                <w:rFonts w:ascii="宋体" w:hAnsi="宋体" w:hint="eastAsia"/>
                <w:lang w:eastAsia="zh-Hans"/>
              </w:rPr>
              <w:t>（</w:t>
            </w:r>
            <w:r>
              <w:rPr>
                <w:rFonts w:ascii="宋体" w:hAnsi="宋体" w:hint="eastAsia"/>
                <w:lang w:eastAsia="zh-Hans"/>
              </w:rPr>
              <w:t>3</w:t>
            </w:r>
            <w:r>
              <w:rPr>
                <w:rFonts w:ascii="宋体" w:hAnsi="宋体" w:hint="eastAsia"/>
                <w:lang w:eastAsia="zh-Hans"/>
              </w:rPr>
              <w:t>）类属资产配置：在类属资产配置层次，本基金根据市场和类属资产的风险收益特征，在判断各类属的利率期限结构与交易活跃的</w:t>
            </w:r>
            <w:r>
              <w:rPr>
                <w:rFonts w:ascii="宋体" w:hAnsi="宋体" w:hint="eastAsia"/>
                <w:lang w:eastAsia="zh-Hans"/>
              </w:rPr>
              <w:t>国家信用等级短期券利率期限结构应具有的合理利差水平基础上，将市场细分为交易所国债、交易所企业债、银行间国债、银行间金融债等子市场。结合各类属资产的市场容量、信用等级和流动性特点，在此基础上运用修正的均值</w:t>
            </w:r>
            <w:r>
              <w:rPr>
                <w:rFonts w:ascii="宋体" w:hAnsi="宋体" w:hint="eastAsia"/>
                <w:lang w:eastAsia="zh-Hans"/>
              </w:rPr>
              <w:t>-</w:t>
            </w:r>
            <w:r>
              <w:rPr>
                <w:rFonts w:ascii="宋体" w:hAnsi="宋体" w:hint="eastAsia"/>
                <w:lang w:eastAsia="zh-Hans"/>
              </w:rPr>
              <w:t>方差等模型，定期对投资组合类属资产进行最优化配置和调整，确定类属资产的最优权重。</w:t>
            </w:r>
            <w:r>
              <w:rPr>
                <w:rFonts w:ascii="宋体" w:hAnsi="宋体" w:hint="eastAsia"/>
                <w:lang w:eastAsia="zh-Hans"/>
              </w:rPr>
              <w:br/>
              <w:t>3</w:t>
            </w:r>
            <w:r>
              <w:rPr>
                <w:rFonts w:ascii="宋体" w:hAnsi="宋体" w:hint="eastAsia"/>
                <w:lang w:eastAsia="zh-Hans"/>
              </w:rPr>
              <w:t>、权证投资策略</w:t>
            </w:r>
            <w:r>
              <w:rPr>
                <w:rFonts w:ascii="宋体" w:hAnsi="宋体" w:hint="eastAsia"/>
                <w:lang w:eastAsia="zh-Hans"/>
              </w:rPr>
              <w:br/>
            </w:r>
            <w:r>
              <w:rPr>
                <w:rFonts w:ascii="宋体" w:hAnsi="宋体" w:hint="eastAsia"/>
                <w:lang w:eastAsia="zh-Hans"/>
              </w:rPr>
              <w:t>本基金将在法律法规及基金合同规定的范围内，采取积极的态度进行权证投资。权证投资的主要目的在于对冲组合中证券的持有风险，及在正确估值标的证券的基础上获取权证投资收益。本基金将采用业界广泛应用的</w:t>
            </w:r>
            <w:r>
              <w:rPr>
                <w:rFonts w:ascii="宋体" w:hAnsi="宋体" w:hint="eastAsia"/>
                <w:lang w:eastAsia="zh-Hans"/>
              </w:rPr>
              <w:t>Black-Scholes</w:t>
            </w:r>
            <w:r>
              <w:rPr>
                <w:rFonts w:ascii="宋体" w:hAnsi="宋体" w:hint="eastAsia"/>
                <w:lang w:eastAsia="zh-Hans"/>
              </w:rPr>
              <w:t xml:space="preserve">　</w:t>
            </w:r>
            <w:r>
              <w:rPr>
                <w:rFonts w:ascii="宋体" w:hAnsi="宋体" w:hint="eastAsia"/>
                <w:lang w:eastAsia="zh-Hans"/>
              </w:rPr>
              <w:t>Pricing</w:t>
            </w:r>
            <w:r>
              <w:rPr>
                <w:rFonts w:ascii="宋体" w:hAnsi="宋体" w:hint="eastAsia"/>
                <w:lang w:eastAsia="zh-Hans"/>
              </w:rPr>
              <w:t xml:space="preserve">　</w:t>
            </w:r>
            <w:r>
              <w:rPr>
                <w:rFonts w:ascii="宋体" w:hAnsi="宋体" w:hint="eastAsia"/>
                <w:lang w:eastAsia="zh-Hans"/>
              </w:rPr>
              <w:t>Model(BSPM)</w:t>
            </w:r>
            <w:r>
              <w:rPr>
                <w:rFonts w:ascii="宋体" w:hAnsi="宋体" w:hint="eastAsia"/>
                <w:lang w:eastAsia="zh-Hans"/>
              </w:rPr>
              <w:t>对权证进行估价。对于股票基本面和投资价值的判断一贯是本公司投资的重要依据。在投资权证前，基金管理人员和研究员应对标的股票的基本面和内在价值作出分析判断。</w:t>
            </w:r>
            <w:r>
              <w:rPr>
                <w:rFonts w:ascii="宋体" w:hAnsi="宋体" w:hint="eastAsia"/>
                <w:lang w:eastAsia="zh-Hans"/>
              </w:rPr>
              <w:br/>
              <w:t>4</w:t>
            </w:r>
            <w:r>
              <w:rPr>
                <w:rFonts w:ascii="宋体" w:hAnsi="宋体" w:hint="eastAsia"/>
                <w:lang w:eastAsia="zh-Hans"/>
              </w:rPr>
              <w:t>、资产支持证券投资策略</w:t>
            </w:r>
            <w:r>
              <w:rPr>
                <w:rFonts w:ascii="宋体" w:hAnsi="宋体" w:hint="eastAsia"/>
                <w:lang w:eastAsia="zh-Hans"/>
              </w:rPr>
              <w:br/>
            </w:r>
            <w:r>
              <w:rPr>
                <w:rFonts w:ascii="宋体" w:hAnsi="宋体" w:hint="eastAsia"/>
                <w:lang w:eastAsia="zh-Hans"/>
              </w:rPr>
              <w:t>本基金投资资产支持证券时，将综合运用久期管理、收益率曲线、个券选择和把握市场交易机会等积极策略，在严格控制风险的情况下，通过信用研究和对个案的具体分析，确定资产合理配置比例，在保证资产安全性的前提条件下，以期获得长期稳定收益。</w:t>
            </w:r>
            <w:r>
              <w:rPr>
                <w:rFonts w:ascii="宋体" w:hAnsi="宋体" w:hint="eastAsia"/>
                <w:lang w:eastAsia="zh-Hans"/>
              </w:rPr>
              <w:br/>
              <w:t>5</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资产配置是本基金资产管理的重要环节。本</w:t>
            </w:r>
            <w:r>
              <w:rPr>
                <w:rFonts w:ascii="宋体" w:hAnsi="宋体" w:hint="eastAsia"/>
                <w:lang w:eastAsia="zh-Hans"/>
              </w:rPr>
              <w:t>基金是一只注重价值投资的平衡型基金，资产配置策略依据对宏观经济、股市政策、市场趋势等因素的判断，对股票市场和债券市场的风险收益特征进行科学的评估后，在本基金投资范围内，将基金资产主要分配在权益类、固定收益类之间，并根据投资环境的实际变化情况，在各类金融资产之间进行实时动态配置，以期承受尽量小的投资风险，并取得尽可能大的主动管理回报。</w:t>
            </w:r>
            <w:r>
              <w:rPr>
                <w:rFonts w:ascii="宋体" w:hAnsi="宋体" w:hint="eastAsia"/>
                <w:lang w:eastAsia="zh-Hans"/>
              </w:rPr>
              <w:br/>
            </w:r>
            <w:r>
              <w:rPr>
                <w:rFonts w:ascii="宋体" w:hAnsi="宋体" w:hint="eastAsia"/>
                <w:lang w:eastAsia="zh-Hans"/>
              </w:rPr>
              <w:t>具体而言，在正常的市场环境下，本基金将保持不同类型资产配置比例的相对稳定。如果出现股票市场整体估值水平较大程度偏离企业基本面的情况，会对权益类和固定收益类资产的配置比例做出相应的调整，以减少投资风险。在股票市场安全边际降低，且综合考虑收益风险后投资吸引力低于固定收益资产时，本基金将降低权益类资产的配置比例；相反，在股票市场安全边际增厚时，本基金将相应增加权益类资产的配置比例。</w:t>
            </w:r>
            <w:r>
              <w:rPr>
                <w:rFonts w:ascii="宋体" w:hAnsi="宋体" w:hint="eastAsia"/>
                <w:lang w:eastAsia="zh-Hans"/>
              </w:rPr>
              <w:br/>
              <w:t>6</w:t>
            </w:r>
            <w:r>
              <w:rPr>
                <w:rFonts w:ascii="宋体" w:hAnsi="宋体" w:hint="eastAsia"/>
                <w:lang w:eastAsia="zh-Hans"/>
              </w:rPr>
              <w:t>、存托凭证投资策略</w:t>
            </w:r>
            <w:r>
              <w:rPr>
                <w:rFonts w:ascii="宋体" w:hAnsi="宋体" w:hint="eastAsia"/>
                <w:lang w:eastAsia="zh-Hans"/>
              </w:rPr>
              <w:br/>
            </w:r>
            <w:r>
              <w:rPr>
                <w:rFonts w:ascii="宋体" w:hAnsi="宋体" w:hint="eastAsia"/>
                <w:lang w:eastAsia="zh-Hans"/>
              </w:rPr>
              <w:t>本基金将根据本基金的投资目标和股票投资策略，基于对基础证券投资价值的深入研究判断，进行存托凭证的投资</w:t>
            </w:r>
            <w:r>
              <w:rPr>
                <w:rFonts w:ascii="宋体" w:hAnsi="宋体" w:hint="eastAsia"/>
                <w:lang w:eastAsia="zh-Hans"/>
              </w:rPr>
              <w:t>。</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50%</w:t>
            </w:r>
            <w:r>
              <w:rPr>
                <w:rFonts w:ascii="宋体" w:hAnsi="宋体" w:hint="eastAsia"/>
                <w:lang w:eastAsia="zh-Hans"/>
              </w:rPr>
              <w:t>＋上证国债指数收益率×</w:t>
            </w:r>
            <w:r>
              <w:rPr>
                <w:rFonts w:ascii="宋体" w:hAnsi="宋体" w:hint="eastAsia"/>
                <w:lang w:eastAsia="zh-Hans"/>
              </w:rPr>
              <w:t>50</w:t>
            </w:r>
            <w:r>
              <w:rPr>
                <w:rFonts w:ascii="宋体" w:hAnsi="宋体" w:hint="eastAsia"/>
                <w:lang w:eastAsia="zh-Hans"/>
              </w:rPr>
              <w:t>％</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本基金是混合型基金，在证券投资基金中属于中高风险品种，其预期风险收益水平低于股票型基金，高于债券基金与货币市场基金。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961883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96188348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lang w:eastAsia="zh-Hans"/>
              </w:rPr>
              <w:t>摩根双核平衡混合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lang w:eastAsia="zh-Hans"/>
              </w:rPr>
              <w:t>摩根双核平衡混合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96188348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lang w:eastAsia="zh-Hans"/>
              </w:rPr>
              <w:t>37302</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lang w:eastAsia="zh-Hans"/>
              </w:rPr>
              <w:t>01517</w:t>
            </w:r>
            <w:r>
              <w:rPr>
                <w:rFonts w:ascii="宋体" w:hAnsi="宋体" w:hint="eastAsia"/>
                <w:lang w:eastAsia="zh-Hans"/>
              </w:rPr>
              <w:t>4</w:t>
            </w:r>
            <w:r>
              <w:rPr>
                <w:rFonts w:ascii="宋体" w:hAnsi="宋体" w:hint="eastAsia"/>
                <w:kern w:val="0"/>
                <w:sz w:val="20"/>
                <w:lang w:eastAsia="zh-Hans"/>
              </w:rPr>
              <w:t xml:space="preserve"> </w:t>
            </w:r>
          </w:p>
        </w:tc>
      </w:tr>
      <w:bookmarkEnd w:id="32"/>
      <w:bookmarkEnd w:id="33"/>
      <w:tr w:rsidR="00000000">
        <w:trPr>
          <w:divId w:val="96188348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38F1" w:rsidRDefault="002838F1">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lang w:eastAsia="zh-Hans"/>
              </w:rPr>
              <w:t>187,463,682.5</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lang w:eastAsia="zh-Hans"/>
              </w:rPr>
              <w:t>7,178,484.2</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2838F1" w:rsidRDefault="002838F1">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2838F1" w:rsidRDefault="002838F1">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2838F1" w:rsidRDefault="002838F1">
      <w:pPr>
        <w:jc w:val="right"/>
        <w:divId w:val="44099716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44099716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838F1" w:rsidRDefault="002838F1">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838F1" w:rsidRDefault="002838F1">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44099716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838F1" w:rsidRDefault="002838F1">
            <w:pPr>
              <w:jc w:val="center"/>
              <w:rPr>
                <w:rFonts w:hint="eastAsia"/>
              </w:rPr>
            </w:pPr>
            <w:r>
              <w:rPr>
                <w:rFonts w:ascii="宋体" w:hAnsi="宋体" w:hint="eastAsia"/>
                <w:szCs w:val="24"/>
                <w:lang w:eastAsia="zh-Hans"/>
              </w:rPr>
              <w:t>摩根双核平衡混合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838F1" w:rsidRDefault="002838F1">
            <w:pPr>
              <w:jc w:val="center"/>
            </w:pPr>
            <w:r>
              <w:rPr>
                <w:rFonts w:ascii="宋体" w:hAnsi="宋体" w:hint="eastAsia"/>
                <w:szCs w:val="24"/>
                <w:lang w:eastAsia="zh-Hans"/>
              </w:rPr>
              <w:t>摩根双核平衡混合</w:t>
            </w:r>
            <w:r>
              <w:rPr>
                <w:rFonts w:ascii="宋体" w:hAnsi="宋体" w:hint="eastAsia"/>
                <w:szCs w:val="24"/>
                <w:lang w:eastAsia="zh-Hans"/>
              </w:rPr>
              <w:t>C</w:t>
            </w:r>
          </w:p>
        </w:tc>
      </w:tr>
      <w:tr w:rsidR="00000000">
        <w:trPr>
          <w:divId w:val="440997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rPr>
                <w:rFonts w:hint="eastAsia"/>
              </w:rPr>
            </w:pPr>
            <w:r>
              <w:rPr>
                <w:rFonts w:ascii="宋体" w:hAnsi="宋体" w:hint="eastAsia"/>
                <w:szCs w:val="24"/>
                <w:lang w:eastAsia="zh-Hans"/>
              </w:rPr>
              <w:t>62,613,693.9</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pPr>
            <w:r>
              <w:rPr>
                <w:rFonts w:ascii="宋体" w:hAnsi="宋体" w:hint="eastAsia"/>
                <w:szCs w:val="24"/>
                <w:lang w:eastAsia="zh-Hans"/>
              </w:rPr>
              <w:t>801,105.1</w:t>
            </w:r>
            <w:r>
              <w:rPr>
                <w:rFonts w:ascii="宋体" w:hAnsi="宋体" w:hint="eastAsia"/>
                <w:szCs w:val="24"/>
                <w:lang w:eastAsia="zh-Hans"/>
              </w:rPr>
              <w:t>5</w:t>
            </w:r>
          </w:p>
        </w:tc>
      </w:tr>
      <w:tr w:rsidR="00000000">
        <w:trPr>
          <w:divId w:val="440997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rPr>
                <w:rFonts w:hint="eastAsia"/>
              </w:rPr>
            </w:pPr>
            <w:r>
              <w:rPr>
                <w:rFonts w:ascii="宋体" w:hAnsi="宋体" w:hint="eastAsia"/>
                <w:szCs w:val="24"/>
                <w:lang w:eastAsia="zh-Hans"/>
              </w:rPr>
              <w:t>168,034,378.5</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pPr>
            <w:r>
              <w:rPr>
                <w:rFonts w:ascii="宋体" w:hAnsi="宋体" w:hint="eastAsia"/>
                <w:szCs w:val="24"/>
                <w:lang w:eastAsia="zh-Hans"/>
              </w:rPr>
              <w:t>2,386,955.3</w:t>
            </w:r>
            <w:r>
              <w:rPr>
                <w:rFonts w:ascii="宋体" w:hAnsi="宋体" w:hint="eastAsia"/>
                <w:szCs w:val="24"/>
                <w:lang w:eastAsia="zh-Hans"/>
              </w:rPr>
              <w:t>1</w:t>
            </w:r>
          </w:p>
        </w:tc>
      </w:tr>
      <w:tr w:rsidR="00000000">
        <w:trPr>
          <w:divId w:val="440997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rPr>
                <w:rFonts w:hint="eastAsia"/>
              </w:rPr>
            </w:pPr>
            <w:r>
              <w:rPr>
                <w:rFonts w:ascii="宋体" w:hAnsi="宋体" w:hint="eastAsia"/>
                <w:szCs w:val="24"/>
                <w:lang w:eastAsia="zh-Hans"/>
              </w:rPr>
              <w:t>0.965</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pPr>
            <w:r>
              <w:rPr>
                <w:rFonts w:ascii="宋体" w:hAnsi="宋体" w:hint="eastAsia"/>
                <w:szCs w:val="24"/>
                <w:lang w:eastAsia="zh-Hans"/>
              </w:rPr>
              <w:t>0.957</w:t>
            </w:r>
            <w:r>
              <w:rPr>
                <w:rFonts w:ascii="宋体" w:hAnsi="宋体" w:hint="eastAsia"/>
                <w:szCs w:val="24"/>
                <w:lang w:eastAsia="zh-Hans"/>
              </w:rPr>
              <w:t>4</w:t>
            </w:r>
          </w:p>
        </w:tc>
      </w:tr>
      <w:tr w:rsidR="00000000">
        <w:trPr>
          <w:divId w:val="440997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rPr>
                <w:rFonts w:hint="eastAsia"/>
              </w:rPr>
            </w:pPr>
            <w:r>
              <w:rPr>
                <w:rFonts w:ascii="宋体" w:hAnsi="宋体" w:hint="eastAsia"/>
                <w:szCs w:val="24"/>
                <w:lang w:eastAsia="zh-Hans"/>
              </w:rPr>
              <w:t>521,273,499.2</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pPr>
            <w:r>
              <w:rPr>
                <w:rFonts w:ascii="宋体" w:hAnsi="宋体" w:hint="eastAsia"/>
                <w:szCs w:val="24"/>
                <w:lang w:eastAsia="zh-Hans"/>
              </w:rPr>
              <w:t>19,587,014.2</w:t>
            </w:r>
            <w:r>
              <w:rPr>
                <w:rFonts w:ascii="宋体" w:hAnsi="宋体" w:hint="eastAsia"/>
                <w:szCs w:val="24"/>
                <w:lang w:eastAsia="zh-Hans"/>
              </w:rPr>
              <w:t>6</w:t>
            </w:r>
          </w:p>
        </w:tc>
      </w:tr>
      <w:tr w:rsidR="00000000">
        <w:trPr>
          <w:divId w:val="440997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rPr>
                <w:rFonts w:hint="eastAsia"/>
              </w:rPr>
            </w:pPr>
            <w:r>
              <w:rPr>
                <w:rFonts w:ascii="宋体" w:hAnsi="宋体" w:hint="eastAsia"/>
                <w:szCs w:val="24"/>
                <w:lang w:eastAsia="zh-Hans"/>
              </w:rPr>
              <w:t>2.780</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38F1" w:rsidRDefault="002838F1">
            <w:pPr>
              <w:jc w:val="right"/>
            </w:pPr>
            <w:r>
              <w:rPr>
                <w:rFonts w:ascii="宋体" w:hAnsi="宋体" w:hint="eastAsia"/>
                <w:szCs w:val="24"/>
                <w:lang w:eastAsia="zh-Hans"/>
              </w:rPr>
              <w:t>2.728</w:t>
            </w:r>
            <w:r>
              <w:rPr>
                <w:rFonts w:ascii="宋体" w:hAnsi="宋体" w:hint="eastAsia"/>
                <w:szCs w:val="24"/>
                <w:lang w:eastAsia="zh-Hans"/>
              </w:rPr>
              <w:t>6</w:t>
            </w:r>
          </w:p>
        </w:tc>
      </w:tr>
    </w:tbl>
    <w:p w:rsidR="002838F1" w:rsidRDefault="002838F1">
      <w:pPr>
        <w:wordWrap w:val="0"/>
        <w:spacing w:line="360" w:lineRule="auto"/>
        <w:jc w:val="left"/>
        <w:divId w:val="1192576220"/>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2838F1" w:rsidRDefault="002838F1">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2838F1" w:rsidRDefault="002838F1">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2838F1" w:rsidRDefault="002838F1">
      <w:pPr>
        <w:spacing w:line="360" w:lineRule="auto"/>
        <w:jc w:val="center"/>
        <w:divId w:val="670182528"/>
        <w:rPr>
          <w:rFonts w:hint="eastAsia"/>
        </w:rPr>
      </w:pPr>
      <w:r>
        <w:rPr>
          <w:rFonts w:ascii="宋体" w:hAnsi="宋体" w:hint="eastAsia"/>
        </w:rPr>
        <w:t>摩根双核平衡混合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7018252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②－④</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52.8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6.4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46.4</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59.2</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4.5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54.6</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111.9</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13.8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98.1</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94.6</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21.1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73.5</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25.3</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8.7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16.5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190.2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30.9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159.2</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226.0</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51.3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174.7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r>
      <w:tr w:rsidR="00000000">
        <w:trPr>
          <w:divId w:val="67018252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612.0</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67.8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544.1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0.4</w:t>
            </w:r>
            <w:r>
              <w:rPr>
                <w:rFonts w:ascii="宋体" w:hAnsi="宋体" w:hint="eastAsia"/>
              </w:rPr>
              <w:t>8</w:t>
            </w:r>
            <w:r>
              <w:rPr>
                <w:rFonts w:ascii="宋体" w:hAnsi="宋体" w:hint="eastAsia"/>
              </w:rPr>
              <w:t xml:space="preserve">% </w:t>
            </w:r>
          </w:p>
        </w:tc>
      </w:tr>
    </w:tbl>
    <w:p w:rsidR="002838F1" w:rsidRDefault="002838F1">
      <w:pPr>
        <w:spacing w:line="360" w:lineRule="auto"/>
        <w:jc w:val="center"/>
        <w:divId w:val="267277181"/>
      </w:pPr>
      <w:r>
        <w:rPr>
          <w:rFonts w:ascii="宋体" w:hAnsi="宋体" w:hint="eastAsia"/>
        </w:rPr>
        <w:t>摩根双核平衡混合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6727718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67277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52.6</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6.4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46.2</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1.0</w:t>
            </w:r>
            <w:r>
              <w:rPr>
                <w:rFonts w:ascii="宋体" w:hAnsi="宋体" w:hint="eastAsia"/>
              </w:rPr>
              <w:t>9</w:t>
            </w:r>
            <w:r>
              <w:rPr>
                <w:rFonts w:ascii="宋体" w:hAnsi="宋体" w:hint="eastAsia"/>
              </w:rPr>
              <w:t>%</w:t>
            </w:r>
            <w:r>
              <w:rPr>
                <w:rFonts w:ascii="宋体" w:hAnsi="宋体" w:hint="eastAsia"/>
              </w:rPr>
              <w:t xml:space="preserve"> </w:t>
            </w:r>
          </w:p>
        </w:tc>
      </w:tr>
      <w:tr w:rsidR="00000000">
        <w:trPr>
          <w:divId w:val="267277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58.8</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1.5</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4.5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54.2</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267277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110.9</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13.8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97.0</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267277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91.7</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21.1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70.6</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8</w:t>
            </w:r>
            <w:r>
              <w:rPr>
                <w:rFonts w:ascii="宋体" w:hAnsi="宋体" w:hint="eastAsia"/>
              </w:rPr>
              <w:t>%</w:t>
            </w:r>
            <w:r>
              <w:rPr>
                <w:rFonts w:ascii="宋体" w:hAnsi="宋体" w:hint="eastAsia"/>
              </w:rPr>
              <w:t xml:space="preserve"> </w:t>
            </w:r>
          </w:p>
        </w:tc>
      </w:tr>
      <w:tr w:rsidR="00000000">
        <w:trPr>
          <w:divId w:val="267277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52.1</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16.9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38F1" w:rsidRDefault="002838F1">
            <w:pPr>
              <w:spacing w:line="360" w:lineRule="auto"/>
              <w:jc w:val="right"/>
            </w:pPr>
            <w:r>
              <w:rPr>
                <w:rFonts w:ascii="宋体" w:hAnsi="宋体" w:hint="eastAsia"/>
              </w:rPr>
              <w:t>35.2</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spacing w:line="360" w:lineRule="auto"/>
              <w:jc w:val="right"/>
            </w:pPr>
            <w:r>
              <w:rPr>
                <w:rFonts w:ascii="宋体" w:hAnsi="宋体" w:hint="eastAsia"/>
              </w:rPr>
              <w:t>0.5</w:t>
            </w:r>
            <w:r>
              <w:rPr>
                <w:rFonts w:ascii="宋体" w:hAnsi="宋体" w:hint="eastAsia"/>
              </w:rPr>
              <w:t>9</w:t>
            </w:r>
            <w:r>
              <w:rPr>
                <w:rFonts w:ascii="宋体" w:hAnsi="宋体" w:hint="eastAsia"/>
              </w:rPr>
              <w:t>%</w:t>
            </w:r>
            <w:r>
              <w:rPr>
                <w:rFonts w:ascii="宋体" w:hAnsi="宋体" w:hint="eastAsia"/>
              </w:rPr>
              <w:t xml:space="preserve"> </w:t>
            </w:r>
          </w:p>
        </w:tc>
      </w:tr>
    </w:tbl>
    <w:p w:rsidR="002838F1" w:rsidRDefault="002838F1">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2838F1" w:rsidRDefault="002838F1">
      <w:pPr>
        <w:spacing w:line="360" w:lineRule="auto"/>
        <w:jc w:val="left"/>
        <w:divId w:val="60326425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838F1" w:rsidRDefault="002838F1">
      <w:pPr>
        <w:spacing w:line="360" w:lineRule="auto"/>
        <w:jc w:val="left"/>
        <w:divId w:val="4241211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838F1" w:rsidRDefault="002838F1">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2008</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2022 </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t xml:space="preserve"> </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2838F1" w:rsidRDefault="002838F1">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2838F1" w:rsidRDefault="002838F1">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6305562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6305562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pPr>
          </w:p>
        </w:tc>
      </w:tr>
      <w:tr w:rsidR="00000000">
        <w:trPr>
          <w:divId w:val="156305562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陈思</w:t>
            </w:r>
            <w:r>
              <w:rPr>
                <w:rFonts w:ascii="宋体" w:hAnsi="宋体" w:hint="eastAsia"/>
                <w:szCs w:val="24"/>
                <w:lang w:eastAsia="zh-Hans"/>
              </w:rPr>
              <w:t>郁</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2015</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w:t>
            </w:r>
            <w:r>
              <w:rPr>
                <w:rFonts w:ascii="宋体" w:hAnsi="宋体" w:hint="eastAsia"/>
                <w:szCs w:val="24"/>
                <w:lang w:eastAsia="zh-Hans"/>
              </w:rPr>
              <w:t>4</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szCs w:val="24"/>
                <w:lang w:eastAsia="zh-Hans"/>
              </w:rPr>
              <w:t>陈思郁女士曾任国泰君安研究所研究员。</w:t>
            </w:r>
            <w:r>
              <w:rPr>
                <w:rFonts w:ascii="宋体" w:hAnsi="宋体" w:hint="eastAsia"/>
                <w:szCs w:val="24"/>
                <w:lang w:eastAsia="zh-Hans"/>
              </w:rPr>
              <w:t>2009</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月加入摩根基金管理（中国）有限公司（原上投摩根基金管理有限公司），历任行业专家、基金经理助理、基金经理，现任高级基金经理</w:t>
            </w:r>
            <w:r>
              <w:rPr>
                <w:rFonts w:ascii="宋体" w:hAnsi="宋体" w:hint="eastAsia"/>
                <w:szCs w:val="24"/>
                <w:lang w:eastAsia="zh-Hans"/>
              </w:rPr>
              <w:t>。</w:t>
            </w:r>
          </w:p>
        </w:tc>
      </w:tr>
    </w:tbl>
    <w:p w:rsidR="002838F1" w:rsidRDefault="002838F1">
      <w:pPr>
        <w:wordWrap w:val="0"/>
        <w:spacing w:line="360" w:lineRule="auto"/>
        <w:jc w:val="left"/>
        <w:divId w:val="1406344692"/>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2838F1" w:rsidRDefault="002838F1">
      <w:pPr>
        <w:pStyle w:val="XBRLTitle3"/>
        <w:spacing w:before="156"/>
        <w:ind w:left="0"/>
        <w:divId w:val="649093635"/>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371419282"/>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2838F1" w:rsidRDefault="002838F1">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2838F1" w:rsidRDefault="002838F1">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2838F1" w:rsidRDefault="002838F1">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2838F1" w:rsidRDefault="002838F1">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2838F1" w:rsidRDefault="002838F1">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371419282"/>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center"/>
            </w:pPr>
            <w:r>
              <w:rPr>
                <w:rFonts w:ascii="宋体" w:hAnsi="宋体" w:hint="eastAsia"/>
                <w:szCs w:val="24"/>
              </w:rPr>
              <w:t>陈思</w:t>
            </w:r>
            <w:r>
              <w:rPr>
                <w:rFonts w:ascii="宋体" w:hAnsi="宋体" w:hint="eastAsia"/>
                <w:szCs w:val="24"/>
              </w:rPr>
              <w:t>郁</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4</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2,457,987,131.0</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center"/>
            </w:pPr>
            <w:r>
              <w:rPr>
                <w:rFonts w:ascii="宋体" w:hAnsi="宋体" w:hint="eastAsia"/>
                <w:szCs w:val="24"/>
              </w:rPr>
              <w:t>2015-08-0</w:t>
            </w:r>
            <w:r>
              <w:rPr>
                <w:rFonts w:ascii="宋体" w:hAnsi="宋体" w:hint="eastAsia"/>
                <w:szCs w:val="24"/>
              </w:rPr>
              <w:t>4</w:t>
            </w:r>
          </w:p>
        </w:tc>
      </w:tr>
      <w:tr w:rsidR="00000000">
        <w:trPr>
          <w:divId w:val="37141928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6,846,765.9</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center"/>
            </w:pPr>
            <w:r>
              <w:rPr>
                <w:rFonts w:ascii="宋体" w:hAnsi="宋体" w:hint="eastAsia"/>
                <w:szCs w:val="24"/>
              </w:rPr>
              <w:t>2022-08-2</w:t>
            </w:r>
            <w:r>
              <w:rPr>
                <w:rFonts w:ascii="宋体" w:hAnsi="宋体" w:hint="eastAsia"/>
                <w:szCs w:val="24"/>
              </w:rPr>
              <w:t>6</w:t>
            </w:r>
          </w:p>
        </w:tc>
      </w:tr>
      <w:tr w:rsidR="00000000">
        <w:trPr>
          <w:divId w:val="37141928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center"/>
            </w:pPr>
            <w:r>
              <w:rPr>
                <w:rFonts w:ascii="宋体" w:hAnsi="宋体" w:hint="eastAsia"/>
                <w:szCs w:val="24"/>
              </w:rPr>
              <w:t>-</w:t>
            </w:r>
          </w:p>
        </w:tc>
      </w:tr>
      <w:tr w:rsidR="00000000">
        <w:trPr>
          <w:divId w:val="37141928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838F1" w:rsidRDefault="002838F1">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right"/>
            </w:pPr>
            <w:r>
              <w:rPr>
                <w:rFonts w:ascii="宋体" w:hAnsi="宋体" w:hint="eastAsia"/>
                <w:szCs w:val="24"/>
              </w:rPr>
              <w:t>2,464,833,897.0</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38F1" w:rsidRDefault="002838F1">
            <w:pPr>
              <w:jc w:val="center"/>
            </w:pPr>
            <w:r>
              <w:rPr>
                <w:rFonts w:ascii="宋体" w:hAnsi="宋体" w:hint="eastAsia"/>
                <w:szCs w:val="24"/>
              </w:rPr>
              <w:t xml:space="preserve">- </w:t>
            </w:r>
          </w:p>
        </w:tc>
      </w:tr>
    </w:tbl>
    <w:p w:rsidR="002838F1" w:rsidRDefault="002838F1">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2838F1" w:rsidRDefault="002838F1">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2838F1" w:rsidRDefault="002838F1">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2838F1" w:rsidRDefault="002838F1">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2838F1" w:rsidRDefault="002838F1">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2838F1" w:rsidRDefault="002838F1">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2838F1" w:rsidRDefault="002838F1">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2838F1" w:rsidRDefault="002838F1">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2838F1" w:rsidRDefault="002838F1">
      <w:pPr>
        <w:spacing w:line="360" w:lineRule="auto"/>
        <w:ind w:firstLineChars="200" w:firstLine="420"/>
        <w:jc w:val="left"/>
        <w:rPr>
          <w:rFonts w:hint="eastAsia"/>
        </w:rPr>
      </w:pPr>
      <w:r>
        <w:rPr>
          <w:rFonts w:ascii="宋体" w:hAnsi="宋体" w:cs="宋体" w:hint="eastAsia"/>
          <w:color w:val="000000"/>
          <w:kern w:val="0"/>
        </w:rPr>
        <w:t xml:space="preserve">2026 </w:t>
      </w:r>
      <w:r>
        <w:rPr>
          <w:rFonts w:ascii="宋体" w:hAnsi="宋体" w:cs="宋体" w:hint="eastAsia"/>
          <w:color w:val="000000"/>
          <w:kern w:val="0"/>
        </w:rPr>
        <w:t>年二季度，国内宏观经济总量略承压，但结构分化、新动能领跑，经济复苏呈现明显的结构性特征。传统内需修复节奏偏缓，社零增速持续回落，但高端制造、新兴产业需求韧性突出，成为经济增长核心支撑。</w:t>
      </w:r>
      <w:r>
        <w:rPr>
          <w:rFonts w:ascii="宋体" w:hAnsi="宋体" w:cs="宋体" w:hint="eastAsia"/>
          <w:color w:val="000000"/>
          <w:kern w:val="0"/>
        </w:rPr>
        <w:br/>
      </w:r>
      <w:r>
        <w:rPr>
          <w:rFonts w:ascii="宋体" w:hAnsi="宋体" w:cs="宋体" w:hint="eastAsia"/>
          <w:color w:val="000000"/>
          <w:kern w:val="0"/>
        </w:rPr>
        <w:t xml:space="preserve">　　全球地缘博弈持续扰动市场风险偏好，大宗商品价格波动加剧。然而国内政策端保持精准发力、结构优化的基调，出口稳中向好，抵御住了外部的纷扰。</w:t>
      </w:r>
      <w:r>
        <w:rPr>
          <w:rFonts w:ascii="宋体" w:hAnsi="宋体" w:cs="宋体" w:hint="eastAsia"/>
          <w:color w:val="000000"/>
          <w:kern w:val="0"/>
        </w:rPr>
        <w:br/>
      </w:r>
      <w:r>
        <w:rPr>
          <w:rFonts w:ascii="宋体" w:hAnsi="宋体" w:cs="宋体" w:hint="eastAsia"/>
          <w:color w:val="000000"/>
          <w:kern w:val="0"/>
        </w:rPr>
        <w:t xml:space="preserve">　　二季度</w:t>
      </w:r>
      <w:r>
        <w:rPr>
          <w:rFonts w:ascii="宋体" w:hAnsi="宋体" w:cs="宋体" w:hint="eastAsia"/>
          <w:color w:val="000000"/>
          <w:kern w:val="0"/>
        </w:rPr>
        <w:t xml:space="preserve"> A </w:t>
      </w:r>
      <w:r>
        <w:rPr>
          <w:rFonts w:ascii="宋体" w:hAnsi="宋体" w:cs="宋体" w:hint="eastAsia"/>
          <w:color w:val="000000"/>
          <w:kern w:val="0"/>
        </w:rPr>
        <w:t>股整体呈现窄幅震荡、结构性极致分化的走势。科创、成长类指数表现遥遥领先，极致聚焦高景气科技赛道，其中</w:t>
      </w:r>
      <w:r>
        <w:rPr>
          <w:rFonts w:ascii="宋体" w:hAnsi="宋体" w:cs="宋体" w:hint="eastAsia"/>
          <w:color w:val="000000"/>
          <w:kern w:val="0"/>
        </w:rPr>
        <w:t xml:space="preserve">AI </w:t>
      </w:r>
      <w:r>
        <w:rPr>
          <w:rFonts w:ascii="宋体" w:hAnsi="宋体" w:cs="宋体" w:hint="eastAsia"/>
          <w:color w:val="000000"/>
          <w:kern w:val="0"/>
        </w:rPr>
        <w:t>算力、光模块、通信、半导体等硬科技板块延续较好行情。这些板块受益于全球</w:t>
      </w:r>
      <w:r>
        <w:rPr>
          <w:rFonts w:ascii="宋体" w:hAnsi="宋体" w:cs="宋体" w:hint="eastAsia"/>
          <w:color w:val="000000"/>
          <w:kern w:val="0"/>
        </w:rPr>
        <w:t>AI</w:t>
      </w:r>
      <w:r>
        <w:rPr>
          <w:rFonts w:ascii="宋体" w:hAnsi="宋体" w:cs="宋体" w:hint="eastAsia"/>
          <w:color w:val="000000"/>
          <w:kern w:val="0"/>
        </w:rPr>
        <w:t>投资的兴起，凭借高景气度、业绩持续兑现，包揽市场主要涨幅；而传统消费、商贸零售、地产、银行及部分周期板块表现疲软，受内需修复乏力、估值承压等因素影响，整体震荡走弱。</w:t>
      </w:r>
      <w:r>
        <w:rPr>
          <w:rFonts w:ascii="宋体" w:hAnsi="宋体" w:cs="宋体" w:hint="eastAsia"/>
          <w:color w:val="000000"/>
          <w:kern w:val="0"/>
        </w:rPr>
        <w:br/>
      </w:r>
      <w:r>
        <w:rPr>
          <w:rFonts w:ascii="宋体" w:hAnsi="宋体" w:cs="宋体" w:hint="eastAsia"/>
          <w:color w:val="000000"/>
          <w:kern w:val="0"/>
        </w:rPr>
        <w:t xml:space="preserve">　　二季度，本基金延续高景气度投资的框架，把握二季度</w:t>
      </w:r>
      <w:r>
        <w:rPr>
          <w:rFonts w:ascii="宋体" w:hAnsi="宋体" w:cs="宋体" w:hint="eastAsia"/>
          <w:color w:val="000000"/>
          <w:kern w:val="0"/>
        </w:rPr>
        <w:t xml:space="preserve"> A </w:t>
      </w:r>
      <w:r>
        <w:rPr>
          <w:rFonts w:ascii="宋体" w:hAnsi="宋体" w:cs="宋体" w:hint="eastAsia"/>
          <w:color w:val="000000"/>
          <w:kern w:val="0"/>
        </w:rPr>
        <w:t>股结构性行情主线，重点投资了</w:t>
      </w:r>
      <w:r>
        <w:rPr>
          <w:rFonts w:ascii="宋体" w:hAnsi="宋体" w:cs="宋体" w:hint="eastAsia"/>
          <w:color w:val="000000"/>
          <w:kern w:val="0"/>
        </w:rPr>
        <w:t>AI</w:t>
      </w:r>
      <w:r>
        <w:rPr>
          <w:rFonts w:ascii="宋体" w:hAnsi="宋体" w:cs="宋体" w:hint="eastAsia"/>
          <w:color w:val="000000"/>
          <w:kern w:val="0"/>
        </w:rPr>
        <w:t>算力板块，如光模块、光芯片等领域，同时进一步挖掘产业链供应紧张环节，如电子布等，业绩表现较好，跑赢同期基准及多数同类产品。</w:t>
      </w:r>
      <w:r>
        <w:rPr>
          <w:rFonts w:ascii="宋体" w:hAnsi="宋体" w:cs="宋体" w:hint="eastAsia"/>
          <w:color w:val="000000"/>
          <w:kern w:val="0"/>
        </w:rPr>
        <w:br/>
      </w:r>
      <w:r>
        <w:rPr>
          <w:rFonts w:ascii="宋体" w:hAnsi="宋体" w:cs="宋体" w:hint="eastAsia"/>
          <w:color w:val="000000"/>
          <w:kern w:val="0"/>
        </w:rPr>
        <w:t xml:space="preserve">　　展望下半年，预计国内政策面以及流动性整体平淡，七八月中报将密集出台，通过我们的研究和挖掘，绩优个股依然高度集中于</w:t>
      </w:r>
      <w:r>
        <w:rPr>
          <w:rFonts w:ascii="宋体" w:hAnsi="宋体" w:cs="宋体" w:hint="eastAsia"/>
          <w:color w:val="000000"/>
          <w:kern w:val="0"/>
        </w:rPr>
        <w:t>AI</w:t>
      </w:r>
      <w:r>
        <w:rPr>
          <w:rFonts w:ascii="宋体" w:hAnsi="宋体" w:cs="宋体" w:hint="eastAsia"/>
          <w:color w:val="000000"/>
          <w:kern w:val="0"/>
        </w:rPr>
        <w:t>为代表的高科技板块，因此我们对组合持仓依然抱有较大信心。同时我们也会通过财报，密切跟踪有无新的高景气个股和板块出现。以内需为代表的顺周期板块，该板块已处于估值历史低位，很多个股股价已低于</w:t>
      </w:r>
      <w:r>
        <w:rPr>
          <w:rFonts w:ascii="宋体" w:hAnsi="宋体" w:cs="宋体" w:hint="eastAsia"/>
          <w:color w:val="000000"/>
          <w:kern w:val="0"/>
        </w:rPr>
        <w:t>2024</w:t>
      </w:r>
      <w:r>
        <w:rPr>
          <w:rFonts w:ascii="宋体" w:hAnsi="宋体" w:cs="宋体" w:hint="eastAsia"/>
          <w:color w:val="000000"/>
          <w:kern w:val="0"/>
        </w:rPr>
        <w:t>年“</w:t>
      </w:r>
      <w:r>
        <w:rPr>
          <w:rFonts w:ascii="宋体" w:hAnsi="宋体" w:cs="宋体" w:hint="eastAsia"/>
          <w:color w:val="000000"/>
          <w:kern w:val="0"/>
        </w:rPr>
        <w:t>924</w:t>
      </w:r>
      <w:r>
        <w:rPr>
          <w:rFonts w:ascii="宋体" w:hAnsi="宋体" w:cs="宋体" w:hint="eastAsia"/>
          <w:color w:val="000000"/>
          <w:kern w:val="0"/>
        </w:rPr>
        <w:t>”行情启动前。随着房价逐步企稳，股市财富效应的积累，部分个股在下半年的某个时点出现基本面拐点是很有可能的，届时在较低的股价水位和市场预期下，出现一定的估值修复行情可以期待，对此我们保持密切跟踪和研究</w:t>
      </w:r>
      <w:r>
        <w:rPr>
          <w:rFonts w:ascii="宋体" w:hAnsi="宋体" w:cs="宋体" w:hint="eastAsia"/>
          <w:color w:val="000000"/>
          <w:kern w:val="0"/>
        </w:rPr>
        <w:t>。</w:t>
      </w:r>
    </w:p>
    <w:p w:rsidR="002838F1" w:rsidRDefault="002838F1">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2838F1" w:rsidRDefault="002838F1">
      <w:pPr>
        <w:spacing w:line="360" w:lineRule="auto"/>
        <w:ind w:firstLineChars="200" w:firstLine="420"/>
        <w:rPr>
          <w:rFonts w:hint="eastAsia"/>
        </w:rPr>
      </w:pPr>
      <w:r>
        <w:rPr>
          <w:rFonts w:ascii="宋体" w:hAnsi="宋体" w:hint="eastAsia"/>
        </w:rPr>
        <w:t>本报告期摩根双核平衡混合</w:t>
      </w:r>
      <w:r>
        <w:rPr>
          <w:rFonts w:ascii="宋体" w:hAnsi="宋体" w:hint="eastAsia"/>
        </w:rPr>
        <w:t>A</w:t>
      </w:r>
      <w:r>
        <w:rPr>
          <w:rFonts w:ascii="宋体" w:hAnsi="宋体" w:hint="eastAsia"/>
        </w:rPr>
        <w:t>份额净值增长率为：</w:t>
      </w:r>
      <w:r>
        <w:rPr>
          <w:rFonts w:ascii="宋体" w:hAnsi="宋体" w:hint="eastAsia"/>
        </w:rPr>
        <w:t>52.88%</w:t>
      </w:r>
      <w:r>
        <w:rPr>
          <w:rFonts w:ascii="宋体" w:hAnsi="宋体" w:hint="eastAsia"/>
        </w:rPr>
        <w:t>，同期业绩比较基准收益率为：</w:t>
      </w:r>
      <w:r>
        <w:rPr>
          <w:rFonts w:ascii="宋体" w:hAnsi="宋体" w:hint="eastAsia"/>
        </w:rPr>
        <w:t>6.44%</w:t>
      </w:r>
      <w:r>
        <w:rPr>
          <w:rFonts w:ascii="宋体" w:hAnsi="宋体" w:hint="eastAsia"/>
        </w:rPr>
        <w:t>；</w:t>
      </w:r>
      <w:r>
        <w:rPr>
          <w:rFonts w:ascii="宋体" w:hAnsi="宋体" w:hint="eastAsia"/>
        </w:rPr>
        <w:br/>
      </w:r>
      <w:r>
        <w:rPr>
          <w:rFonts w:ascii="宋体" w:hAnsi="宋体" w:hint="eastAsia"/>
        </w:rPr>
        <w:t xml:space="preserve">　　摩根双核平衡混合</w:t>
      </w:r>
      <w:r>
        <w:rPr>
          <w:rFonts w:ascii="宋体" w:hAnsi="宋体" w:hint="eastAsia"/>
        </w:rPr>
        <w:t>C</w:t>
      </w:r>
      <w:r>
        <w:rPr>
          <w:rFonts w:ascii="宋体" w:hAnsi="宋体" w:hint="eastAsia"/>
        </w:rPr>
        <w:t>份额净值增长率为：</w:t>
      </w:r>
      <w:r>
        <w:rPr>
          <w:rFonts w:ascii="宋体" w:hAnsi="宋体" w:hint="eastAsia"/>
        </w:rPr>
        <w:t>52.69%</w:t>
      </w:r>
      <w:r>
        <w:rPr>
          <w:rFonts w:ascii="宋体" w:hAnsi="宋体" w:hint="eastAsia"/>
        </w:rPr>
        <w:t>，同期业绩比较基准收益率为：</w:t>
      </w:r>
      <w:r>
        <w:rPr>
          <w:rFonts w:ascii="宋体" w:hAnsi="宋体" w:hint="eastAsia"/>
        </w:rPr>
        <w:t>6.44%</w:t>
      </w:r>
      <w:r>
        <w:rPr>
          <w:rFonts w:ascii="宋体" w:hAnsi="宋体" w:hint="eastAsia"/>
        </w:rPr>
        <w:t>。</w:t>
      </w:r>
    </w:p>
    <w:p w:rsidR="002838F1" w:rsidRDefault="002838F1">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2838F1" w:rsidRDefault="002838F1">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2838F1" w:rsidRDefault="002838F1">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2838F1" w:rsidRDefault="002838F1">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348,122,084.7</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62.2</w:t>
            </w:r>
            <w:r>
              <w:rPr>
                <w:rFonts w:ascii="宋体" w:hAnsi="宋体" w:hint="eastAsia"/>
                <w:szCs w:val="24"/>
                <w:lang w:eastAsia="zh-Hans"/>
              </w:rPr>
              <w:t>6</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348,122,084.7</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62.2</w:t>
            </w:r>
            <w:r>
              <w:rPr>
                <w:rFonts w:ascii="宋体" w:hAnsi="宋体" w:hint="eastAsia"/>
                <w:szCs w:val="24"/>
                <w:lang w:eastAsia="zh-Hans"/>
              </w:rPr>
              <w:t>6</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136,688,303.6</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24.4</w:t>
            </w:r>
            <w:r>
              <w:rPr>
                <w:rFonts w:ascii="宋体" w:hAnsi="宋体" w:hint="eastAsia"/>
                <w:szCs w:val="24"/>
                <w:lang w:eastAsia="zh-Hans"/>
              </w:rPr>
              <w:t>4</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136,688,303.6</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24.4</w:t>
            </w:r>
            <w:r>
              <w:rPr>
                <w:rFonts w:ascii="宋体" w:hAnsi="宋体" w:hint="eastAsia"/>
                <w:szCs w:val="24"/>
                <w:lang w:eastAsia="zh-Hans"/>
              </w:rPr>
              <w:t>4</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71,705,086.1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12.8</w:t>
            </w:r>
            <w:r>
              <w:rPr>
                <w:rFonts w:ascii="宋体" w:hAnsi="宋体" w:hint="eastAsia"/>
                <w:szCs w:val="24"/>
                <w:lang w:eastAsia="zh-Hans"/>
              </w:rPr>
              <w:t>2</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2,654,302.9</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0.4</w:t>
            </w:r>
            <w:r>
              <w:rPr>
                <w:rFonts w:ascii="宋体" w:hAnsi="宋体" w:hint="eastAsia"/>
                <w:szCs w:val="24"/>
                <w:lang w:eastAsia="zh-Hans"/>
              </w:rPr>
              <w:t>7</w:t>
            </w:r>
          </w:p>
        </w:tc>
      </w:tr>
      <w:tr w:rsidR="00000000">
        <w:trPr>
          <w:divId w:val="100790752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2838F1" w:rsidRDefault="002838F1">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559,169,777.4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100.0</w:t>
            </w:r>
            <w:r>
              <w:rPr>
                <w:rFonts w:ascii="宋体" w:hAnsi="宋体" w:hint="eastAsia"/>
                <w:szCs w:val="24"/>
                <w:lang w:eastAsia="zh-Hans"/>
              </w:rPr>
              <w:t>0</w:t>
            </w:r>
          </w:p>
        </w:tc>
      </w:tr>
    </w:tbl>
    <w:p w:rsidR="002838F1" w:rsidRDefault="002838F1">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2838F1" w:rsidRDefault="002838F1">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4371918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2838F1" w:rsidRDefault="002838F1">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2838F1" w:rsidRDefault="002838F1">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2838F1" w:rsidRDefault="002838F1">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2838F1" w:rsidRDefault="002838F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218,635.0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340,423,584.3</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62.9</w:t>
            </w:r>
            <w:r>
              <w:rPr>
                <w:rFonts w:ascii="宋体" w:hAnsi="宋体" w:hint="eastAsia"/>
                <w:szCs w:val="24"/>
                <w:lang w:eastAsia="zh-Hans"/>
              </w:rPr>
              <w:t>4</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127,575.0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1,114,339.4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0.2</w:t>
            </w:r>
            <w:r>
              <w:rPr>
                <w:rFonts w:ascii="宋体" w:hAnsi="宋体" w:hint="eastAsia"/>
                <w:szCs w:val="24"/>
                <w:lang w:eastAsia="zh-Hans"/>
              </w:rPr>
              <w:t>1</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6,237,951.0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1.1</w:t>
            </w:r>
            <w:r>
              <w:rPr>
                <w:rFonts w:ascii="宋体" w:hAnsi="宋体" w:hint="eastAsia"/>
                <w:szCs w:val="24"/>
                <w:lang w:eastAsia="zh-Hans"/>
              </w:rPr>
              <w:t>5</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w:t>
            </w:r>
          </w:p>
        </w:tc>
      </w:tr>
      <w:tr w:rsidR="00000000">
        <w:trPr>
          <w:divId w:val="437191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38F1" w:rsidRDefault="002838F1">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38F1" w:rsidRDefault="002838F1">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38F1" w:rsidRDefault="002838F1">
            <w:pPr>
              <w:jc w:val="right"/>
            </w:pPr>
            <w:r>
              <w:rPr>
                <w:rFonts w:ascii="宋体" w:hAnsi="宋体" w:hint="eastAsia"/>
                <w:szCs w:val="24"/>
                <w:lang w:eastAsia="zh-Hans"/>
              </w:rPr>
              <w:t>348,122,084.7</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38F1" w:rsidRDefault="002838F1">
            <w:pPr>
              <w:jc w:val="right"/>
            </w:pPr>
            <w:r>
              <w:rPr>
                <w:rFonts w:ascii="宋体" w:hAnsi="宋体" w:hint="eastAsia"/>
                <w:szCs w:val="24"/>
                <w:lang w:eastAsia="zh-Hans"/>
              </w:rPr>
              <w:t>64.3</w:t>
            </w:r>
            <w:r>
              <w:rPr>
                <w:rFonts w:ascii="宋体" w:hAnsi="宋体" w:hint="eastAsia"/>
                <w:szCs w:val="24"/>
                <w:lang w:eastAsia="zh-Hans"/>
              </w:rPr>
              <w:t>6</w:t>
            </w:r>
          </w:p>
        </w:tc>
      </w:tr>
    </w:tbl>
    <w:p w:rsidR="002838F1" w:rsidRDefault="002838F1">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2838F1" w:rsidRDefault="002838F1">
      <w:pPr>
        <w:spacing w:line="360" w:lineRule="auto"/>
        <w:ind w:firstLineChars="200" w:firstLine="420"/>
        <w:divId w:val="1926188224"/>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2838F1" w:rsidRDefault="002838F1">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2838F1" w:rsidRDefault="002838F1">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18636343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128,38</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33,681,542.4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6.2</w:t>
            </w:r>
            <w:r>
              <w:rPr>
                <w:rFonts w:ascii="宋体" w:hAnsi="宋体" w:hint="eastAsia"/>
                <w:szCs w:val="24"/>
                <w:lang w:eastAsia="zh-Hans"/>
              </w:rPr>
              <w:t>3</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26,02</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33,053,020.0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6.1</w:t>
            </w:r>
            <w:r>
              <w:rPr>
                <w:rFonts w:ascii="宋体" w:hAnsi="宋体" w:hint="eastAsia"/>
                <w:szCs w:val="24"/>
                <w:lang w:eastAsia="zh-Hans"/>
              </w:rPr>
              <w:t>1</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47,27</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28,693,497.0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5.3</w:t>
            </w:r>
            <w:r>
              <w:rPr>
                <w:rFonts w:ascii="宋体" w:hAnsi="宋体" w:hint="eastAsia"/>
                <w:szCs w:val="24"/>
                <w:lang w:eastAsia="zh-Hans"/>
              </w:rPr>
              <w:t>1</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60017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中国巨</w:t>
            </w:r>
            <w:r>
              <w:rPr>
                <w:rFonts w:ascii="宋体" w:hAnsi="宋体" w:hint="eastAsia"/>
                <w:szCs w:val="24"/>
                <w:lang w:eastAsia="zh-Hans"/>
              </w:rPr>
              <w:t>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271,70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19,801,496.0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3.6</w:t>
            </w:r>
            <w:r>
              <w:rPr>
                <w:rFonts w:ascii="宋体" w:hAnsi="宋体" w:hint="eastAsia"/>
                <w:szCs w:val="24"/>
                <w:lang w:eastAsia="zh-Hans"/>
              </w:rPr>
              <w:t>6</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40,30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13,759,226.0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2.5</w:t>
            </w:r>
            <w:r>
              <w:rPr>
                <w:rFonts w:ascii="宋体" w:hAnsi="宋体" w:hint="eastAsia"/>
                <w:szCs w:val="24"/>
                <w:lang w:eastAsia="zh-Hans"/>
              </w:rPr>
              <w:t>4</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23,84</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13,098,006.9</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2.4</w:t>
            </w:r>
            <w:r>
              <w:rPr>
                <w:rFonts w:ascii="宋体" w:hAnsi="宋体" w:hint="eastAsia"/>
                <w:szCs w:val="24"/>
                <w:lang w:eastAsia="zh-Hans"/>
              </w:rPr>
              <w:t>2</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30137</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鼎泰高</w:t>
            </w:r>
            <w:r>
              <w:rPr>
                <w:rFonts w:ascii="宋体" w:hAnsi="宋体" w:hint="eastAsia"/>
                <w:szCs w:val="24"/>
                <w:lang w:eastAsia="zh-Hans"/>
              </w:rPr>
              <w:t>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22,70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12,505,430.0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2.3</w:t>
            </w:r>
            <w:r>
              <w:rPr>
                <w:rFonts w:ascii="宋体" w:hAnsi="宋体" w:hint="eastAsia"/>
                <w:szCs w:val="24"/>
                <w:lang w:eastAsia="zh-Hans"/>
              </w:rPr>
              <w:t>1</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68866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鼎通科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32,71</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12,211,016.3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2.2</w:t>
            </w:r>
            <w:r>
              <w:rPr>
                <w:rFonts w:ascii="宋体" w:hAnsi="宋体" w:hint="eastAsia"/>
                <w:szCs w:val="24"/>
                <w:lang w:eastAsia="zh-Hans"/>
              </w:rPr>
              <w:t>6</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260,90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12,176,203.0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2.2</w:t>
            </w:r>
            <w:r>
              <w:rPr>
                <w:rFonts w:ascii="宋体" w:hAnsi="宋体" w:hint="eastAsia"/>
                <w:szCs w:val="24"/>
                <w:lang w:eastAsia="zh-Hans"/>
              </w:rPr>
              <w:t>5</w:t>
            </w:r>
          </w:p>
        </w:tc>
      </w:tr>
      <w:tr w:rsidR="00000000">
        <w:trPr>
          <w:divId w:val="118636343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60326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松发股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81,20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11,309,536.0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2.0</w:t>
            </w:r>
            <w:r>
              <w:rPr>
                <w:rFonts w:ascii="宋体" w:hAnsi="宋体" w:hint="eastAsia"/>
                <w:szCs w:val="24"/>
                <w:lang w:eastAsia="zh-Hans"/>
              </w:rPr>
              <w:t>9</w:t>
            </w:r>
          </w:p>
        </w:tc>
      </w:tr>
    </w:tbl>
    <w:p w:rsidR="002838F1" w:rsidRDefault="002838F1">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45,597,259.7</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8.4</w:t>
            </w:r>
            <w:r>
              <w:rPr>
                <w:rFonts w:ascii="宋体" w:hAnsi="宋体" w:hint="eastAsia"/>
                <w:szCs w:val="24"/>
                <w:lang w:eastAsia="zh-Hans"/>
              </w:rPr>
              <w:t>3</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90,909,038.3</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16.8</w:t>
            </w:r>
            <w:r>
              <w:rPr>
                <w:rFonts w:ascii="宋体" w:hAnsi="宋体" w:hint="eastAsia"/>
                <w:szCs w:val="24"/>
                <w:lang w:eastAsia="zh-Hans"/>
              </w:rPr>
              <w:t>1</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80,656,517.8</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14.9</w:t>
            </w:r>
            <w:r>
              <w:rPr>
                <w:rFonts w:ascii="宋体" w:hAnsi="宋体" w:hint="eastAsia"/>
                <w:szCs w:val="24"/>
                <w:lang w:eastAsia="zh-Hans"/>
              </w:rPr>
              <w:t>1</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182,005.5</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w:t>
            </w:r>
          </w:p>
        </w:tc>
      </w:tr>
      <w:tr w:rsidR="00000000">
        <w:trPr>
          <w:divId w:val="162249458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2838F1" w:rsidRDefault="002838F1">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136,688,303.6</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2838F1" w:rsidRDefault="002838F1">
            <w:pPr>
              <w:jc w:val="right"/>
            </w:pPr>
            <w:r>
              <w:rPr>
                <w:rFonts w:ascii="宋体" w:hAnsi="宋体" w:hint="eastAsia"/>
                <w:szCs w:val="24"/>
                <w:lang w:eastAsia="zh-Hans"/>
              </w:rPr>
              <w:t>25.2</w:t>
            </w:r>
            <w:r>
              <w:rPr>
                <w:rFonts w:ascii="宋体" w:hAnsi="宋体" w:hint="eastAsia"/>
                <w:szCs w:val="24"/>
                <w:lang w:eastAsia="zh-Hans"/>
              </w:rPr>
              <w:t>7</w:t>
            </w:r>
          </w:p>
        </w:tc>
      </w:tr>
    </w:tbl>
    <w:p w:rsidR="002838F1" w:rsidRDefault="002838F1">
      <w:pPr>
        <w:pStyle w:val="XBRLTitle2"/>
        <w:spacing w:before="156" w:line="360" w:lineRule="auto"/>
        <w:ind w:left="454"/>
      </w:pPr>
      <w:bookmarkStart w:id="207" w:name="_Toc17898202"/>
      <w:bookmarkStart w:id="208" w:name="_Toc17897954"/>
      <w:bookmarkStart w:id="209" w:name="_Toc481075071"/>
      <w:bookmarkStart w:id="210" w:name="_Toc438646472"/>
      <w:bookmarkStart w:id="211" w:name="_Toc490050024"/>
      <w:bookmarkStart w:id="212" w:name="_Toc512519503"/>
      <w:bookmarkStart w:id="213" w:name="_Toc513295863"/>
      <w:bookmarkStart w:id="214" w:name="_Toc513295915"/>
      <w:bookmarkStart w:id="215"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7"/>
      <w:bookmarkEnd w:id="208"/>
      <w:bookmarkEnd w:id="209"/>
      <w:bookmarkEnd w:id="210"/>
      <w:bookmarkEnd w:id="211"/>
      <w:bookmarkEnd w:id="212"/>
      <w:bookmarkEnd w:id="213"/>
      <w:bookmarkEnd w:id="21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04821141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0482114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25020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30,073,783.5</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5.5</w:t>
            </w:r>
            <w:r>
              <w:rPr>
                <w:rFonts w:ascii="宋体" w:hAnsi="宋体" w:hint="eastAsia"/>
                <w:szCs w:val="24"/>
                <w:lang w:eastAsia="zh-Hans"/>
              </w:rPr>
              <w:t>6</w:t>
            </w:r>
          </w:p>
        </w:tc>
      </w:tr>
      <w:tr w:rsidR="00000000">
        <w:trPr>
          <w:divId w:val="20482114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260000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26</w:t>
            </w:r>
            <w:r>
              <w:rPr>
                <w:rFonts w:ascii="宋体" w:hAnsi="宋体" w:hint="eastAsia"/>
                <w:szCs w:val="24"/>
                <w:lang w:eastAsia="zh-Hans"/>
              </w:rPr>
              <w:t>超长特别国债</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29,967,819.6</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5.5</w:t>
            </w:r>
            <w:r>
              <w:rPr>
                <w:rFonts w:ascii="宋体" w:hAnsi="宋体" w:hint="eastAsia"/>
                <w:szCs w:val="24"/>
                <w:lang w:eastAsia="zh-Hans"/>
              </w:rPr>
              <w:t>4</w:t>
            </w:r>
          </w:p>
        </w:tc>
      </w:tr>
      <w:tr w:rsidR="00000000">
        <w:trPr>
          <w:divId w:val="20482114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25021</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20,471,167.1</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3.7</w:t>
            </w:r>
            <w:r>
              <w:rPr>
                <w:rFonts w:ascii="宋体" w:hAnsi="宋体" w:hint="eastAsia"/>
                <w:szCs w:val="24"/>
                <w:lang w:eastAsia="zh-Hans"/>
              </w:rPr>
              <w:t>8</w:t>
            </w:r>
          </w:p>
        </w:tc>
      </w:tr>
      <w:tr w:rsidR="00000000">
        <w:trPr>
          <w:divId w:val="20482114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23240001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24</w:t>
            </w:r>
            <w:r>
              <w:rPr>
                <w:rFonts w:ascii="宋体" w:hAnsi="宋体" w:hint="eastAsia"/>
                <w:szCs w:val="24"/>
                <w:lang w:eastAsia="zh-Hans"/>
              </w:rPr>
              <w:t>民生银行二级资本债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10,252,520.5</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1.9</w:t>
            </w:r>
            <w:r>
              <w:rPr>
                <w:rFonts w:ascii="宋体" w:hAnsi="宋体" w:hint="eastAsia"/>
                <w:szCs w:val="24"/>
                <w:lang w:eastAsia="zh-Hans"/>
              </w:rPr>
              <w:t>0</w:t>
            </w:r>
          </w:p>
        </w:tc>
      </w:tr>
      <w:tr w:rsidR="00000000">
        <w:trPr>
          <w:divId w:val="20482114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25043</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szCs w:val="24"/>
                <w:lang w:eastAsia="zh-Hans"/>
              </w:rPr>
              <w:t>25</w:t>
            </w:r>
            <w:r>
              <w:rPr>
                <w:rFonts w:ascii="宋体" w:hAnsi="宋体" w:hint="eastAsia"/>
                <w:szCs w:val="24"/>
                <w:lang w:eastAsia="zh-Hans"/>
              </w:rPr>
              <w:t>农发</w:t>
            </w:r>
            <w:r>
              <w:rPr>
                <w:rFonts w:ascii="宋体" w:hAnsi="宋体" w:hint="eastAsia"/>
                <w:szCs w:val="24"/>
                <w:lang w:eastAsia="zh-Hans"/>
              </w:rPr>
              <w:t>3</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10,126,909.5</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szCs w:val="24"/>
                <w:lang w:eastAsia="zh-Hans"/>
              </w:rPr>
              <w:t>1.8</w:t>
            </w:r>
            <w:r>
              <w:rPr>
                <w:rFonts w:ascii="宋体" w:hAnsi="宋体" w:hint="eastAsia"/>
                <w:szCs w:val="24"/>
                <w:lang w:eastAsia="zh-Hans"/>
              </w:rPr>
              <w:t>7</w:t>
            </w:r>
          </w:p>
        </w:tc>
      </w:tr>
    </w:tbl>
    <w:p w:rsidR="002838F1" w:rsidRDefault="002838F1">
      <w:pPr>
        <w:pStyle w:val="XBRLTitle2"/>
        <w:spacing w:before="156" w:line="360" w:lineRule="auto"/>
        <w:ind w:left="454"/>
      </w:pPr>
      <w:bookmarkStart w:id="216" w:name="_Toc17898203"/>
      <w:bookmarkStart w:id="217" w:name="_Toc17897955"/>
      <w:bookmarkStart w:id="218" w:name="_Toc481075072"/>
      <w:bookmarkStart w:id="219" w:name="_Toc438646473"/>
      <w:bookmarkStart w:id="220" w:name="_Toc490050025"/>
      <w:bookmarkStart w:id="221" w:name="_Toc512519504"/>
      <w:bookmarkStart w:id="222" w:name="_Toc513295864"/>
      <w:bookmarkStart w:id="223" w:name="_Toc513295916"/>
      <w:bookmarkStart w:id="224" w:name="m507"/>
      <w:bookmarkEnd w:id="215"/>
      <w:r>
        <w:rPr>
          <w:rFonts w:hAnsi="宋体" w:hint="eastAsia"/>
        </w:rPr>
        <w:t>报告期末按公允价值占基金资产净值比例大小排序的前十名资产支持证券投资明</w:t>
      </w:r>
      <w:r>
        <w:rPr>
          <w:rFonts w:hAnsi="宋体" w:hint="eastAsia"/>
        </w:rPr>
        <w:t>细</w:t>
      </w:r>
      <w:bookmarkEnd w:id="216"/>
      <w:bookmarkEnd w:id="217"/>
      <w:bookmarkEnd w:id="218"/>
      <w:bookmarkEnd w:id="219"/>
      <w:bookmarkEnd w:id="220"/>
      <w:bookmarkEnd w:id="221"/>
      <w:bookmarkEnd w:id="222"/>
      <w:bookmarkEnd w:id="223"/>
      <w:r>
        <w:rPr>
          <w:rFonts w:hAnsi="宋体" w:hint="eastAsia"/>
        </w:rPr>
        <w:t xml:space="preserve"> </w:t>
      </w:r>
    </w:p>
    <w:p w:rsidR="002838F1" w:rsidRDefault="002838F1">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2838F1" w:rsidRDefault="002838F1">
      <w:pPr>
        <w:pStyle w:val="XBRLTitle2"/>
        <w:spacing w:before="156" w:line="360" w:lineRule="auto"/>
        <w:ind w:left="454"/>
      </w:pPr>
      <w:bookmarkStart w:id="225" w:name="_Toc17898204"/>
      <w:bookmarkStart w:id="226" w:name="_Toc17897956"/>
      <w:bookmarkStart w:id="227" w:name="_Toc481075073"/>
      <w:bookmarkStart w:id="228" w:name="_Toc438646474"/>
      <w:bookmarkStart w:id="229" w:name="_Toc490050026"/>
      <w:bookmarkStart w:id="230" w:name="_Toc512519505"/>
      <w:bookmarkStart w:id="231" w:name="_Toc513295865"/>
      <w:bookmarkStart w:id="232" w:name="_Toc513295917"/>
      <w:bookmarkStart w:id="233" w:name="m508"/>
      <w:bookmarkEnd w:id="22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5"/>
      <w:bookmarkEnd w:id="226"/>
      <w:bookmarkEnd w:id="227"/>
      <w:bookmarkEnd w:id="228"/>
      <w:bookmarkEnd w:id="229"/>
      <w:bookmarkEnd w:id="230"/>
      <w:bookmarkEnd w:id="231"/>
      <w:bookmarkEnd w:id="232"/>
      <w:r>
        <w:rPr>
          <w:rFonts w:hAnsi="宋体" w:hint="eastAsia"/>
        </w:rPr>
        <w:t xml:space="preserve"> </w:t>
      </w:r>
    </w:p>
    <w:p w:rsidR="002838F1" w:rsidRDefault="002838F1">
      <w:pPr>
        <w:spacing w:line="360" w:lineRule="auto"/>
        <w:ind w:firstLineChars="200" w:firstLine="420"/>
        <w:divId w:val="77417914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2838F1" w:rsidRDefault="002838F1">
      <w:pPr>
        <w:pStyle w:val="XBRLTitle2"/>
        <w:spacing w:before="156" w:line="360" w:lineRule="auto"/>
        <w:ind w:left="454"/>
      </w:pPr>
      <w:bookmarkStart w:id="234" w:name="_Toc17898205"/>
      <w:bookmarkStart w:id="235" w:name="_Toc17897957"/>
      <w:bookmarkStart w:id="236" w:name="_Toc481075074"/>
      <w:bookmarkStart w:id="237" w:name="_Toc438646475"/>
      <w:bookmarkStart w:id="238" w:name="_Toc490050027"/>
      <w:bookmarkStart w:id="239" w:name="_Toc512519506"/>
      <w:bookmarkStart w:id="240" w:name="_Toc513295866"/>
      <w:bookmarkStart w:id="241" w:name="_Toc513295918"/>
      <w:bookmarkStart w:id="242" w:name="m509"/>
      <w:bookmarkEnd w:id="233"/>
      <w:r>
        <w:rPr>
          <w:rFonts w:hAnsi="宋体" w:hint="eastAsia"/>
        </w:rPr>
        <w:t>报告期末按公允价值占基金资产净值比例大小排序的前五名权证投资明</w:t>
      </w:r>
      <w:r>
        <w:rPr>
          <w:rFonts w:hAnsi="宋体" w:hint="eastAsia"/>
        </w:rPr>
        <w:t>细</w:t>
      </w:r>
      <w:bookmarkEnd w:id="234"/>
      <w:bookmarkEnd w:id="235"/>
      <w:bookmarkEnd w:id="236"/>
      <w:bookmarkEnd w:id="237"/>
      <w:bookmarkEnd w:id="238"/>
      <w:bookmarkEnd w:id="239"/>
      <w:bookmarkEnd w:id="240"/>
      <w:bookmarkEnd w:id="241"/>
      <w:r>
        <w:rPr>
          <w:rFonts w:hAnsi="宋体" w:hint="eastAsia"/>
        </w:rPr>
        <w:t xml:space="preserve"> </w:t>
      </w:r>
      <w:bookmarkEnd w:id="242"/>
    </w:p>
    <w:p w:rsidR="002838F1" w:rsidRDefault="002838F1">
      <w:pPr>
        <w:spacing w:line="360" w:lineRule="auto"/>
        <w:ind w:firstLineChars="200" w:firstLine="420"/>
        <w:divId w:val="149048778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2838F1" w:rsidRDefault="002838F1">
      <w:pPr>
        <w:pStyle w:val="XBRLTitle2"/>
        <w:spacing w:before="156"/>
        <w:ind w:left="454"/>
      </w:pPr>
      <w:bookmarkStart w:id="243"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3"/>
    </w:p>
    <w:p w:rsidR="002838F1" w:rsidRDefault="002838F1">
      <w:pPr>
        <w:spacing w:line="360" w:lineRule="auto"/>
        <w:ind w:firstLineChars="200" w:firstLine="420"/>
        <w:divId w:val="105037532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2838F1" w:rsidRDefault="002838F1">
      <w:pPr>
        <w:pStyle w:val="XBRLTitle2"/>
        <w:spacing w:before="156" w:line="360" w:lineRule="auto"/>
        <w:ind w:left="454"/>
      </w:pPr>
      <w:bookmarkStart w:id="244" w:name="_Toc17898209"/>
      <w:bookmarkStart w:id="245" w:name="_Toc17897959"/>
      <w:bookmarkStart w:id="246" w:name="_Toc512519510"/>
      <w:bookmarkStart w:id="247" w:name="_Toc481075078"/>
      <w:bookmarkStart w:id="248" w:name="_Toc490050031"/>
      <w:bookmarkStart w:id="249" w:name="_Toc513295868"/>
      <w:bookmarkStart w:id="250" w:name="_Toc513295922"/>
      <w:bookmarkStart w:id="251" w:name="_Toc438646476"/>
      <w:r>
        <w:rPr>
          <w:rFonts w:hAnsi="宋体" w:hint="eastAsia"/>
        </w:rPr>
        <w:t>报告期末本基金投资的国债期货交易情况说</w:t>
      </w:r>
      <w:r>
        <w:rPr>
          <w:rFonts w:hAnsi="宋体" w:hint="eastAsia"/>
        </w:rPr>
        <w:t>明</w:t>
      </w:r>
      <w:bookmarkEnd w:id="244"/>
      <w:bookmarkEnd w:id="245"/>
      <w:bookmarkEnd w:id="246"/>
      <w:bookmarkEnd w:id="247"/>
      <w:bookmarkEnd w:id="248"/>
      <w:bookmarkEnd w:id="249"/>
      <w:bookmarkEnd w:id="250"/>
      <w:r>
        <w:rPr>
          <w:rFonts w:hAnsi="宋体" w:hint="eastAsia"/>
        </w:rPr>
        <w:t xml:space="preserve"> </w:t>
      </w:r>
      <w:bookmarkEnd w:id="251"/>
    </w:p>
    <w:p w:rsidR="002838F1" w:rsidRDefault="002838F1">
      <w:pPr>
        <w:spacing w:line="360" w:lineRule="auto"/>
        <w:ind w:firstLineChars="200" w:firstLine="420"/>
        <w:divId w:val="221913437"/>
        <w:rPr>
          <w:rFonts w:hint="eastAsia"/>
        </w:rPr>
      </w:pPr>
      <w:bookmarkStart w:id="252" w:name="m510_01_1597"/>
      <w:bookmarkStart w:id="253" w:name="m510_01_1598"/>
      <w:bookmarkEnd w:id="252"/>
      <w:r>
        <w:rPr>
          <w:rFonts w:ascii="宋体" w:hAnsi="宋体" w:hint="eastAsia"/>
          <w:szCs w:val="21"/>
          <w:lang w:eastAsia="zh-Hans"/>
        </w:rPr>
        <w:t>本基金本报告期末未持有国债期货</w:t>
      </w:r>
      <w:r>
        <w:rPr>
          <w:rFonts w:ascii="宋体" w:hAnsi="宋体" w:hint="eastAsia"/>
          <w:szCs w:val="21"/>
          <w:lang w:eastAsia="zh-Hans"/>
        </w:rPr>
        <w:t>。</w:t>
      </w:r>
    </w:p>
    <w:p w:rsidR="002838F1" w:rsidRDefault="002838F1">
      <w:pPr>
        <w:pStyle w:val="XBRLTitle2"/>
        <w:spacing w:before="156" w:line="360" w:lineRule="auto"/>
        <w:ind w:left="454"/>
      </w:pPr>
      <w:bookmarkStart w:id="254" w:name="_Toc17898213"/>
      <w:bookmarkStart w:id="255" w:name="_Toc17897960"/>
      <w:bookmarkStart w:id="256" w:name="_Toc512519514"/>
      <w:bookmarkStart w:id="257" w:name="_Toc481075082"/>
      <w:bookmarkStart w:id="258" w:name="_Toc490050035"/>
      <w:bookmarkStart w:id="259" w:name="_Toc513295869"/>
      <w:bookmarkStart w:id="260" w:name="_Toc513295926"/>
      <w:r>
        <w:rPr>
          <w:rFonts w:hAnsi="宋体" w:hint="eastAsia"/>
        </w:rPr>
        <w:t>投资组合报告附</w:t>
      </w:r>
      <w:r>
        <w:rPr>
          <w:rFonts w:hAnsi="宋体" w:hint="eastAsia"/>
        </w:rPr>
        <w:t>注</w:t>
      </w:r>
      <w:bookmarkEnd w:id="254"/>
      <w:bookmarkEnd w:id="255"/>
      <w:bookmarkEnd w:id="256"/>
      <w:bookmarkEnd w:id="257"/>
      <w:bookmarkEnd w:id="258"/>
      <w:bookmarkEnd w:id="259"/>
      <w:bookmarkEnd w:id="260"/>
      <w:r>
        <w:rPr>
          <w:rFonts w:hAnsi="宋体" w:hint="eastAsia"/>
        </w:rPr>
        <w:t xml:space="preserve"> </w:t>
      </w:r>
    </w:p>
    <w:p w:rsidR="002838F1" w:rsidRDefault="002838F1">
      <w:pPr>
        <w:pStyle w:val="XBRLTitle3"/>
        <w:spacing w:before="156"/>
        <w:ind w:left="0"/>
        <w:rPr>
          <w:rFonts w:hint="eastAsia"/>
        </w:rPr>
      </w:pPr>
      <w:bookmarkStart w:id="261" w:name="_Toc513295927"/>
      <w:bookmarkStart w:id="262" w:name="_Toc490050036"/>
      <w:bookmarkStart w:id="263" w:name="_Toc481075083"/>
      <w:bookmarkStart w:id="264" w:name="_Toc512519515"/>
      <w:bookmarkStart w:id="265" w:name="_Toc17898214"/>
      <w:bookmarkEnd w:id="261"/>
      <w:bookmarkEnd w:id="262"/>
      <w:bookmarkEnd w:id="263"/>
      <w:bookmarkEnd w:id="264"/>
      <w:r>
        <w:rPr>
          <w:rFonts w:hint="eastAsia"/>
        </w:rPr>
        <w:t> </w:t>
      </w:r>
      <w:bookmarkEnd w:id="265"/>
    </w:p>
    <w:p w:rsidR="002838F1" w:rsidRDefault="002838F1">
      <w:pPr>
        <w:spacing w:line="360" w:lineRule="auto"/>
        <w:ind w:firstLineChars="200" w:firstLine="420"/>
        <w:rPr>
          <w:rFonts w:hint="eastAsia"/>
        </w:rPr>
      </w:pPr>
      <w:r>
        <w:rPr>
          <w:rFonts w:ascii="宋体" w:hAnsi="宋体" w:hint="eastAsia"/>
        </w:rPr>
        <w:t>本基金投资的前十名证券的发行主体中，国家开发银行报告编制日前一年内曾受到央行、国家外汇管理局北京市分局的处罚。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2838F1" w:rsidRDefault="002838F1">
      <w:pPr>
        <w:pStyle w:val="XBRLTitle3"/>
        <w:spacing w:before="156"/>
        <w:ind w:left="0"/>
      </w:pPr>
      <w:bookmarkStart w:id="266" w:name="_Toc490050037"/>
      <w:bookmarkStart w:id="267" w:name="_Toc481075084"/>
      <w:bookmarkStart w:id="268" w:name="_Toc512519516"/>
      <w:bookmarkStart w:id="269" w:name="_Toc513295928"/>
      <w:bookmarkStart w:id="270" w:name="_Toc17898215"/>
      <w:bookmarkEnd w:id="266"/>
      <w:bookmarkEnd w:id="267"/>
      <w:bookmarkEnd w:id="268"/>
      <w:r>
        <w:rPr>
          <w:rFonts w:hint="eastAsia"/>
        </w:rPr>
        <w:t> </w:t>
      </w:r>
      <w:bookmarkEnd w:id="269"/>
      <w:bookmarkEnd w:id="270"/>
    </w:p>
    <w:p w:rsidR="002838F1" w:rsidRDefault="002838F1">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2838F1" w:rsidRDefault="002838F1">
      <w:pPr>
        <w:pStyle w:val="XBRLTitle3"/>
        <w:spacing w:before="156"/>
        <w:ind w:left="0"/>
      </w:pPr>
      <w:bookmarkStart w:id="271" w:name="_Toc17898216"/>
      <w:bookmarkStart w:id="272" w:name="_Toc481075085"/>
      <w:bookmarkStart w:id="273" w:name="_Toc490050038"/>
      <w:bookmarkStart w:id="274" w:name="_Toc512519517"/>
      <w:bookmarkStart w:id="275" w:name="_Toc513295929"/>
      <w:bookmarkStart w:id="276" w:name="m510_02"/>
      <w:bookmarkEnd w:id="253"/>
      <w:r>
        <w:rPr>
          <w:rFonts w:hint="eastAsia"/>
        </w:rPr>
        <w:t>其他资产构</w:t>
      </w:r>
      <w:r>
        <w:rPr>
          <w:rFonts w:hint="eastAsia"/>
        </w:rPr>
        <w:t>成</w:t>
      </w:r>
      <w:bookmarkEnd w:id="271"/>
      <w:bookmarkEnd w:id="272"/>
      <w:bookmarkEnd w:id="273"/>
      <w:bookmarkEnd w:id="274"/>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76461200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38F1" w:rsidRDefault="002838F1">
            <w:pPr>
              <w:jc w:val="center"/>
            </w:pPr>
            <w:r>
              <w:rPr>
                <w:rFonts w:ascii="宋体" w:hAnsi="宋体" w:hint="eastAsia"/>
              </w:rPr>
              <w:t>金额（元</w:t>
            </w:r>
            <w:r>
              <w:rPr>
                <w:rFonts w:ascii="宋体" w:hAnsi="宋体" w:hint="eastAsia"/>
              </w:rPr>
              <w:t>）</w:t>
            </w:r>
            <w:r>
              <w:t xml:space="preserve"> </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132,199.8</w:t>
            </w:r>
            <w:r>
              <w:rPr>
                <w:rFonts w:ascii="宋体" w:hAnsi="宋体" w:hint="eastAsia"/>
              </w:rPr>
              <w:t>8</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2,522,103.0</w:t>
            </w:r>
            <w:r>
              <w:rPr>
                <w:rFonts w:ascii="宋体" w:hAnsi="宋体" w:hint="eastAsia"/>
              </w:rPr>
              <w:t>5</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w:t>
            </w:r>
          </w:p>
        </w:tc>
      </w:tr>
      <w:tr w:rsidR="00000000">
        <w:trPr>
          <w:divId w:val="7646120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38F1" w:rsidRDefault="002838F1">
            <w:pPr>
              <w:jc w:val="right"/>
            </w:pPr>
            <w:r>
              <w:rPr>
                <w:rFonts w:ascii="宋体" w:hAnsi="宋体" w:hint="eastAsia"/>
              </w:rPr>
              <w:t>2,654,302.9</w:t>
            </w:r>
            <w:r>
              <w:rPr>
                <w:rFonts w:ascii="宋体" w:hAnsi="宋体" w:hint="eastAsia"/>
              </w:rPr>
              <w:t>3</w:t>
            </w:r>
          </w:p>
        </w:tc>
      </w:tr>
    </w:tbl>
    <w:p w:rsidR="002838F1" w:rsidRDefault="002838F1">
      <w:pPr>
        <w:pStyle w:val="XBRLTitle3"/>
        <w:spacing w:before="156"/>
        <w:ind w:left="0"/>
      </w:pPr>
      <w:bookmarkStart w:id="277" w:name="_Toc17898217"/>
      <w:bookmarkStart w:id="278" w:name="_Toc481075086"/>
      <w:bookmarkStart w:id="279" w:name="_Toc490050039"/>
      <w:bookmarkStart w:id="280" w:name="_Toc512519518"/>
      <w:bookmarkStart w:id="281" w:name="_Toc513295930"/>
      <w:bookmarkStart w:id="282" w:name="m510_03"/>
      <w:bookmarkEnd w:id="276"/>
      <w:r>
        <w:rPr>
          <w:rFonts w:hint="eastAsia"/>
        </w:rPr>
        <w:t>报告期末持有的处于转股期的可转换债券明</w:t>
      </w:r>
      <w:r>
        <w:rPr>
          <w:rFonts w:hint="eastAsia"/>
        </w:rPr>
        <w:t>细</w:t>
      </w:r>
      <w:bookmarkEnd w:id="277"/>
      <w:bookmarkEnd w:id="278"/>
      <w:bookmarkEnd w:id="279"/>
      <w:bookmarkEnd w:id="280"/>
      <w:bookmarkEnd w:id="281"/>
    </w:p>
    <w:p w:rsidR="002838F1" w:rsidRDefault="002838F1">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2838F1" w:rsidRDefault="002838F1">
      <w:pPr>
        <w:pStyle w:val="XBRLTitle3"/>
        <w:spacing w:before="156"/>
        <w:ind w:left="0"/>
      </w:pPr>
      <w:bookmarkStart w:id="283" w:name="_Toc17898218"/>
      <w:bookmarkStart w:id="284" w:name="_Toc481075087"/>
      <w:bookmarkStart w:id="285" w:name="_Toc490050040"/>
      <w:bookmarkStart w:id="286" w:name="_Toc512519519"/>
      <w:bookmarkStart w:id="287" w:name="_Toc513295931"/>
      <w:bookmarkStart w:id="288" w:name="m510_04"/>
      <w:bookmarkEnd w:id="282"/>
      <w:r>
        <w:rPr>
          <w:rFonts w:hint="eastAsia"/>
        </w:rPr>
        <w:t>报告期末前十名股票中存在流通受限情况的说</w:t>
      </w:r>
      <w:r>
        <w:rPr>
          <w:rFonts w:hint="eastAsia"/>
        </w:rPr>
        <w:t>明</w:t>
      </w:r>
      <w:bookmarkEnd w:id="283"/>
      <w:bookmarkEnd w:id="284"/>
      <w:bookmarkEnd w:id="285"/>
      <w:bookmarkEnd w:id="286"/>
      <w:bookmarkEnd w:id="287"/>
    </w:p>
    <w:p w:rsidR="002838F1" w:rsidRDefault="002838F1">
      <w:pPr>
        <w:spacing w:line="360" w:lineRule="auto"/>
        <w:ind w:firstLineChars="200" w:firstLine="420"/>
        <w:jc w:val="left"/>
        <w:divId w:val="327901523"/>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2838F1" w:rsidRDefault="002838F1">
      <w:pPr>
        <w:pStyle w:val="XBRLTitle3"/>
        <w:spacing w:before="156"/>
        <w:ind w:left="0"/>
      </w:pPr>
      <w:bookmarkStart w:id="289" w:name="_Toc17898219"/>
      <w:bookmarkStart w:id="290" w:name="_Toc512519520"/>
      <w:bookmarkStart w:id="291" w:name="_Toc481075088"/>
      <w:bookmarkStart w:id="292" w:name="_Toc490050041"/>
      <w:bookmarkStart w:id="293" w:name="_Toc513295932"/>
      <w:bookmarkStart w:id="294" w:name="m510_05_1678"/>
      <w:bookmarkEnd w:id="288"/>
      <w:r>
        <w:rPr>
          <w:rFonts w:hint="eastAsia"/>
        </w:rPr>
        <w:t>投资组合报告附注的其他文字描述部</w:t>
      </w:r>
      <w:r>
        <w:rPr>
          <w:rFonts w:hint="eastAsia"/>
        </w:rPr>
        <w:t>分</w:t>
      </w:r>
      <w:bookmarkEnd w:id="289"/>
      <w:bookmarkEnd w:id="290"/>
      <w:bookmarkEnd w:id="291"/>
      <w:bookmarkEnd w:id="292"/>
      <w:bookmarkEnd w:id="293"/>
      <w:r>
        <w:rPr>
          <w:rFonts w:hint="eastAsia"/>
          <w:sz w:val="21"/>
        </w:rPr>
        <w:t xml:space="preserve"> </w:t>
      </w:r>
    </w:p>
    <w:p w:rsidR="002838F1" w:rsidRDefault="002838F1">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4"/>
      <w:r>
        <w:rPr>
          <w:rFonts w:ascii="宋体" w:hAnsi="宋体" w:hint="eastAsia"/>
        </w:rPr>
        <w:t xml:space="preserve"> </w:t>
      </w:r>
    </w:p>
    <w:p w:rsidR="002838F1" w:rsidRDefault="002838F1">
      <w:pPr>
        <w:pStyle w:val="XBRLTitle1"/>
        <w:spacing w:before="156" w:line="360" w:lineRule="auto"/>
        <w:ind w:left="425"/>
      </w:pPr>
      <w:bookmarkStart w:id="295" w:name="_Toc17898220"/>
      <w:bookmarkStart w:id="296" w:name="_Toc17897961"/>
      <w:bookmarkStart w:id="297" w:name="_Toc512519521"/>
      <w:bookmarkStart w:id="298" w:name="_Toc481075089"/>
      <w:bookmarkStart w:id="299" w:name="_Toc438646477"/>
      <w:bookmarkStart w:id="300" w:name="_Toc490050042"/>
      <w:bookmarkStart w:id="301" w:name="_Toc513295870"/>
      <w:bookmarkStart w:id="302" w:name="_Toc513295933"/>
      <w:bookmarkStart w:id="303" w:name="m601"/>
      <w:bookmarkEnd w:id="183"/>
      <w:r>
        <w:rPr>
          <w:rFonts w:hAnsi="宋体" w:hint="eastAsia"/>
        </w:rPr>
        <w:t>开放式基金份额变</w:t>
      </w:r>
      <w:r>
        <w:rPr>
          <w:rFonts w:hAnsi="宋体" w:hint="eastAsia"/>
        </w:rPr>
        <w:t>动</w:t>
      </w:r>
      <w:bookmarkStart w:id="304" w:name="m601_tab"/>
      <w:bookmarkEnd w:id="295"/>
      <w:bookmarkEnd w:id="296"/>
      <w:bookmarkEnd w:id="297"/>
      <w:bookmarkEnd w:id="298"/>
      <w:bookmarkEnd w:id="299"/>
      <w:bookmarkEnd w:id="300"/>
      <w:bookmarkEnd w:id="301"/>
      <w:bookmarkEnd w:id="302"/>
      <w:r>
        <w:rPr>
          <w:rFonts w:hAnsi="宋体" w:hint="eastAsia"/>
        </w:rPr>
        <w:t xml:space="preserve"> </w:t>
      </w:r>
    </w:p>
    <w:p w:rsidR="002838F1" w:rsidRDefault="002838F1">
      <w:pPr>
        <w:wordWrap w:val="0"/>
        <w:spacing w:line="360" w:lineRule="auto"/>
        <w:jc w:val="right"/>
        <w:divId w:val="505365925"/>
        <w:rPr>
          <w:rFonts w:hint="eastAsia"/>
        </w:rPr>
      </w:pPr>
      <w:bookmarkStart w:id="30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86"/>
        <w:gridCol w:w="2535"/>
      </w:tblGrid>
      <w:tr w:rsidR="00000000">
        <w:trPr>
          <w:divId w:val="50536592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838F1" w:rsidRDefault="002838F1">
            <w:pPr>
              <w:pStyle w:val="xl33"/>
              <w:widowControl w:val="0"/>
              <w:pBdr>
                <w:left w:val="none" w:sz="0" w:space="0" w:color="auto"/>
                <w:bottom w:val="none" w:sz="0" w:space="0" w:color="auto"/>
                <w:right w:val="none" w:sz="0" w:space="0" w:color="auto"/>
              </w:pBdr>
              <w:spacing w:before="0" w:beforeAutospacing="0" w:after="0" w:afterAutospacing="0"/>
              <w:jc w:val="both"/>
            </w:pPr>
            <w:bookmarkStart w:id="306" w:name="m10_01" w:colFirst="1" w:colLast="2"/>
            <w:bookmarkEnd w:id="305"/>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ind w:right="3"/>
              <w:jc w:val="center"/>
            </w:pPr>
            <w:r>
              <w:rPr>
                <w:rFonts w:ascii="宋体" w:hAnsi="宋体" w:hint="eastAsia"/>
                <w:lang w:eastAsia="zh-Hans"/>
              </w:rPr>
              <w:t>摩根双核平衡混合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838F1" w:rsidRDefault="002838F1">
            <w:pPr>
              <w:ind w:right="3"/>
              <w:jc w:val="center"/>
            </w:pPr>
            <w:r>
              <w:rPr>
                <w:rFonts w:ascii="宋体" w:hAnsi="宋体" w:hint="eastAsia"/>
                <w:lang w:eastAsia="zh-Hans"/>
              </w:rPr>
              <w:t>摩根双核平衡混合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5053659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170,634,112.1</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621,919.7</w:t>
            </w:r>
            <w:r>
              <w:rPr>
                <w:rFonts w:ascii="宋体" w:hAnsi="宋体" w:hint="eastAsia"/>
              </w:rPr>
              <w:t>6</w:t>
            </w:r>
          </w:p>
        </w:tc>
      </w:tr>
      <w:tr w:rsidR="00000000">
        <w:trPr>
          <w:divId w:val="5053659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33,910,970.1</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8,703,875.5</w:t>
            </w:r>
            <w:r>
              <w:rPr>
                <w:rFonts w:ascii="宋体" w:hAnsi="宋体" w:hint="eastAsia"/>
              </w:rPr>
              <w:t>4</w:t>
            </w:r>
          </w:p>
        </w:tc>
      </w:tr>
      <w:tr w:rsidR="00000000">
        <w:trPr>
          <w:divId w:val="5053659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17,081,399.8</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2,147,311.0</w:t>
            </w:r>
            <w:r>
              <w:rPr>
                <w:rFonts w:ascii="宋体" w:hAnsi="宋体" w:hint="eastAsia"/>
              </w:rPr>
              <w:t>6</w:t>
            </w:r>
          </w:p>
        </w:tc>
      </w:tr>
      <w:tr w:rsidR="00000000">
        <w:trPr>
          <w:divId w:val="5053659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w:t>
            </w:r>
          </w:p>
        </w:tc>
      </w:tr>
      <w:tr w:rsidR="00000000">
        <w:trPr>
          <w:divId w:val="5053659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187,463,682.5</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38F1" w:rsidRDefault="002838F1">
            <w:pPr>
              <w:jc w:val="right"/>
            </w:pPr>
            <w:r>
              <w:rPr>
                <w:rFonts w:ascii="宋体" w:hAnsi="宋体" w:hint="eastAsia"/>
              </w:rPr>
              <w:t>7,178,484.2</w:t>
            </w:r>
            <w:r>
              <w:rPr>
                <w:rFonts w:ascii="宋体" w:hAnsi="宋体" w:hint="eastAsia"/>
              </w:rPr>
              <w:t>4</w:t>
            </w:r>
          </w:p>
        </w:tc>
      </w:tr>
    </w:tbl>
    <w:p w:rsidR="002838F1" w:rsidRDefault="002838F1">
      <w:pPr>
        <w:spacing w:line="360" w:lineRule="auto"/>
        <w:jc w:val="left"/>
        <w:divId w:val="50536592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6"/>
      <w:r>
        <w:rPr>
          <w:rFonts w:ascii="宋体" w:hAnsi="宋体" w:hint="eastAsia"/>
        </w:rPr>
        <w:t xml:space="preserve"> </w:t>
      </w:r>
    </w:p>
    <w:p w:rsidR="002838F1" w:rsidRDefault="002838F1">
      <w:pPr>
        <w:pStyle w:val="XBRLTitle1"/>
        <w:spacing w:before="156" w:line="360" w:lineRule="auto"/>
        <w:ind w:left="425"/>
      </w:pPr>
      <w:bookmarkStart w:id="307" w:name="_Toc17898221"/>
      <w:bookmarkStart w:id="308" w:name="_Toc17897962"/>
      <w:bookmarkStart w:id="309" w:name="m7manage01"/>
      <w:bookmarkStart w:id="310" w:name="_Toc512519522"/>
      <w:bookmarkStart w:id="311" w:name="_Toc481075090"/>
      <w:bookmarkStart w:id="312" w:name="_Toc438646478"/>
      <w:bookmarkStart w:id="313" w:name="_Toc490050043"/>
      <w:bookmarkStart w:id="314" w:name="_Toc513295871"/>
      <w:bookmarkStart w:id="315" w:name="_Toc513295934"/>
      <w:bookmarkEnd w:id="303"/>
      <w:bookmarkEnd w:id="304"/>
      <w:r>
        <w:rPr>
          <w:rFonts w:hAnsi="宋体" w:hint="eastAsia"/>
        </w:rPr>
        <w:t>基金管理人运用固有资金投资本基金情</w:t>
      </w:r>
      <w:r>
        <w:rPr>
          <w:rFonts w:hAnsi="宋体" w:hint="eastAsia"/>
        </w:rPr>
        <w:t>况</w:t>
      </w:r>
      <w:bookmarkEnd w:id="307"/>
      <w:bookmarkEnd w:id="308"/>
      <w:bookmarkEnd w:id="309"/>
      <w:bookmarkEnd w:id="310"/>
      <w:bookmarkEnd w:id="311"/>
      <w:bookmarkEnd w:id="312"/>
      <w:bookmarkEnd w:id="313"/>
      <w:bookmarkEnd w:id="314"/>
      <w:bookmarkEnd w:id="315"/>
      <w:r>
        <w:rPr>
          <w:rFonts w:hAnsi="宋体" w:hint="eastAsia"/>
        </w:rPr>
        <w:t xml:space="preserve"> </w:t>
      </w:r>
    </w:p>
    <w:p w:rsidR="002838F1" w:rsidRDefault="002838F1">
      <w:pPr>
        <w:pStyle w:val="XBRLTitle2"/>
        <w:spacing w:before="156" w:line="360" w:lineRule="auto"/>
        <w:ind w:left="454"/>
        <w:rPr>
          <w:rFonts w:hint="eastAsia"/>
        </w:rPr>
      </w:pPr>
      <w:bookmarkStart w:id="316" w:name="_Toc17898222"/>
      <w:bookmarkStart w:id="317" w:name="_Toc17897963"/>
      <w:bookmarkStart w:id="318" w:name="_Toc512519523"/>
      <w:bookmarkStart w:id="319" w:name="_Toc481075091"/>
      <w:bookmarkStart w:id="320" w:name="_Toc458599606"/>
      <w:bookmarkStart w:id="321" w:name="_Toc490050044"/>
      <w:bookmarkStart w:id="322" w:name="_Toc513295872"/>
      <w:bookmarkStart w:id="323" w:name="_Toc513295935"/>
      <w:r>
        <w:rPr>
          <w:rFonts w:hAnsi="宋体" w:hint="eastAsia"/>
        </w:rPr>
        <w:t>基金管理人持有本基金份额变动情</w:t>
      </w:r>
      <w:r>
        <w:rPr>
          <w:rFonts w:hAnsi="宋体" w:hint="eastAsia"/>
        </w:rPr>
        <w:t>况</w:t>
      </w:r>
      <w:bookmarkEnd w:id="316"/>
      <w:bookmarkEnd w:id="317"/>
      <w:bookmarkEnd w:id="318"/>
      <w:bookmarkEnd w:id="319"/>
      <w:bookmarkEnd w:id="320"/>
      <w:bookmarkEnd w:id="321"/>
      <w:bookmarkEnd w:id="322"/>
      <w:bookmarkEnd w:id="323"/>
      <w:r>
        <w:rPr>
          <w:rFonts w:hAnsi="宋体" w:hint="eastAsia"/>
          <w:lang w:eastAsia="zh-CN"/>
        </w:rPr>
        <w:t xml:space="preserve"> </w:t>
      </w:r>
    </w:p>
    <w:p w:rsidR="002838F1" w:rsidRDefault="002838F1">
      <w:pPr>
        <w:spacing w:line="360" w:lineRule="auto"/>
        <w:ind w:firstLineChars="200" w:firstLine="420"/>
        <w:jc w:val="left"/>
        <w:divId w:val="1661036232"/>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2838F1" w:rsidRDefault="002838F1">
      <w:pPr>
        <w:pStyle w:val="XBRLTitle2"/>
        <w:spacing w:before="156" w:line="360" w:lineRule="auto"/>
        <w:ind w:left="454"/>
      </w:pPr>
      <w:bookmarkStart w:id="324" w:name="_Toc17898223"/>
      <w:bookmarkStart w:id="325" w:name="_Toc17897964"/>
      <w:bookmarkStart w:id="326" w:name="_Toc512519524"/>
      <w:bookmarkStart w:id="327" w:name="_Toc481075092"/>
      <w:bookmarkStart w:id="328" w:name="_Toc458599607"/>
      <w:bookmarkStart w:id="329" w:name="_Toc490050045"/>
      <w:bookmarkStart w:id="330" w:name="_Toc513295873"/>
      <w:bookmarkStart w:id="331" w:name="_Toc513295936"/>
      <w:r>
        <w:rPr>
          <w:rFonts w:hAnsi="宋体" w:hint="eastAsia"/>
        </w:rPr>
        <w:t>基金管理人运用固有资金投资本基金交易明</w:t>
      </w:r>
      <w:r>
        <w:rPr>
          <w:rFonts w:hAnsi="宋体" w:hint="eastAsia"/>
        </w:rPr>
        <w:t>细</w:t>
      </w:r>
      <w:bookmarkEnd w:id="324"/>
      <w:bookmarkEnd w:id="325"/>
      <w:bookmarkEnd w:id="326"/>
      <w:bookmarkEnd w:id="327"/>
      <w:bookmarkEnd w:id="328"/>
      <w:bookmarkEnd w:id="329"/>
      <w:bookmarkEnd w:id="330"/>
      <w:bookmarkEnd w:id="331"/>
      <w:r>
        <w:rPr>
          <w:rFonts w:hAnsi="宋体" w:hint="eastAsia"/>
          <w:lang w:eastAsia="zh-CN"/>
        </w:rPr>
        <w:t xml:space="preserve"> </w:t>
      </w:r>
    </w:p>
    <w:p w:rsidR="002838F1" w:rsidRDefault="002838F1">
      <w:pPr>
        <w:spacing w:line="360" w:lineRule="auto"/>
        <w:ind w:firstLineChars="200" w:firstLine="420"/>
        <w:jc w:val="left"/>
        <w:divId w:val="549925471"/>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2838F1" w:rsidRDefault="002838F1">
      <w:pPr>
        <w:pStyle w:val="XBRLTitle1"/>
        <w:spacing w:before="156" w:line="360" w:lineRule="auto"/>
        <w:ind w:left="425"/>
      </w:pPr>
      <w:bookmarkStart w:id="332" w:name="_Toc17898225"/>
      <w:bookmarkStart w:id="333" w:name="_Toc17897966"/>
      <w:bookmarkStart w:id="334" w:name="_Toc512519526"/>
      <w:bookmarkStart w:id="335" w:name="_Toc490050046"/>
      <w:bookmarkStart w:id="336" w:name="_Toc481075094"/>
      <w:bookmarkStart w:id="337" w:name="_Toc479856294"/>
      <w:bookmarkStart w:id="338" w:name="_Toc513295875"/>
      <w:bookmarkStart w:id="339" w:name="_Toc513295938"/>
      <w:bookmarkStart w:id="340" w:name="m701"/>
      <w:r>
        <w:rPr>
          <w:rFonts w:hAnsi="宋体" w:hint="eastAsia"/>
        </w:rPr>
        <w:t>影响投资者决策的其他重要信</w:t>
      </w:r>
      <w:r>
        <w:rPr>
          <w:rFonts w:hAnsi="宋体" w:hint="eastAsia"/>
        </w:rPr>
        <w:t>息</w:t>
      </w:r>
      <w:bookmarkEnd w:id="332"/>
      <w:bookmarkEnd w:id="333"/>
      <w:bookmarkEnd w:id="334"/>
      <w:bookmarkEnd w:id="335"/>
      <w:bookmarkEnd w:id="336"/>
      <w:bookmarkEnd w:id="337"/>
      <w:bookmarkEnd w:id="338"/>
      <w:bookmarkEnd w:id="339"/>
      <w:r>
        <w:rPr>
          <w:rFonts w:hAnsi="宋体" w:hint="eastAsia"/>
          <w:lang w:eastAsia="zh-CN"/>
        </w:rPr>
        <w:t xml:space="preserve"> </w:t>
      </w:r>
    </w:p>
    <w:p w:rsidR="002838F1" w:rsidRDefault="002838F1">
      <w:pPr>
        <w:pStyle w:val="XBRLTitle2"/>
        <w:spacing w:before="156" w:line="360" w:lineRule="auto"/>
        <w:ind w:left="454"/>
        <w:rPr>
          <w:rFonts w:hint="eastAsia"/>
        </w:rPr>
      </w:pPr>
      <w:bookmarkStart w:id="341" w:name="_Toc17898226"/>
      <w:bookmarkStart w:id="342" w:name="_Toc17897967"/>
      <w:bookmarkStart w:id="343" w:name="_Toc512519527"/>
      <w:bookmarkStart w:id="344" w:name="_Toc481075095"/>
      <w:bookmarkStart w:id="345" w:name="_Toc490050047"/>
      <w:bookmarkStart w:id="346" w:name="_Toc513295876"/>
      <w:bookmarkStart w:id="347"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1"/>
      <w:bookmarkEnd w:id="342"/>
      <w:bookmarkEnd w:id="343"/>
      <w:bookmarkEnd w:id="344"/>
      <w:bookmarkEnd w:id="345"/>
      <w:bookmarkEnd w:id="346"/>
      <w:bookmarkEnd w:id="347"/>
      <w:r>
        <w:rPr>
          <w:rFonts w:hAnsi="宋体" w:hint="eastAsia"/>
          <w:kern w:val="0"/>
          <w:lang w:eastAsia="zh-CN"/>
        </w:rPr>
        <w:t xml:space="preserve"> </w:t>
      </w:r>
    </w:p>
    <w:bookmarkEnd w:id="22"/>
    <w:bookmarkEnd w:id="42"/>
    <w:bookmarkEnd w:id="43"/>
    <w:p w:rsidR="002838F1" w:rsidRDefault="002838F1">
      <w:pPr>
        <w:spacing w:line="360" w:lineRule="auto"/>
        <w:ind w:firstLineChars="200" w:firstLine="420"/>
        <w:divId w:val="2002417825"/>
        <w:rPr>
          <w:rFonts w:ascii="宋体" w:hAnsi="宋体" w:hint="eastAsia"/>
          <w:szCs w:val="21"/>
          <w:lang w:eastAsia="zh-Hans"/>
        </w:rPr>
      </w:pPr>
      <w:r>
        <w:rPr>
          <w:rFonts w:ascii="宋体" w:hAnsi="宋体" w:hint="eastAsia"/>
          <w:szCs w:val="21"/>
          <w:lang w:eastAsia="zh-Hans"/>
        </w:rPr>
        <w:t>无。</w:t>
      </w:r>
    </w:p>
    <w:p w:rsidR="002838F1" w:rsidRDefault="002838F1">
      <w:pPr>
        <w:pStyle w:val="XBRLTitle1"/>
        <w:spacing w:before="156" w:line="360" w:lineRule="auto"/>
        <w:ind w:left="425"/>
        <w:rPr>
          <w:rFonts w:hint="eastAsia"/>
        </w:rPr>
      </w:pPr>
      <w:bookmarkStart w:id="348" w:name="_Toc17898228"/>
      <w:bookmarkStart w:id="349" w:name="_Toc17897969"/>
      <w:bookmarkStart w:id="350" w:name="_Toc512519529"/>
      <w:bookmarkStart w:id="351" w:name="_Toc490050049"/>
      <w:bookmarkStart w:id="352" w:name="_Toc481075097"/>
      <w:bookmarkStart w:id="353" w:name="_Toc438646481"/>
      <w:bookmarkStart w:id="354" w:name="_Toc513295878"/>
      <w:bookmarkStart w:id="355" w:name="_Toc513295941"/>
      <w:bookmarkEnd w:id="340"/>
      <w:r>
        <w:rPr>
          <w:rFonts w:hAnsi="宋体" w:hint="eastAsia"/>
        </w:rPr>
        <w:t>备查文件目</w:t>
      </w:r>
      <w:r>
        <w:rPr>
          <w:rFonts w:hAnsi="宋体" w:hint="eastAsia"/>
        </w:rPr>
        <w:t>录</w:t>
      </w:r>
      <w:bookmarkEnd w:id="348"/>
      <w:bookmarkEnd w:id="349"/>
      <w:bookmarkEnd w:id="350"/>
      <w:bookmarkEnd w:id="351"/>
      <w:bookmarkEnd w:id="352"/>
      <w:bookmarkEnd w:id="353"/>
      <w:bookmarkEnd w:id="354"/>
      <w:bookmarkEnd w:id="355"/>
      <w:r>
        <w:rPr>
          <w:rFonts w:hAnsi="宋体" w:hint="eastAsia"/>
        </w:rPr>
        <w:t xml:space="preserve"> </w:t>
      </w:r>
    </w:p>
    <w:p w:rsidR="002838F1" w:rsidRDefault="002838F1">
      <w:pPr>
        <w:pStyle w:val="XBRLTitle2"/>
        <w:spacing w:before="156" w:line="360" w:lineRule="auto"/>
        <w:ind w:left="454"/>
        <w:rPr>
          <w:rFonts w:hint="eastAsia"/>
        </w:rPr>
      </w:pPr>
      <w:bookmarkStart w:id="356" w:name="_Toc438646482"/>
      <w:bookmarkStart w:id="357" w:name="_Toc17898229"/>
      <w:bookmarkStart w:id="358" w:name="_Toc17897970"/>
      <w:bookmarkStart w:id="359" w:name="_Toc512519530"/>
      <w:bookmarkStart w:id="360" w:name="_Toc481075098"/>
      <w:bookmarkStart w:id="361" w:name="_Toc490050050"/>
      <w:bookmarkStart w:id="362" w:name="_Toc513295879"/>
      <w:bookmarkStart w:id="363" w:name="_Toc513295942"/>
      <w:bookmarkStart w:id="364" w:name="m801_01_1733"/>
      <w:r>
        <w:rPr>
          <w:rFonts w:hAnsi="宋体" w:hint="eastAsia"/>
        </w:rPr>
        <w:t>备查文件目</w:t>
      </w:r>
      <w:r>
        <w:rPr>
          <w:rFonts w:hAnsi="宋体" w:hint="eastAsia"/>
        </w:rPr>
        <w:t>录</w:t>
      </w:r>
      <w:bookmarkEnd w:id="356"/>
      <w:bookmarkEnd w:id="357"/>
      <w:bookmarkEnd w:id="358"/>
      <w:bookmarkEnd w:id="359"/>
      <w:bookmarkEnd w:id="360"/>
      <w:bookmarkEnd w:id="361"/>
      <w:bookmarkEnd w:id="362"/>
      <w:bookmarkEnd w:id="363"/>
      <w:r>
        <w:rPr>
          <w:rFonts w:hAnsi="宋体" w:hint="eastAsia"/>
        </w:rPr>
        <w:t xml:space="preserve"> </w:t>
      </w:r>
    </w:p>
    <w:p w:rsidR="002838F1" w:rsidRDefault="002838F1">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、中国证监会核准本基金募集的文件；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、《摩根双核平衡混合型证券投资基金基金合同》；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、《摩根双核平衡混合型证券投资基金托管协议》；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、中国证监会要求的其他文件</w:t>
      </w:r>
      <w:r>
        <w:rPr>
          <w:rFonts w:ascii="宋体" w:hAnsi="宋体" w:cs="宋体" w:hint="eastAsia"/>
          <w:color w:val="000000"/>
          <w:kern w:val="0"/>
        </w:rPr>
        <w:t>。</w:t>
      </w:r>
    </w:p>
    <w:p w:rsidR="002838F1" w:rsidRDefault="002838F1">
      <w:pPr>
        <w:pStyle w:val="XBRLTitle2"/>
        <w:spacing w:before="156" w:line="360" w:lineRule="auto"/>
        <w:ind w:left="454"/>
      </w:pPr>
      <w:bookmarkStart w:id="365" w:name="_Toc438646483"/>
      <w:bookmarkStart w:id="366" w:name="_Toc17898230"/>
      <w:bookmarkStart w:id="367" w:name="_Toc17897971"/>
      <w:bookmarkStart w:id="368" w:name="_Toc512519531"/>
      <w:bookmarkStart w:id="369" w:name="_Toc481075099"/>
      <w:bookmarkStart w:id="370" w:name="_Toc490050051"/>
      <w:bookmarkStart w:id="371" w:name="_Toc513295880"/>
      <w:bookmarkStart w:id="372" w:name="_Toc513295943"/>
      <w:bookmarkStart w:id="373" w:name="m801_01_1734"/>
      <w:bookmarkEnd w:id="364"/>
      <w:r>
        <w:rPr>
          <w:rFonts w:hAnsi="宋体" w:hint="eastAsia"/>
        </w:rPr>
        <w:t>存放地</w:t>
      </w:r>
      <w:r>
        <w:rPr>
          <w:rFonts w:hAnsi="宋体" w:hint="eastAsia"/>
        </w:rPr>
        <w:t>点</w:t>
      </w:r>
      <w:bookmarkEnd w:id="365"/>
      <w:bookmarkEnd w:id="366"/>
      <w:bookmarkEnd w:id="367"/>
      <w:bookmarkEnd w:id="368"/>
      <w:bookmarkEnd w:id="369"/>
      <w:bookmarkEnd w:id="370"/>
      <w:bookmarkEnd w:id="371"/>
      <w:bookmarkEnd w:id="372"/>
      <w:r>
        <w:rPr>
          <w:rFonts w:hAnsi="宋体" w:hint="eastAsia"/>
        </w:rPr>
        <w:t xml:space="preserve"> </w:t>
      </w:r>
    </w:p>
    <w:p w:rsidR="002838F1" w:rsidRDefault="002838F1">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2838F1" w:rsidRDefault="002838F1">
      <w:pPr>
        <w:pStyle w:val="XBRLTitle2"/>
        <w:spacing w:before="156" w:line="360" w:lineRule="auto"/>
        <w:ind w:left="454"/>
      </w:pPr>
      <w:bookmarkStart w:id="374" w:name="_Toc438646484"/>
      <w:bookmarkStart w:id="375" w:name="_Toc17898231"/>
      <w:bookmarkStart w:id="376" w:name="_Toc17897972"/>
      <w:bookmarkStart w:id="377" w:name="_Toc512519532"/>
      <w:bookmarkStart w:id="378" w:name="_Toc481075100"/>
      <w:bookmarkStart w:id="379" w:name="_Toc490050052"/>
      <w:bookmarkStart w:id="380" w:name="_Toc513295881"/>
      <w:bookmarkStart w:id="381" w:name="_Toc513295944"/>
      <w:bookmarkStart w:id="382" w:name="m801_01_1735"/>
      <w:bookmarkEnd w:id="373"/>
      <w:r>
        <w:rPr>
          <w:rFonts w:hAnsi="宋体" w:hint="eastAsia"/>
        </w:rPr>
        <w:t>查阅方</w:t>
      </w:r>
      <w:r>
        <w:rPr>
          <w:rFonts w:hAnsi="宋体" w:hint="eastAsia"/>
        </w:rPr>
        <w:t>式</w:t>
      </w:r>
      <w:bookmarkEnd w:id="374"/>
      <w:bookmarkEnd w:id="375"/>
      <w:bookmarkEnd w:id="376"/>
      <w:bookmarkEnd w:id="377"/>
      <w:bookmarkEnd w:id="378"/>
      <w:bookmarkEnd w:id="379"/>
      <w:bookmarkEnd w:id="380"/>
      <w:bookmarkEnd w:id="381"/>
      <w:r>
        <w:rPr>
          <w:rFonts w:hAnsi="宋体" w:hint="eastAsia"/>
        </w:rPr>
        <w:t xml:space="preserve"> </w:t>
      </w:r>
    </w:p>
    <w:p w:rsidR="002838F1" w:rsidRDefault="002838F1">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2"/>
    <w:p w:rsidR="002838F1" w:rsidRDefault="002838F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838F1" w:rsidRDefault="002838F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838F1" w:rsidRDefault="002838F1">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2838F1" w:rsidRDefault="002838F1">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2838F1">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8F1" w:rsidRDefault="002838F1">
      <w:pPr>
        <w:rPr>
          <w:szCs w:val="21"/>
        </w:rPr>
      </w:pPr>
      <w:r>
        <w:rPr>
          <w:szCs w:val="21"/>
        </w:rPr>
        <w:separator/>
      </w:r>
      <w:r>
        <w:rPr>
          <w:szCs w:val="21"/>
        </w:rPr>
        <w:t xml:space="preserve"> </w:t>
      </w:r>
    </w:p>
  </w:endnote>
  <w:endnote w:type="continuationSeparator" w:id="0">
    <w:p w:rsidR="002838F1" w:rsidRDefault="002838F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8F1" w:rsidRDefault="002838F1">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8F1" w:rsidRDefault="002838F1">
      <w:pPr>
        <w:rPr>
          <w:szCs w:val="21"/>
        </w:rPr>
      </w:pPr>
      <w:r>
        <w:rPr>
          <w:szCs w:val="21"/>
        </w:rPr>
        <w:separator/>
      </w:r>
      <w:r>
        <w:rPr>
          <w:szCs w:val="21"/>
        </w:rPr>
        <w:t xml:space="preserve"> </w:t>
      </w:r>
    </w:p>
  </w:footnote>
  <w:footnote w:type="continuationSeparator" w:id="0">
    <w:p w:rsidR="002838F1" w:rsidRDefault="002838F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8F1" w:rsidRDefault="002838F1">
    <w:pPr>
      <w:pStyle w:val="a8"/>
      <w:jc w:val="right"/>
    </w:pPr>
    <w:r>
      <w:rPr>
        <w:rFonts w:ascii="宋体" w:hAnsi="宋体" w:hint="eastAsia"/>
      </w:rPr>
      <w:t>摩根双核平衡混合型证券投资基金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411848006">
    <w:abstractNumId w:val="0"/>
  </w:num>
  <w:num w:numId="2" w16cid:durableId="283316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C6430"/>
    <w:rsid w:val="002838F1"/>
    <w:rsid w:val="003C6430"/>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1304">
      <w:marLeft w:val="0"/>
      <w:marRight w:val="0"/>
      <w:marTop w:val="0"/>
      <w:marBottom w:val="0"/>
      <w:divBdr>
        <w:top w:val="none" w:sz="0" w:space="0" w:color="auto"/>
        <w:left w:val="none" w:sz="0" w:space="0" w:color="auto"/>
        <w:bottom w:val="none" w:sz="0" w:space="0" w:color="auto"/>
        <w:right w:val="none" w:sz="0" w:space="0" w:color="auto"/>
      </w:divBdr>
      <w:divsChild>
        <w:div w:id="670182528">
          <w:marLeft w:val="0"/>
          <w:marRight w:val="0"/>
          <w:marTop w:val="0"/>
          <w:marBottom w:val="0"/>
          <w:divBdr>
            <w:top w:val="none" w:sz="0" w:space="0" w:color="auto"/>
            <w:left w:val="none" w:sz="0" w:space="0" w:color="auto"/>
            <w:bottom w:val="none" w:sz="0" w:space="0" w:color="auto"/>
            <w:right w:val="none" w:sz="0" w:space="0" w:color="auto"/>
          </w:divBdr>
        </w:div>
        <w:div w:id="267277181">
          <w:marLeft w:val="0"/>
          <w:marRight w:val="0"/>
          <w:marTop w:val="0"/>
          <w:marBottom w:val="0"/>
          <w:divBdr>
            <w:top w:val="none" w:sz="0" w:space="0" w:color="auto"/>
            <w:left w:val="none" w:sz="0" w:space="0" w:color="auto"/>
            <w:bottom w:val="none" w:sz="0" w:space="0" w:color="auto"/>
            <w:right w:val="none" w:sz="0" w:space="0" w:color="auto"/>
          </w:divBdr>
        </w:div>
      </w:divsChild>
    </w:div>
    <w:div w:id="42412115">
      <w:marLeft w:val="0"/>
      <w:marRight w:val="0"/>
      <w:marTop w:val="0"/>
      <w:marBottom w:val="0"/>
      <w:divBdr>
        <w:top w:val="none" w:sz="0" w:space="0" w:color="auto"/>
        <w:left w:val="none" w:sz="0" w:space="0" w:color="auto"/>
        <w:bottom w:val="none" w:sz="0" w:space="0" w:color="auto"/>
        <w:right w:val="none" w:sz="0" w:space="0" w:color="auto"/>
      </w:divBdr>
    </w:div>
    <w:div w:id="221913437">
      <w:marLeft w:val="0"/>
      <w:marRight w:val="0"/>
      <w:marTop w:val="0"/>
      <w:marBottom w:val="0"/>
      <w:divBdr>
        <w:top w:val="none" w:sz="0" w:space="0" w:color="auto"/>
        <w:left w:val="none" w:sz="0" w:space="0" w:color="auto"/>
        <w:bottom w:val="none" w:sz="0" w:space="0" w:color="auto"/>
        <w:right w:val="none" w:sz="0" w:space="0" w:color="auto"/>
      </w:divBdr>
    </w:div>
    <w:div w:id="327901523">
      <w:marLeft w:val="0"/>
      <w:marRight w:val="0"/>
      <w:marTop w:val="0"/>
      <w:marBottom w:val="0"/>
      <w:divBdr>
        <w:top w:val="none" w:sz="0" w:space="0" w:color="auto"/>
        <w:left w:val="none" w:sz="0" w:space="0" w:color="auto"/>
        <w:bottom w:val="none" w:sz="0" w:space="0" w:color="auto"/>
        <w:right w:val="none" w:sz="0" w:space="0" w:color="auto"/>
      </w:divBdr>
    </w:div>
    <w:div w:id="505365925">
      <w:marLeft w:val="0"/>
      <w:marRight w:val="0"/>
      <w:marTop w:val="0"/>
      <w:marBottom w:val="0"/>
      <w:divBdr>
        <w:top w:val="none" w:sz="0" w:space="0" w:color="auto"/>
        <w:left w:val="none" w:sz="0" w:space="0" w:color="auto"/>
        <w:bottom w:val="none" w:sz="0" w:space="0" w:color="auto"/>
        <w:right w:val="none" w:sz="0" w:space="0" w:color="auto"/>
      </w:divBdr>
    </w:div>
    <w:div w:id="529687793">
      <w:marLeft w:val="0"/>
      <w:marRight w:val="0"/>
      <w:marTop w:val="0"/>
      <w:marBottom w:val="0"/>
      <w:divBdr>
        <w:top w:val="none" w:sz="0" w:space="0" w:color="auto"/>
        <w:left w:val="none" w:sz="0" w:space="0" w:color="auto"/>
        <w:bottom w:val="none" w:sz="0" w:space="0" w:color="auto"/>
        <w:right w:val="none" w:sz="0" w:space="0" w:color="auto"/>
      </w:divBdr>
      <w:divsChild>
        <w:div w:id="764612006">
          <w:marLeft w:val="0"/>
          <w:marRight w:val="0"/>
          <w:marTop w:val="0"/>
          <w:marBottom w:val="0"/>
          <w:divBdr>
            <w:top w:val="none" w:sz="0" w:space="0" w:color="auto"/>
            <w:left w:val="none" w:sz="0" w:space="0" w:color="auto"/>
            <w:bottom w:val="none" w:sz="0" w:space="0" w:color="auto"/>
            <w:right w:val="none" w:sz="0" w:space="0" w:color="auto"/>
          </w:divBdr>
        </w:div>
      </w:divsChild>
    </w:div>
    <w:div w:id="549925471">
      <w:marLeft w:val="0"/>
      <w:marRight w:val="0"/>
      <w:marTop w:val="0"/>
      <w:marBottom w:val="0"/>
      <w:divBdr>
        <w:top w:val="none" w:sz="0" w:space="0" w:color="auto"/>
        <w:left w:val="none" w:sz="0" w:space="0" w:color="auto"/>
        <w:bottom w:val="none" w:sz="0" w:space="0" w:color="auto"/>
        <w:right w:val="none" w:sz="0" w:space="0" w:color="auto"/>
      </w:divBdr>
    </w:div>
    <w:div w:id="603264252">
      <w:marLeft w:val="0"/>
      <w:marRight w:val="0"/>
      <w:marTop w:val="0"/>
      <w:marBottom w:val="0"/>
      <w:divBdr>
        <w:top w:val="none" w:sz="0" w:space="0" w:color="auto"/>
        <w:left w:val="none" w:sz="0" w:space="0" w:color="auto"/>
        <w:bottom w:val="none" w:sz="0" w:space="0" w:color="auto"/>
        <w:right w:val="none" w:sz="0" w:space="0" w:color="auto"/>
      </w:divBdr>
    </w:div>
    <w:div w:id="649093635">
      <w:marLeft w:val="0"/>
      <w:marRight w:val="0"/>
      <w:marTop w:val="0"/>
      <w:marBottom w:val="0"/>
      <w:divBdr>
        <w:top w:val="none" w:sz="0" w:space="0" w:color="auto"/>
        <w:left w:val="none" w:sz="0" w:space="0" w:color="auto"/>
        <w:bottom w:val="none" w:sz="0" w:space="0" w:color="auto"/>
        <w:right w:val="none" w:sz="0" w:space="0" w:color="auto"/>
      </w:divBdr>
      <w:divsChild>
        <w:div w:id="1345329498">
          <w:marLeft w:val="0"/>
          <w:marRight w:val="0"/>
          <w:marTop w:val="0"/>
          <w:marBottom w:val="0"/>
          <w:divBdr>
            <w:top w:val="none" w:sz="0" w:space="0" w:color="auto"/>
            <w:left w:val="none" w:sz="0" w:space="0" w:color="auto"/>
            <w:bottom w:val="none" w:sz="0" w:space="0" w:color="auto"/>
            <w:right w:val="none" w:sz="0" w:space="0" w:color="auto"/>
          </w:divBdr>
          <w:divsChild>
            <w:div w:id="37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79142">
      <w:marLeft w:val="0"/>
      <w:marRight w:val="0"/>
      <w:marTop w:val="0"/>
      <w:marBottom w:val="0"/>
      <w:divBdr>
        <w:top w:val="none" w:sz="0" w:space="0" w:color="auto"/>
        <w:left w:val="none" w:sz="0" w:space="0" w:color="auto"/>
        <w:bottom w:val="none" w:sz="0" w:space="0" w:color="auto"/>
        <w:right w:val="none" w:sz="0" w:space="0" w:color="auto"/>
      </w:divBdr>
    </w:div>
    <w:div w:id="961883487">
      <w:marLeft w:val="0"/>
      <w:marRight w:val="0"/>
      <w:marTop w:val="0"/>
      <w:marBottom w:val="0"/>
      <w:divBdr>
        <w:top w:val="none" w:sz="0" w:space="0" w:color="auto"/>
        <w:left w:val="none" w:sz="0" w:space="0" w:color="auto"/>
        <w:bottom w:val="none" w:sz="0" w:space="0" w:color="auto"/>
        <w:right w:val="none" w:sz="0" w:space="0" w:color="auto"/>
      </w:divBdr>
    </w:div>
    <w:div w:id="1050375323">
      <w:marLeft w:val="0"/>
      <w:marRight w:val="0"/>
      <w:marTop w:val="0"/>
      <w:marBottom w:val="0"/>
      <w:divBdr>
        <w:top w:val="none" w:sz="0" w:space="0" w:color="auto"/>
        <w:left w:val="none" w:sz="0" w:space="0" w:color="auto"/>
        <w:bottom w:val="none" w:sz="0" w:space="0" w:color="auto"/>
        <w:right w:val="none" w:sz="0" w:space="0" w:color="auto"/>
      </w:divBdr>
    </w:div>
    <w:div w:id="1186363436">
      <w:marLeft w:val="0"/>
      <w:marRight w:val="0"/>
      <w:marTop w:val="0"/>
      <w:marBottom w:val="0"/>
      <w:divBdr>
        <w:top w:val="none" w:sz="0" w:space="0" w:color="auto"/>
        <w:left w:val="none" w:sz="0" w:space="0" w:color="auto"/>
        <w:bottom w:val="none" w:sz="0" w:space="0" w:color="auto"/>
        <w:right w:val="none" w:sz="0" w:space="0" w:color="auto"/>
      </w:divBdr>
    </w:div>
    <w:div w:id="1192576220">
      <w:marLeft w:val="0"/>
      <w:marRight w:val="0"/>
      <w:marTop w:val="0"/>
      <w:marBottom w:val="0"/>
      <w:divBdr>
        <w:top w:val="none" w:sz="0" w:space="0" w:color="auto"/>
        <w:left w:val="none" w:sz="0" w:space="0" w:color="auto"/>
        <w:bottom w:val="none" w:sz="0" w:space="0" w:color="auto"/>
        <w:right w:val="none" w:sz="0" w:space="0" w:color="auto"/>
      </w:divBdr>
      <w:divsChild>
        <w:div w:id="440997161">
          <w:marLeft w:val="0"/>
          <w:marRight w:val="0"/>
          <w:marTop w:val="0"/>
          <w:marBottom w:val="0"/>
          <w:divBdr>
            <w:top w:val="none" w:sz="0" w:space="0" w:color="auto"/>
            <w:left w:val="none" w:sz="0" w:space="0" w:color="auto"/>
            <w:bottom w:val="none" w:sz="0" w:space="0" w:color="auto"/>
            <w:right w:val="none" w:sz="0" w:space="0" w:color="auto"/>
          </w:divBdr>
        </w:div>
      </w:divsChild>
    </w:div>
    <w:div w:id="1406344692">
      <w:marLeft w:val="0"/>
      <w:marRight w:val="0"/>
      <w:marTop w:val="0"/>
      <w:marBottom w:val="0"/>
      <w:divBdr>
        <w:top w:val="none" w:sz="0" w:space="0" w:color="auto"/>
        <w:left w:val="none" w:sz="0" w:space="0" w:color="auto"/>
        <w:bottom w:val="none" w:sz="0" w:space="0" w:color="auto"/>
        <w:right w:val="none" w:sz="0" w:space="0" w:color="auto"/>
      </w:divBdr>
      <w:divsChild>
        <w:div w:id="1563055622">
          <w:marLeft w:val="0"/>
          <w:marRight w:val="0"/>
          <w:marTop w:val="0"/>
          <w:marBottom w:val="0"/>
          <w:divBdr>
            <w:top w:val="none" w:sz="0" w:space="0" w:color="auto"/>
            <w:left w:val="none" w:sz="0" w:space="0" w:color="auto"/>
            <w:bottom w:val="none" w:sz="0" w:space="0" w:color="auto"/>
            <w:right w:val="none" w:sz="0" w:space="0" w:color="auto"/>
          </w:divBdr>
        </w:div>
      </w:divsChild>
    </w:div>
    <w:div w:id="1490487788">
      <w:marLeft w:val="0"/>
      <w:marRight w:val="0"/>
      <w:marTop w:val="0"/>
      <w:marBottom w:val="0"/>
      <w:divBdr>
        <w:top w:val="none" w:sz="0" w:space="0" w:color="auto"/>
        <w:left w:val="none" w:sz="0" w:space="0" w:color="auto"/>
        <w:bottom w:val="none" w:sz="0" w:space="0" w:color="auto"/>
        <w:right w:val="none" w:sz="0" w:space="0" w:color="auto"/>
      </w:divBdr>
    </w:div>
    <w:div w:id="1622494583">
      <w:marLeft w:val="0"/>
      <w:marRight w:val="0"/>
      <w:marTop w:val="0"/>
      <w:marBottom w:val="0"/>
      <w:divBdr>
        <w:top w:val="none" w:sz="0" w:space="0" w:color="auto"/>
        <w:left w:val="none" w:sz="0" w:space="0" w:color="auto"/>
        <w:bottom w:val="none" w:sz="0" w:space="0" w:color="auto"/>
        <w:right w:val="none" w:sz="0" w:space="0" w:color="auto"/>
      </w:divBdr>
    </w:div>
    <w:div w:id="1661036232">
      <w:marLeft w:val="0"/>
      <w:marRight w:val="0"/>
      <w:marTop w:val="0"/>
      <w:marBottom w:val="0"/>
      <w:divBdr>
        <w:top w:val="none" w:sz="0" w:space="0" w:color="auto"/>
        <w:left w:val="none" w:sz="0" w:space="0" w:color="auto"/>
        <w:bottom w:val="none" w:sz="0" w:space="0" w:color="auto"/>
        <w:right w:val="none" w:sz="0" w:space="0" w:color="auto"/>
      </w:divBdr>
    </w:div>
    <w:div w:id="1746025336">
      <w:marLeft w:val="0"/>
      <w:marRight w:val="0"/>
      <w:marTop w:val="0"/>
      <w:marBottom w:val="0"/>
      <w:divBdr>
        <w:top w:val="none" w:sz="0" w:space="0" w:color="auto"/>
        <w:left w:val="none" w:sz="0" w:space="0" w:color="auto"/>
        <w:bottom w:val="none" w:sz="0" w:space="0" w:color="auto"/>
        <w:right w:val="none" w:sz="0" w:space="0" w:color="auto"/>
      </w:divBdr>
      <w:divsChild>
        <w:div w:id="43719187">
          <w:marLeft w:val="0"/>
          <w:marRight w:val="0"/>
          <w:marTop w:val="0"/>
          <w:marBottom w:val="0"/>
          <w:divBdr>
            <w:top w:val="none" w:sz="0" w:space="0" w:color="auto"/>
            <w:left w:val="none" w:sz="0" w:space="0" w:color="auto"/>
            <w:bottom w:val="none" w:sz="0" w:space="0" w:color="auto"/>
            <w:right w:val="none" w:sz="0" w:space="0" w:color="auto"/>
          </w:divBdr>
        </w:div>
      </w:divsChild>
    </w:div>
    <w:div w:id="1923951233">
      <w:marLeft w:val="0"/>
      <w:marRight w:val="0"/>
      <w:marTop w:val="0"/>
      <w:marBottom w:val="0"/>
      <w:divBdr>
        <w:top w:val="none" w:sz="0" w:space="0" w:color="auto"/>
        <w:left w:val="none" w:sz="0" w:space="0" w:color="auto"/>
        <w:bottom w:val="none" w:sz="0" w:space="0" w:color="auto"/>
        <w:right w:val="none" w:sz="0" w:space="0" w:color="auto"/>
      </w:divBdr>
      <w:divsChild>
        <w:div w:id="1007907521">
          <w:marLeft w:val="0"/>
          <w:marRight w:val="0"/>
          <w:marTop w:val="0"/>
          <w:marBottom w:val="0"/>
          <w:divBdr>
            <w:top w:val="none" w:sz="0" w:space="0" w:color="auto"/>
            <w:left w:val="none" w:sz="0" w:space="0" w:color="auto"/>
            <w:bottom w:val="none" w:sz="0" w:space="0" w:color="auto"/>
            <w:right w:val="none" w:sz="0" w:space="0" w:color="auto"/>
          </w:divBdr>
        </w:div>
      </w:divsChild>
    </w:div>
    <w:div w:id="1926188224">
      <w:marLeft w:val="0"/>
      <w:marRight w:val="0"/>
      <w:marTop w:val="0"/>
      <w:marBottom w:val="0"/>
      <w:divBdr>
        <w:top w:val="none" w:sz="0" w:space="0" w:color="auto"/>
        <w:left w:val="none" w:sz="0" w:space="0" w:color="auto"/>
        <w:bottom w:val="none" w:sz="0" w:space="0" w:color="auto"/>
        <w:right w:val="none" w:sz="0" w:space="0" w:color="auto"/>
      </w:divBdr>
    </w:div>
    <w:div w:id="2002417825">
      <w:marLeft w:val="0"/>
      <w:marRight w:val="0"/>
      <w:marTop w:val="0"/>
      <w:marBottom w:val="0"/>
      <w:divBdr>
        <w:top w:val="none" w:sz="0" w:space="0" w:color="auto"/>
        <w:left w:val="none" w:sz="0" w:space="0" w:color="auto"/>
        <w:bottom w:val="none" w:sz="0" w:space="0" w:color="auto"/>
        <w:right w:val="none" w:sz="0" w:space="0" w:color="auto"/>
      </w:divBdr>
    </w:div>
    <w:div w:id="204821141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1569</Words>
  <Characters>8946</Characters>
  <Application>Microsoft Office Word</Application>
  <DocSecurity>4</DocSecurity>
  <Lines>74</Lines>
  <Paragraphs>20</Paragraphs>
  <ScaleCrop>false</ScaleCrop>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