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A47296">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上投摩根中国优势证券投资基金</w:t>
      </w:r>
    </w:p>
    <w:p w:rsidR="00E8268C" w:rsidRDefault="00A47296">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4</w:t>
      </w:r>
      <w:r>
        <w:rPr>
          <w:rFonts w:asciiTheme="minorEastAsia" w:eastAsiaTheme="minorEastAsia" w:hAnsiTheme="minorEastAsia" w:hint="eastAsia"/>
          <w:b/>
          <w:color w:val="000000" w:themeColor="text1"/>
          <w:sz w:val="36"/>
          <w:szCs w:val="36"/>
        </w:rPr>
        <w:t>季度报告</w:t>
      </w:r>
    </w:p>
    <w:p w:rsidR="00E8268C" w:rsidRDefault="00A47296">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12</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bookmarkStart w:id="0" w:name="_GoBack"/>
      <w:bookmarkEnd w:id="0"/>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jc w:val="center"/>
        <w:rPr>
          <w:rFonts w:asciiTheme="minorEastAsia" w:eastAsiaTheme="minorEastAsia" w:hAnsiTheme="minorEastAsia"/>
          <w:b/>
          <w:bCs/>
          <w:color w:val="000000" w:themeColor="text1"/>
          <w:sz w:val="24"/>
          <w:szCs w:val="24"/>
        </w:rPr>
      </w:pPr>
    </w:p>
    <w:p w:rsidR="00E8268C" w:rsidRDefault="00E8268C">
      <w:pPr>
        <w:spacing w:line="360" w:lineRule="auto"/>
        <w:rPr>
          <w:rFonts w:asciiTheme="minorEastAsia" w:eastAsiaTheme="minorEastAsia" w:hAnsiTheme="minorEastAsia"/>
          <w:b/>
          <w:bCs/>
          <w:color w:val="000000" w:themeColor="text1"/>
          <w:sz w:val="24"/>
          <w:szCs w:val="24"/>
        </w:rPr>
      </w:pPr>
    </w:p>
    <w:p w:rsidR="00E8268C" w:rsidRDefault="00A47296">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E8268C" w:rsidRDefault="00A47296">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E8268C" w:rsidRDefault="00A47296">
      <w:pPr>
        <w:spacing w:line="360" w:lineRule="auto"/>
        <w:ind w:firstLineChars="900" w:firstLine="2168"/>
        <w:rPr>
          <w:rFonts w:asciiTheme="minorEastAsia" w:eastAsiaTheme="minorEastAsia" w:hAnsiTheme="minorEastAsia"/>
          <w:b/>
          <w:color w:val="000000" w:themeColor="text1"/>
          <w:sz w:val="24"/>
          <w:szCs w:val="24"/>
        </w:rPr>
        <w:sectPr w:rsidR="00E8268C">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E8268C" w:rsidRDefault="00A47296">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基金托管人中国建设银行股份有限公司根据本基金合同规定，于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17</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w:t>
      </w:r>
      <w:r>
        <w:rPr>
          <w:rFonts w:asciiTheme="minorEastAsia" w:eastAsiaTheme="minorEastAsia" w:hAnsiTheme="minorEastAsia"/>
          <w:color w:val="000000" w:themeColor="text1"/>
        </w:rPr>
        <w:t>金的招募说明书。</w:t>
      </w:r>
      <w:r>
        <w:rPr>
          <w:rFonts w:asciiTheme="minorEastAsia" w:eastAsiaTheme="minorEastAsia" w:hAnsiTheme="minorEastAsia"/>
          <w:color w:val="000000" w:themeColor="text1"/>
        </w:rPr>
        <w:t xml:space="preserve"> </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E8268C" w:rsidRDefault="00A472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E8268C">
        <w:tc>
          <w:tcPr>
            <w:tcW w:w="2835"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上投摩根中国优势混合</w:t>
            </w:r>
          </w:p>
        </w:tc>
      </w:tr>
      <w:tr w:rsidR="00E8268C">
        <w:tc>
          <w:tcPr>
            <w:tcW w:w="2835" w:type="dxa"/>
            <w:tcBorders>
              <w:top w:val="single" w:sz="4" w:space="0" w:color="auto"/>
              <w:left w:val="single" w:sz="4" w:space="0" w:color="auto"/>
              <w:bottom w:val="single" w:sz="4" w:space="0" w:color="auto"/>
              <w:right w:val="single" w:sz="4" w:space="0" w:color="auto"/>
            </w:tcBorders>
            <w:vAlign w:val="center"/>
          </w:tcPr>
          <w:p w:rsidR="00E8268C" w:rsidRDefault="00A47296">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E8268C" w:rsidRDefault="00A472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375010</w:t>
            </w:r>
          </w:p>
        </w:tc>
      </w:tr>
      <w:tr w:rsidR="00E8268C">
        <w:tc>
          <w:tcPr>
            <w:tcW w:w="2835" w:type="dxa"/>
            <w:tcBorders>
              <w:top w:val="single" w:sz="4" w:space="0" w:color="auto"/>
              <w:left w:val="single" w:sz="4" w:space="0" w:color="auto"/>
              <w:bottom w:val="single" w:sz="4" w:space="0" w:color="auto"/>
              <w:right w:val="single" w:sz="4" w:space="0" w:color="auto"/>
            </w:tcBorders>
            <w:vAlign w:val="center"/>
          </w:tcPr>
          <w:p w:rsidR="00E8268C" w:rsidRDefault="00A47296">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E8268C" w:rsidRDefault="00A472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375010</w:t>
            </w:r>
          </w:p>
        </w:tc>
      </w:tr>
      <w:tr w:rsidR="00E8268C">
        <w:tc>
          <w:tcPr>
            <w:tcW w:w="2835"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E8268C">
        <w:tc>
          <w:tcPr>
            <w:tcW w:w="2835"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2004</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9</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15</w:t>
            </w:r>
            <w:r>
              <w:rPr>
                <w:rFonts w:asciiTheme="minorEastAsia" w:eastAsiaTheme="minorEastAsia" w:hAnsiTheme="minorEastAsia"/>
                <w:color w:val="000000" w:themeColor="text1"/>
                <w:kern w:val="0"/>
              </w:rPr>
              <w:t>日</w:t>
            </w:r>
          </w:p>
        </w:tc>
      </w:tr>
      <w:tr w:rsidR="00E8268C">
        <w:tc>
          <w:tcPr>
            <w:tcW w:w="2835"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1,101,670,221.52</w:t>
            </w:r>
            <w:r>
              <w:rPr>
                <w:rFonts w:asciiTheme="minorEastAsia" w:eastAsiaTheme="minorEastAsia" w:hAnsiTheme="minorEastAsia" w:hint="eastAsia"/>
                <w:color w:val="000000" w:themeColor="text1"/>
                <w:kern w:val="0"/>
              </w:rPr>
              <w:t>份</w:t>
            </w:r>
          </w:p>
        </w:tc>
      </w:tr>
      <w:tr w:rsidR="00E8268C">
        <w:tc>
          <w:tcPr>
            <w:tcW w:w="2835"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谋求基金资产的长期稳定增值。</w:t>
            </w:r>
          </w:p>
        </w:tc>
      </w:tr>
      <w:tr w:rsidR="00E8268C">
        <w:tc>
          <w:tcPr>
            <w:tcW w:w="2835"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本基金充分借鉴摩根资产管理集团全球行之有效的投资</w:t>
            </w:r>
            <w:r>
              <w:rPr>
                <w:rFonts w:asciiTheme="minorEastAsia" w:eastAsiaTheme="minorEastAsia" w:hAnsiTheme="minorEastAsia"/>
                <w:color w:val="000000" w:themeColor="text1"/>
                <w:kern w:val="0"/>
              </w:rPr>
              <w:lastRenderedPageBreak/>
              <w:t>理念和技术，以国际视野审视中国经济发展，将国内行业发展趋势与上市公司价值判断纳入全球经济综合考量的范畴，通过定性</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定量严谨分析的有机结合，准确把握国家</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地区与上市公司的比较优势，最终实现上市公司</w:t>
            </w:r>
            <w:r>
              <w:rPr>
                <w:rFonts w:asciiTheme="minorEastAsia" w:eastAsiaTheme="minorEastAsia" w:hAnsiTheme="minorEastAsia"/>
                <w:color w:val="000000" w:themeColor="text1"/>
                <w:kern w:val="0"/>
              </w:rPr>
              <w:t>内在价值的合理评估、投资组合资产配置与风险管理的正确实施。本基金以股票投资为主体，在股票选择和资产配置上分别采取</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由下到上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和</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由上到下</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投资策略。根据国内市场的具体特点，本基金积极利用摩根资产管理集团在全球市场的研究资源，用其国际视野观的优势价值评估体系甄别个股素质，并结合本地长期深入的公司调研和严格审慎的基本面与市场面分析，筛选出重点关注的上市公司股票。资产配置层面包括类别资产配置和行业资产配置，本基金不仅在股票、债券和现金三大资产类别间实施策略性调控，也通过对全球</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区域行业效应进行评估后，确定行业资</w:t>
            </w:r>
            <w:r>
              <w:rPr>
                <w:rFonts w:asciiTheme="minorEastAsia" w:eastAsiaTheme="minorEastAsia" w:hAnsiTheme="minorEastAsia"/>
                <w:color w:val="000000" w:themeColor="text1"/>
                <w:kern w:val="0"/>
              </w:rPr>
              <w:t>产配置权重，总体紧密监控组合风险与收益特征，以最终切实提高组合的流动性、稳定性与收益性。</w:t>
            </w:r>
          </w:p>
        </w:tc>
      </w:tr>
      <w:tr w:rsidR="00E8268C">
        <w:tc>
          <w:tcPr>
            <w:tcW w:w="2835"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×70%+</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×30%</w:t>
            </w:r>
          </w:p>
        </w:tc>
      </w:tr>
      <w:tr w:rsidR="00E8268C">
        <w:tc>
          <w:tcPr>
            <w:tcW w:w="2835"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本基金努力追求资产配置动态平衡，在风险预算目标下使基金收益最大化，属于中等风险证券投资基金产品。本基金风险收益特征会定期评估并在公司网站发布，请投资者关注。</w:t>
            </w:r>
          </w:p>
        </w:tc>
      </w:tr>
      <w:tr w:rsidR="00E8268C">
        <w:tc>
          <w:tcPr>
            <w:tcW w:w="2835"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E8268C">
        <w:tc>
          <w:tcPr>
            <w:tcW w:w="2835"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E8268C" w:rsidRDefault="00A472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A47296" w:rsidTr="00A47296">
        <w:tc>
          <w:tcPr>
            <w:tcW w:w="3402" w:type="dxa"/>
            <w:vAlign w:val="center"/>
          </w:tcPr>
          <w:p w:rsidR="00E8268C" w:rsidRDefault="00A47296">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E8268C" w:rsidRDefault="00A47296">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E8268C" w:rsidRDefault="00A47296">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lastRenderedPageBreak/>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10</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12</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A47296" w:rsidTr="00A47296">
        <w:tc>
          <w:tcPr>
            <w:tcW w:w="3402"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E8268C" w:rsidRDefault="00A4729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67,257,023.11</w:t>
            </w:r>
          </w:p>
        </w:tc>
      </w:tr>
      <w:tr w:rsidR="00A47296" w:rsidTr="00A47296">
        <w:tc>
          <w:tcPr>
            <w:tcW w:w="3402"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E8268C" w:rsidRDefault="00A4729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164,430,186.14</w:t>
            </w:r>
          </w:p>
        </w:tc>
      </w:tr>
      <w:tr w:rsidR="00A47296" w:rsidTr="00A47296">
        <w:tc>
          <w:tcPr>
            <w:tcW w:w="3402"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E8268C" w:rsidRDefault="00A4729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0.1461</w:t>
            </w:r>
          </w:p>
        </w:tc>
      </w:tr>
      <w:tr w:rsidR="00A47296" w:rsidTr="00A47296">
        <w:tc>
          <w:tcPr>
            <w:tcW w:w="3402"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E8268C" w:rsidRDefault="00A4729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1,374,961,244.16</w:t>
            </w:r>
          </w:p>
        </w:tc>
      </w:tr>
      <w:tr w:rsidR="00A47296" w:rsidTr="00A47296">
        <w:trPr>
          <w:trHeight w:val="158"/>
        </w:trPr>
        <w:tc>
          <w:tcPr>
            <w:tcW w:w="3402" w:type="dxa"/>
            <w:vAlign w:val="center"/>
          </w:tcPr>
          <w:p w:rsidR="00E8268C" w:rsidRDefault="00A472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E8268C" w:rsidRDefault="00A4729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1.2481</w:t>
            </w:r>
          </w:p>
        </w:tc>
      </w:tr>
    </w:tbl>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E8268C" w:rsidRDefault="00A47296">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E8268C">
        <w:tc>
          <w:tcPr>
            <w:tcW w:w="1395"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E8268C">
        <w:tc>
          <w:tcPr>
            <w:tcW w:w="1395" w:type="dxa"/>
            <w:vAlign w:val="center"/>
          </w:tcPr>
          <w:p w:rsidR="00E8268C" w:rsidRDefault="00A47296">
            <w:pPr>
              <w:jc w:val="left"/>
            </w:pPr>
            <w:r>
              <w:rPr>
                <w:rFonts w:asciiTheme="minorEastAsia" w:eastAsiaTheme="minorEastAsia" w:hAnsiTheme="minorEastAsia"/>
                <w:color w:val="000000" w:themeColor="text1"/>
                <w:kern w:val="0"/>
              </w:rPr>
              <w:t>过去三个月</w:t>
            </w:r>
          </w:p>
        </w:tc>
        <w:tc>
          <w:tcPr>
            <w:tcW w:w="1092" w:type="dxa"/>
            <w:vAlign w:val="center"/>
          </w:tcPr>
          <w:p w:rsidR="00E8268C" w:rsidRDefault="00A47296">
            <w:pPr>
              <w:jc w:val="center"/>
            </w:pPr>
            <w:r>
              <w:rPr>
                <w:rFonts w:asciiTheme="minorEastAsia" w:eastAsiaTheme="minorEastAsia" w:hAnsiTheme="minorEastAsia"/>
                <w:color w:val="000000" w:themeColor="text1"/>
                <w:kern w:val="0"/>
              </w:rPr>
              <w:t>13.27%</w:t>
            </w:r>
          </w:p>
        </w:tc>
        <w:tc>
          <w:tcPr>
            <w:tcW w:w="1161" w:type="dxa"/>
            <w:vAlign w:val="center"/>
          </w:tcPr>
          <w:p w:rsidR="00E8268C" w:rsidRDefault="00A47296">
            <w:pPr>
              <w:jc w:val="center"/>
            </w:pPr>
            <w:r>
              <w:rPr>
                <w:rFonts w:asciiTheme="minorEastAsia" w:eastAsiaTheme="minorEastAsia" w:hAnsiTheme="minorEastAsia"/>
                <w:color w:val="000000" w:themeColor="text1"/>
                <w:kern w:val="0"/>
              </w:rPr>
              <w:t>1.03%</w:t>
            </w:r>
          </w:p>
        </w:tc>
        <w:tc>
          <w:tcPr>
            <w:tcW w:w="1181" w:type="dxa"/>
            <w:vAlign w:val="center"/>
          </w:tcPr>
          <w:p w:rsidR="00E8268C" w:rsidRDefault="00A47296">
            <w:pPr>
              <w:jc w:val="center"/>
            </w:pPr>
            <w:r>
              <w:rPr>
                <w:rFonts w:asciiTheme="minorEastAsia" w:eastAsiaTheme="minorEastAsia" w:hAnsiTheme="minorEastAsia"/>
                <w:color w:val="000000" w:themeColor="text1"/>
                <w:kern w:val="0"/>
              </w:rPr>
              <w:t>5.43%</w:t>
            </w:r>
          </w:p>
        </w:tc>
        <w:tc>
          <w:tcPr>
            <w:tcW w:w="1188" w:type="dxa"/>
            <w:vAlign w:val="center"/>
          </w:tcPr>
          <w:p w:rsidR="00E8268C" w:rsidRDefault="00A47296">
            <w:pPr>
              <w:jc w:val="center"/>
            </w:pPr>
            <w:r>
              <w:rPr>
                <w:rFonts w:asciiTheme="minorEastAsia" w:eastAsiaTheme="minorEastAsia" w:hAnsiTheme="minorEastAsia"/>
                <w:color w:val="000000" w:themeColor="text1"/>
                <w:kern w:val="0"/>
              </w:rPr>
              <w:t>0.51%</w:t>
            </w:r>
          </w:p>
        </w:tc>
        <w:tc>
          <w:tcPr>
            <w:tcW w:w="1199" w:type="dxa"/>
            <w:vAlign w:val="center"/>
          </w:tcPr>
          <w:p w:rsidR="00E8268C" w:rsidRDefault="00A47296">
            <w:pPr>
              <w:jc w:val="center"/>
            </w:pPr>
            <w:r>
              <w:rPr>
                <w:rFonts w:asciiTheme="minorEastAsia" w:eastAsiaTheme="minorEastAsia" w:hAnsiTheme="minorEastAsia"/>
                <w:color w:val="000000" w:themeColor="text1"/>
                <w:kern w:val="0"/>
              </w:rPr>
              <w:t>7.84%</w:t>
            </w:r>
          </w:p>
        </w:tc>
        <w:tc>
          <w:tcPr>
            <w:tcW w:w="1204" w:type="dxa"/>
            <w:vAlign w:val="center"/>
          </w:tcPr>
          <w:p w:rsidR="00E8268C" w:rsidRDefault="00A47296">
            <w:pPr>
              <w:jc w:val="center"/>
            </w:pPr>
            <w:r>
              <w:rPr>
                <w:rFonts w:asciiTheme="minorEastAsia" w:eastAsiaTheme="minorEastAsia" w:hAnsiTheme="minorEastAsia"/>
                <w:color w:val="000000" w:themeColor="text1"/>
                <w:kern w:val="0"/>
              </w:rPr>
              <w:t>0.52%</w:t>
            </w:r>
          </w:p>
        </w:tc>
      </w:tr>
    </w:tbl>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E8268C" w:rsidRDefault="00A47296">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上投摩根中国优势证券投资基金</w:t>
      </w:r>
    </w:p>
    <w:p w:rsidR="00E8268C" w:rsidRDefault="00A47296">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E8268C" w:rsidRDefault="00A47296">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E8268C" w:rsidRDefault="00A47296">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注：本基金合同生效时间为</w:t>
      </w:r>
      <w:r>
        <w:rPr>
          <w:rFonts w:asciiTheme="minorEastAsia" w:eastAsiaTheme="minorEastAsia" w:hAnsiTheme="minorEastAsia"/>
          <w:color w:val="000000" w:themeColor="text1"/>
        </w:rPr>
        <w:t>2004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2004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2004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2005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14</w:t>
      </w:r>
      <w:r>
        <w:rPr>
          <w:rFonts w:asciiTheme="minorEastAsia" w:eastAsiaTheme="minorEastAsia" w:hAnsiTheme="minorEastAsia"/>
          <w:color w:val="000000" w:themeColor="text1"/>
        </w:rPr>
        <w:t>日，建仓期结束时资产配置比例符合本基金基金合同规定。</w:t>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本基金自</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日起，将基金业绩比较基准由</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富时中国</w:t>
      </w:r>
      <w:r>
        <w:rPr>
          <w:rFonts w:asciiTheme="minorEastAsia" w:eastAsiaTheme="minorEastAsia" w:hAnsiTheme="minorEastAsia"/>
          <w:color w:val="000000" w:themeColor="text1"/>
        </w:rPr>
        <w:t>A600</w:t>
      </w:r>
      <w:r>
        <w:rPr>
          <w:rFonts w:asciiTheme="minorEastAsia" w:eastAsiaTheme="minorEastAsia" w:hAnsiTheme="minorEastAsia"/>
          <w:color w:val="000000" w:themeColor="text1"/>
        </w:rPr>
        <w:t>指数收益率</w:t>
      </w:r>
      <w:r>
        <w:rPr>
          <w:rFonts w:asciiTheme="minorEastAsia" w:eastAsiaTheme="minorEastAsia" w:hAnsiTheme="minorEastAsia"/>
          <w:color w:val="000000" w:themeColor="text1"/>
        </w:rPr>
        <w:t>×70%+</w:t>
      </w:r>
      <w:r>
        <w:rPr>
          <w:rFonts w:asciiTheme="minorEastAsia" w:eastAsiaTheme="minorEastAsia" w:hAnsiTheme="minorEastAsia"/>
          <w:color w:val="000000" w:themeColor="text1"/>
        </w:rPr>
        <w:t>上证国债指数收益率</w:t>
      </w:r>
      <w:r>
        <w:rPr>
          <w:rFonts w:asciiTheme="minorEastAsia" w:eastAsiaTheme="minorEastAsia" w:hAnsiTheme="minorEastAsia"/>
          <w:color w:val="000000" w:themeColor="text1"/>
        </w:rPr>
        <w:t>×25%+</w:t>
      </w:r>
      <w:r>
        <w:rPr>
          <w:rFonts w:asciiTheme="minorEastAsia" w:eastAsiaTheme="minorEastAsia" w:hAnsiTheme="minorEastAsia"/>
          <w:color w:val="000000" w:themeColor="text1"/>
        </w:rPr>
        <w:t>同业存款利率</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变更为</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沪深</w:t>
      </w:r>
      <w:r>
        <w:rPr>
          <w:rFonts w:asciiTheme="minorEastAsia" w:eastAsiaTheme="minorEastAsia" w:hAnsiTheme="minorEastAsia"/>
          <w:color w:val="000000" w:themeColor="text1"/>
        </w:rPr>
        <w:t>300</w:t>
      </w:r>
      <w:r>
        <w:rPr>
          <w:rFonts w:asciiTheme="minorEastAsia" w:eastAsiaTheme="minorEastAsia" w:hAnsiTheme="minorEastAsia"/>
          <w:color w:val="000000" w:themeColor="text1"/>
        </w:rPr>
        <w:t>指数收益率</w:t>
      </w:r>
      <w:r>
        <w:rPr>
          <w:rFonts w:asciiTheme="minorEastAsia" w:eastAsiaTheme="minorEastAsia" w:hAnsiTheme="minorEastAsia"/>
          <w:color w:val="000000" w:themeColor="text1"/>
        </w:rPr>
        <w:t>×70%+</w:t>
      </w:r>
      <w:r>
        <w:rPr>
          <w:rFonts w:asciiTheme="minorEastAsia" w:eastAsiaTheme="minorEastAsia" w:hAnsiTheme="minorEastAsia"/>
          <w:color w:val="000000" w:themeColor="text1"/>
        </w:rPr>
        <w:t>中债总指数收益率</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w:t>
      </w:r>
    </w:p>
    <w:p w:rsidR="00E8268C" w:rsidRDefault="00E8268C">
      <w:pPr>
        <w:tabs>
          <w:tab w:val="left" w:pos="1800"/>
        </w:tabs>
        <w:spacing w:line="360" w:lineRule="auto"/>
        <w:rPr>
          <w:rFonts w:asciiTheme="minorEastAsia" w:eastAsiaTheme="minorEastAsia" w:hAnsiTheme="minorEastAsia"/>
          <w:color w:val="000000" w:themeColor="text1"/>
          <w:sz w:val="24"/>
          <w:szCs w:val="24"/>
        </w:rPr>
      </w:pPr>
    </w:p>
    <w:p w:rsidR="00E8268C" w:rsidRDefault="00A472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E8268C">
        <w:trPr>
          <w:cantSplit/>
          <w:trHeight w:val="292"/>
        </w:trPr>
        <w:tc>
          <w:tcPr>
            <w:tcW w:w="851" w:type="dxa"/>
            <w:vMerge w:val="restart"/>
            <w:vAlign w:val="center"/>
          </w:tcPr>
          <w:p w:rsidR="00E8268C" w:rsidRDefault="00A4729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E8268C" w:rsidRDefault="00A4729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E8268C" w:rsidRDefault="00A4729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E8268C">
        <w:trPr>
          <w:cantSplit/>
        </w:trPr>
        <w:tc>
          <w:tcPr>
            <w:tcW w:w="851" w:type="dxa"/>
            <w:vMerge/>
            <w:vAlign w:val="center"/>
          </w:tcPr>
          <w:p w:rsidR="00E8268C" w:rsidRDefault="00E8268C">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E8268C" w:rsidRDefault="00E8268C">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E8268C" w:rsidRDefault="00E8268C">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E8268C" w:rsidRDefault="00E8268C">
            <w:pPr>
              <w:widowControl/>
              <w:spacing w:line="360" w:lineRule="auto"/>
              <w:jc w:val="left"/>
              <w:rPr>
                <w:rFonts w:asciiTheme="minorEastAsia" w:eastAsiaTheme="minorEastAsia" w:hAnsiTheme="minorEastAsia"/>
                <w:color w:val="000000" w:themeColor="text1"/>
                <w:kern w:val="0"/>
              </w:rPr>
            </w:pPr>
          </w:p>
        </w:tc>
      </w:tr>
      <w:tr w:rsidR="00E8268C">
        <w:tc>
          <w:tcPr>
            <w:tcW w:w="851" w:type="dxa"/>
            <w:vAlign w:val="center"/>
          </w:tcPr>
          <w:p w:rsidR="00E8268C" w:rsidRDefault="00A47296">
            <w:pPr>
              <w:jc w:val="center"/>
            </w:pPr>
            <w:r>
              <w:rPr>
                <w:rFonts w:asciiTheme="minorEastAsia" w:eastAsiaTheme="minorEastAsia" w:hAnsiTheme="minorEastAsia"/>
                <w:color w:val="000000" w:themeColor="text1"/>
              </w:rPr>
              <w:t>杜猛</w:t>
            </w:r>
          </w:p>
        </w:tc>
        <w:tc>
          <w:tcPr>
            <w:tcW w:w="850" w:type="dxa"/>
            <w:vAlign w:val="center"/>
          </w:tcPr>
          <w:p w:rsidR="00E8268C" w:rsidRDefault="00A47296">
            <w:pPr>
              <w:jc w:val="center"/>
            </w:pPr>
            <w:r>
              <w:rPr>
                <w:rFonts w:asciiTheme="minorEastAsia" w:eastAsiaTheme="minorEastAsia" w:hAnsiTheme="minorEastAsia"/>
                <w:color w:val="000000" w:themeColor="text1"/>
              </w:rPr>
              <w:t>本基金基金经理、副总经理兼投资总监</w:t>
            </w:r>
          </w:p>
        </w:tc>
        <w:tc>
          <w:tcPr>
            <w:tcW w:w="1560" w:type="dxa"/>
            <w:vAlign w:val="center"/>
          </w:tcPr>
          <w:p w:rsidR="00E8268C" w:rsidRDefault="00A47296">
            <w:pPr>
              <w:jc w:val="center"/>
            </w:pPr>
            <w:r>
              <w:rPr>
                <w:rFonts w:asciiTheme="minorEastAsia" w:eastAsiaTheme="minorEastAsia" w:hAnsiTheme="minorEastAsia"/>
                <w:color w:val="000000" w:themeColor="text1"/>
              </w:rPr>
              <w:t>2019-03-29</w:t>
            </w:r>
          </w:p>
        </w:tc>
        <w:tc>
          <w:tcPr>
            <w:tcW w:w="1559" w:type="dxa"/>
            <w:vAlign w:val="center"/>
          </w:tcPr>
          <w:p w:rsidR="00E8268C" w:rsidRDefault="00A47296">
            <w:pPr>
              <w:jc w:val="center"/>
            </w:pPr>
            <w:r>
              <w:rPr>
                <w:rFonts w:asciiTheme="minorEastAsia" w:eastAsiaTheme="minorEastAsia" w:hAnsiTheme="minorEastAsia"/>
                <w:color w:val="000000" w:themeColor="text1"/>
              </w:rPr>
              <w:t>-</w:t>
            </w:r>
          </w:p>
        </w:tc>
        <w:tc>
          <w:tcPr>
            <w:tcW w:w="1417" w:type="dxa"/>
            <w:vAlign w:val="center"/>
          </w:tcPr>
          <w:p w:rsidR="00E8268C" w:rsidRDefault="00A47296">
            <w:pPr>
              <w:jc w:val="center"/>
            </w:pPr>
            <w:r>
              <w:rPr>
                <w:rFonts w:asciiTheme="minorEastAsia" w:eastAsiaTheme="minorEastAsia" w:hAnsiTheme="minorEastAsia"/>
                <w:color w:val="000000" w:themeColor="text1"/>
              </w:rPr>
              <w:t>18</w:t>
            </w:r>
            <w:r>
              <w:rPr>
                <w:rFonts w:asciiTheme="minorEastAsia" w:eastAsiaTheme="minorEastAsia" w:hAnsiTheme="minorEastAsia"/>
                <w:color w:val="000000" w:themeColor="text1"/>
              </w:rPr>
              <w:t>年</w:t>
            </w:r>
          </w:p>
        </w:tc>
        <w:tc>
          <w:tcPr>
            <w:tcW w:w="2694" w:type="dxa"/>
            <w:vAlign w:val="center"/>
          </w:tcPr>
          <w:p w:rsidR="00E8268C" w:rsidRDefault="00A47296">
            <w:r>
              <w:rPr>
                <w:rFonts w:asciiTheme="minorEastAsia" w:eastAsiaTheme="minorEastAsia" w:hAnsiTheme="minorEastAsia"/>
                <w:color w:val="000000" w:themeColor="text1"/>
              </w:rPr>
              <w:t>基金经理杜猛先生，南京大学经济学硕士，先后任职于天同证券、中原证券、国信证券和中银国际证券，任研究员。</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月起加入上投摩根基金管理有限公司，先后担任行业专家、基金经理助理、基金经理、总经理助理</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国内权益投资一部总监兼资深基金经理，现担任副总经理兼投资总监。自</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月起担任上投摩根新兴动力混合型证券投资基金基金经理，自</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月同时担任上投摩根智选</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混合型证券投资基金基金经理，自</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月同时担任上投摩根成长动力混合型证券投资基金基金经理，</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月同时担任上投摩根内需动力混合型证券投资基金基金经理，</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月起同时担任上投摩根中国优势证券投资基金基金经理。</w:t>
            </w:r>
          </w:p>
        </w:tc>
      </w:tr>
    </w:tbl>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证券从业的含义遵从行业协会《证券业从业人员资格管理办法》的相关规定。</w:t>
      </w:r>
    </w:p>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中国优势证券投资基金基金合同》的规定。基金经理对个股和投资组合的比例遵循了投资决策委员会的授权限制，基金投资比例符合基金合同和法律法规的要求。</w:t>
      </w:r>
    </w:p>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E8268C" w:rsidRDefault="00A472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w:t>
      </w:r>
      <w:r>
        <w:rPr>
          <w:rFonts w:asciiTheme="minorEastAsia" w:eastAsiaTheme="minorEastAsia" w:hAnsiTheme="minorEastAsia"/>
          <w:color w:val="000000" w:themeColor="text1"/>
        </w:rPr>
        <w:t>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w:t>
      </w:r>
      <w:r>
        <w:rPr>
          <w:rFonts w:asciiTheme="minorEastAsia" w:eastAsiaTheme="minorEastAsia" w:hAnsiTheme="minorEastAsia"/>
          <w:color w:val="000000" w:themeColor="text1"/>
        </w:rPr>
        <w:t>的价格和数量对交易结果进行公平分配。</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E8268C" w:rsidRDefault="00A472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E8268C" w:rsidRDefault="00E8268C">
      <w:pPr>
        <w:spacing w:line="360" w:lineRule="auto"/>
        <w:ind w:firstLineChars="200" w:firstLine="480"/>
        <w:rPr>
          <w:rFonts w:asciiTheme="minorEastAsia" w:eastAsiaTheme="minorEastAsia" w:hAnsiTheme="minorEastAsia"/>
          <w:color w:val="000000" w:themeColor="text1"/>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E8268C" w:rsidRDefault="00A472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四季度市场呈现震荡上行走势，宏观经济托底政策开始发力，外部环境缓和，中美达成贸易协定的概率不断增加，为市场提供了相对稳定和乐观的情绪。长期资金持续流入市场，科技类股和周期类股获得了较大的超盈。我们坚持认为只有优质公司才能穿越周期，为投资者带来长期回报，重点投资了业绩持续增长且估值合理的龙头公司。</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展望未来，中国经济增速有望企稳，中国经济存在极强的韧性，消费占比的提升会显著提升经济的稳定性。中美贸易摩擦阶段性缓和将提供一个较好的窗口期，但我们判断在未来两国竞争与合作交</w:t>
      </w:r>
      <w:r>
        <w:rPr>
          <w:rFonts w:asciiTheme="minorEastAsia" w:eastAsiaTheme="minorEastAsia" w:hAnsiTheme="minorEastAsia"/>
          <w:color w:val="000000" w:themeColor="text1"/>
        </w:rPr>
        <w:t>织的状态将是一个常态。</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目前中国</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股整体估值依然较低，无论是国内大类资产之间的比较还是和国际证券市场之间的比较，</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股都是具备相当吸引力的。更为重要的变化是，中国无风险收益率已经开始下行，权益市场在未来是争取较高收益的主要途径，</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股在未来大类资产配置的比重将不断提升。因此我们看好</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股未来较长一段时间的表现，伴随着市场不断规范化、国际化和法制化，</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股的上涨可能会变得更为持续和稳健。</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从更长期看，消费、医药和科技将成为中国未来</w:t>
      </w:r>
      <w:r>
        <w:rPr>
          <w:rFonts w:asciiTheme="minorEastAsia" w:eastAsiaTheme="minorEastAsia" w:hAnsiTheme="minorEastAsia"/>
          <w:color w:val="000000" w:themeColor="text1"/>
        </w:rPr>
        <w:t>10-20</w:t>
      </w:r>
      <w:r>
        <w:rPr>
          <w:rFonts w:asciiTheme="minorEastAsia" w:eastAsiaTheme="minorEastAsia" w:hAnsiTheme="minorEastAsia"/>
          <w:color w:val="000000" w:themeColor="text1"/>
        </w:rPr>
        <w:t>年经济增长的主要动力之一，证券市场的投资机会也将来源于此，我们更看好未来几年科</w:t>
      </w:r>
      <w:r>
        <w:rPr>
          <w:rFonts w:asciiTheme="minorEastAsia" w:eastAsiaTheme="minorEastAsia" w:hAnsiTheme="minorEastAsia"/>
          <w:color w:val="000000" w:themeColor="text1"/>
        </w:rPr>
        <w:t>技行业的市场表现。我们将充分深入研究，寻找新兴产业中长期成长的公司，力争为基金持有人创造持续稳定收益。</w:t>
      </w:r>
    </w:p>
    <w:p w:rsidR="00E8268C" w:rsidRDefault="00A472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本报告期上投摩根中国优势混合份额净值增长率为</w:t>
      </w:r>
      <w:r>
        <w:rPr>
          <w:rFonts w:asciiTheme="minorEastAsia" w:eastAsiaTheme="minorEastAsia" w:hAnsiTheme="minorEastAsia"/>
          <w:color w:val="000000" w:themeColor="text1"/>
        </w:rPr>
        <w:t>:13.27%</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:5.43%</w:t>
      </w:r>
      <w:r>
        <w:rPr>
          <w:rFonts w:asciiTheme="minorEastAsia" w:eastAsiaTheme="minorEastAsia" w:hAnsiTheme="minorEastAsia"/>
          <w:color w:val="000000" w:themeColor="text1"/>
        </w:rPr>
        <w:t>。</w:t>
      </w:r>
    </w:p>
    <w:p w:rsidR="00E8268C" w:rsidRDefault="00E8268C">
      <w:pPr>
        <w:spacing w:line="360" w:lineRule="auto"/>
        <w:ind w:firstLineChars="200" w:firstLine="480"/>
        <w:rPr>
          <w:rFonts w:asciiTheme="minorEastAsia" w:eastAsiaTheme="minorEastAsia" w:hAnsiTheme="minorEastAsia"/>
          <w:color w:val="000000" w:themeColor="text1"/>
          <w:sz w:val="24"/>
          <w:szCs w:val="24"/>
        </w:rPr>
      </w:pPr>
    </w:p>
    <w:p w:rsidR="00E8268C" w:rsidRDefault="00A472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E8268C" w:rsidRDefault="00A472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E8268C">
        <w:trPr>
          <w:jc w:val="center"/>
        </w:trPr>
        <w:tc>
          <w:tcPr>
            <w:tcW w:w="720" w:type="dxa"/>
            <w:vAlign w:val="center"/>
          </w:tcPr>
          <w:p w:rsidR="00E8268C" w:rsidRDefault="00A472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E8268C" w:rsidRDefault="00A472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E8268C" w:rsidRDefault="00A472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E8268C" w:rsidRDefault="00A472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E8268C">
        <w:trPr>
          <w:jc w:val="center"/>
        </w:trPr>
        <w:tc>
          <w:tcPr>
            <w:tcW w:w="720" w:type="dxa"/>
            <w:vAlign w:val="center"/>
          </w:tcPr>
          <w:p w:rsidR="00E8268C" w:rsidRDefault="00A472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E8268C" w:rsidRDefault="00A472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1,279,869,564.74</w:t>
            </w:r>
          </w:p>
        </w:tc>
        <w:tc>
          <w:tcPr>
            <w:tcW w:w="1843"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92.41</w:t>
            </w:r>
          </w:p>
        </w:tc>
      </w:tr>
      <w:tr w:rsidR="00E8268C">
        <w:trPr>
          <w:jc w:val="center"/>
        </w:trPr>
        <w:tc>
          <w:tcPr>
            <w:tcW w:w="720" w:type="dxa"/>
            <w:vAlign w:val="center"/>
          </w:tcPr>
          <w:p w:rsidR="00E8268C" w:rsidRDefault="00E8268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8268C" w:rsidRDefault="00A472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1,279,869,564.74</w:t>
            </w:r>
          </w:p>
        </w:tc>
        <w:tc>
          <w:tcPr>
            <w:tcW w:w="1843"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92.41</w:t>
            </w:r>
          </w:p>
        </w:tc>
      </w:tr>
      <w:tr w:rsidR="00E8268C">
        <w:trPr>
          <w:jc w:val="center"/>
        </w:trPr>
        <w:tc>
          <w:tcPr>
            <w:tcW w:w="720" w:type="dxa"/>
            <w:vAlign w:val="center"/>
          </w:tcPr>
          <w:p w:rsidR="00E8268C" w:rsidRDefault="00A472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E8268C" w:rsidRDefault="00A472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5,083,459.20</w:t>
            </w:r>
          </w:p>
        </w:tc>
        <w:tc>
          <w:tcPr>
            <w:tcW w:w="1843"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0.37</w:t>
            </w:r>
          </w:p>
        </w:tc>
      </w:tr>
      <w:tr w:rsidR="00E8268C">
        <w:trPr>
          <w:jc w:val="center"/>
        </w:trPr>
        <w:tc>
          <w:tcPr>
            <w:tcW w:w="720" w:type="dxa"/>
            <w:vAlign w:val="center"/>
          </w:tcPr>
          <w:p w:rsidR="00E8268C" w:rsidRDefault="00E8268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8268C" w:rsidRDefault="00A472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5,083,459.20</w:t>
            </w:r>
          </w:p>
        </w:tc>
        <w:tc>
          <w:tcPr>
            <w:tcW w:w="1843"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0.37</w:t>
            </w:r>
          </w:p>
        </w:tc>
      </w:tr>
      <w:tr w:rsidR="00E8268C">
        <w:trPr>
          <w:jc w:val="center"/>
        </w:trPr>
        <w:tc>
          <w:tcPr>
            <w:tcW w:w="720" w:type="dxa"/>
            <w:vAlign w:val="center"/>
          </w:tcPr>
          <w:p w:rsidR="00E8268C" w:rsidRDefault="00E8268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8268C" w:rsidRDefault="00A47296">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8268C">
        <w:trPr>
          <w:jc w:val="center"/>
        </w:trPr>
        <w:tc>
          <w:tcPr>
            <w:tcW w:w="720" w:type="dxa"/>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E8268C" w:rsidRDefault="00A47296">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8268C">
        <w:trPr>
          <w:jc w:val="center"/>
        </w:trPr>
        <w:tc>
          <w:tcPr>
            <w:tcW w:w="720"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8268C">
        <w:trPr>
          <w:jc w:val="center"/>
        </w:trPr>
        <w:tc>
          <w:tcPr>
            <w:tcW w:w="720" w:type="dxa"/>
            <w:vAlign w:val="center"/>
          </w:tcPr>
          <w:p w:rsidR="00E8268C" w:rsidRDefault="00A472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E8268C" w:rsidRDefault="00A472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8268C">
        <w:trPr>
          <w:jc w:val="center"/>
        </w:trPr>
        <w:tc>
          <w:tcPr>
            <w:tcW w:w="720" w:type="dxa"/>
            <w:vAlign w:val="center"/>
          </w:tcPr>
          <w:p w:rsidR="00E8268C" w:rsidRDefault="00E8268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8268C" w:rsidRDefault="00A472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8268C">
        <w:trPr>
          <w:jc w:val="center"/>
        </w:trPr>
        <w:tc>
          <w:tcPr>
            <w:tcW w:w="720" w:type="dxa"/>
            <w:vAlign w:val="center"/>
          </w:tcPr>
          <w:p w:rsidR="00E8268C" w:rsidRDefault="00A472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E8268C" w:rsidRDefault="00A472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99,245,747.55</w:t>
            </w:r>
          </w:p>
        </w:tc>
        <w:tc>
          <w:tcPr>
            <w:tcW w:w="1843"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7.17</w:t>
            </w:r>
          </w:p>
        </w:tc>
      </w:tr>
      <w:tr w:rsidR="00E8268C">
        <w:trPr>
          <w:jc w:val="center"/>
        </w:trPr>
        <w:tc>
          <w:tcPr>
            <w:tcW w:w="720" w:type="dxa"/>
            <w:vAlign w:val="center"/>
          </w:tcPr>
          <w:p w:rsidR="00E8268C" w:rsidRDefault="00A472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E8268C" w:rsidRDefault="00A47296">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746,591.42</w:t>
            </w:r>
          </w:p>
        </w:tc>
        <w:tc>
          <w:tcPr>
            <w:tcW w:w="1843" w:type="dxa"/>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0.05</w:t>
            </w:r>
          </w:p>
        </w:tc>
      </w:tr>
      <w:tr w:rsidR="00E8268C">
        <w:trPr>
          <w:jc w:val="center"/>
        </w:trPr>
        <w:tc>
          <w:tcPr>
            <w:tcW w:w="720" w:type="dxa"/>
            <w:vAlign w:val="center"/>
          </w:tcPr>
          <w:p w:rsidR="00E8268C" w:rsidRDefault="00A472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E8268C" w:rsidRDefault="00A47296">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1,384,945,362.91</w:t>
            </w:r>
          </w:p>
        </w:tc>
        <w:tc>
          <w:tcPr>
            <w:tcW w:w="1843" w:type="dxa"/>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E8268C" w:rsidRDefault="00E8268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E8268C" w:rsidRDefault="00A47296">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E8268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42,630,180.80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3.10</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12,398,925.69</w:t>
            </w:r>
          </w:p>
          <w:p w:rsidR="00E8268C" w:rsidRDefault="00E8268C">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0.90</w:t>
            </w:r>
          </w:p>
          <w:p w:rsidR="00E8268C" w:rsidRDefault="00E8268C">
            <w:pPr>
              <w:jc w:val="right"/>
              <w:rPr>
                <w:rFonts w:asciiTheme="minorEastAsia" w:eastAsiaTheme="minorEastAsia" w:hAnsiTheme="minorEastAsia" w:cs="宋体"/>
                <w:color w:val="000000" w:themeColor="text1"/>
                <w:kern w:val="0"/>
              </w:rPr>
            </w:pP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968,675,062.31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70.45</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706,770.90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0.05</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454,584.09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0.03</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421,338.80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0.03</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130,668,660.90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9.50</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85,623,160.93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6.23</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13,303,586.86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0.97</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24,987,293.46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1.82</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E8268C">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8268C" w:rsidRDefault="00A472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1,279,869,564.74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8268C" w:rsidRDefault="00A472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93.08</w:t>
            </w:r>
          </w:p>
        </w:tc>
      </w:tr>
    </w:tbl>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E8268C">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E8268C">
        <w:tc>
          <w:tcPr>
            <w:tcW w:w="817" w:type="dxa"/>
            <w:vAlign w:val="center"/>
          </w:tcPr>
          <w:p w:rsidR="00E8268C" w:rsidRDefault="00A47296">
            <w:pPr>
              <w:jc w:val="center"/>
            </w:pPr>
            <w:r>
              <w:rPr>
                <w:rFonts w:asciiTheme="minorEastAsia" w:eastAsiaTheme="minorEastAsia" w:hAnsiTheme="minorEastAsia" w:cs="宋体"/>
                <w:color w:val="000000" w:themeColor="text1"/>
                <w:kern w:val="0"/>
              </w:rPr>
              <w:t>1</w:t>
            </w:r>
          </w:p>
        </w:tc>
        <w:tc>
          <w:tcPr>
            <w:tcW w:w="1276" w:type="dxa"/>
            <w:vAlign w:val="center"/>
          </w:tcPr>
          <w:p w:rsidR="00E8268C" w:rsidRDefault="00A47296">
            <w:pPr>
              <w:jc w:val="center"/>
            </w:pPr>
            <w:r>
              <w:rPr>
                <w:rFonts w:asciiTheme="minorEastAsia" w:eastAsiaTheme="minorEastAsia" w:hAnsiTheme="minorEastAsia" w:cs="宋体"/>
                <w:color w:val="000000" w:themeColor="text1"/>
                <w:kern w:val="0"/>
              </w:rPr>
              <w:t>002236</w:t>
            </w:r>
          </w:p>
        </w:tc>
        <w:tc>
          <w:tcPr>
            <w:tcW w:w="1701" w:type="dxa"/>
            <w:vAlign w:val="center"/>
          </w:tcPr>
          <w:p w:rsidR="00E8268C" w:rsidRDefault="00A47296">
            <w:pPr>
              <w:jc w:val="center"/>
            </w:pPr>
            <w:r>
              <w:rPr>
                <w:rFonts w:asciiTheme="minorEastAsia" w:eastAsiaTheme="minorEastAsia" w:hAnsiTheme="minorEastAsia" w:cs="宋体"/>
                <w:color w:val="000000" w:themeColor="text1"/>
                <w:kern w:val="0"/>
              </w:rPr>
              <w:t>大华股份</w:t>
            </w:r>
          </w:p>
        </w:tc>
        <w:tc>
          <w:tcPr>
            <w:tcW w:w="1276" w:type="dxa"/>
            <w:vAlign w:val="center"/>
          </w:tcPr>
          <w:p w:rsidR="00E8268C" w:rsidRDefault="00A47296">
            <w:pPr>
              <w:jc w:val="right"/>
            </w:pPr>
            <w:r>
              <w:rPr>
                <w:rFonts w:asciiTheme="minorEastAsia" w:eastAsiaTheme="minorEastAsia" w:hAnsiTheme="minorEastAsia" w:cs="宋体"/>
                <w:color w:val="000000" w:themeColor="text1"/>
                <w:kern w:val="0"/>
              </w:rPr>
              <w:t>4,877,326</w:t>
            </w:r>
          </w:p>
        </w:tc>
        <w:tc>
          <w:tcPr>
            <w:tcW w:w="1842" w:type="dxa"/>
            <w:vAlign w:val="center"/>
          </w:tcPr>
          <w:p w:rsidR="00E8268C" w:rsidRDefault="00A47296">
            <w:pPr>
              <w:jc w:val="right"/>
            </w:pPr>
            <w:r>
              <w:rPr>
                <w:rFonts w:asciiTheme="minorEastAsia" w:eastAsiaTheme="minorEastAsia" w:hAnsiTheme="minorEastAsia" w:cs="宋体"/>
                <w:color w:val="000000" w:themeColor="text1"/>
                <w:kern w:val="0"/>
              </w:rPr>
              <w:t>96,961,240.88</w:t>
            </w:r>
          </w:p>
        </w:tc>
        <w:tc>
          <w:tcPr>
            <w:tcW w:w="1616" w:type="dxa"/>
            <w:vAlign w:val="center"/>
          </w:tcPr>
          <w:p w:rsidR="00E8268C" w:rsidRDefault="00A47296">
            <w:pPr>
              <w:jc w:val="right"/>
            </w:pPr>
            <w:r>
              <w:rPr>
                <w:rFonts w:asciiTheme="minorEastAsia" w:eastAsiaTheme="minorEastAsia" w:hAnsiTheme="minorEastAsia" w:cs="宋体"/>
                <w:color w:val="000000" w:themeColor="text1"/>
                <w:kern w:val="0"/>
              </w:rPr>
              <w:t>7.05</w:t>
            </w:r>
          </w:p>
        </w:tc>
      </w:tr>
      <w:tr w:rsidR="00E8268C">
        <w:tc>
          <w:tcPr>
            <w:tcW w:w="817" w:type="dxa"/>
            <w:vAlign w:val="center"/>
          </w:tcPr>
          <w:p w:rsidR="00E8268C" w:rsidRDefault="00A47296">
            <w:pPr>
              <w:jc w:val="center"/>
            </w:pPr>
            <w:r>
              <w:rPr>
                <w:rFonts w:asciiTheme="minorEastAsia" w:eastAsiaTheme="minorEastAsia" w:hAnsiTheme="minorEastAsia" w:cs="宋体"/>
                <w:color w:val="000000" w:themeColor="text1"/>
                <w:kern w:val="0"/>
              </w:rPr>
              <w:t>2</w:t>
            </w:r>
          </w:p>
        </w:tc>
        <w:tc>
          <w:tcPr>
            <w:tcW w:w="1276" w:type="dxa"/>
            <w:vAlign w:val="center"/>
          </w:tcPr>
          <w:p w:rsidR="00E8268C" w:rsidRDefault="00A47296">
            <w:pPr>
              <w:jc w:val="center"/>
            </w:pPr>
            <w:r>
              <w:rPr>
                <w:rFonts w:asciiTheme="minorEastAsia" w:eastAsiaTheme="minorEastAsia" w:hAnsiTheme="minorEastAsia" w:cs="宋体"/>
                <w:color w:val="000000" w:themeColor="text1"/>
                <w:kern w:val="0"/>
              </w:rPr>
              <w:t>603501</w:t>
            </w:r>
          </w:p>
        </w:tc>
        <w:tc>
          <w:tcPr>
            <w:tcW w:w="1701" w:type="dxa"/>
            <w:vAlign w:val="center"/>
          </w:tcPr>
          <w:p w:rsidR="00E8268C" w:rsidRDefault="00A47296">
            <w:pPr>
              <w:jc w:val="center"/>
            </w:pPr>
            <w:r>
              <w:rPr>
                <w:rFonts w:asciiTheme="minorEastAsia" w:eastAsiaTheme="minorEastAsia" w:hAnsiTheme="minorEastAsia" w:cs="宋体"/>
                <w:color w:val="000000" w:themeColor="text1"/>
                <w:kern w:val="0"/>
              </w:rPr>
              <w:t>韦尔股份</w:t>
            </w:r>
          </w:p>
        </w:tc>
        <w:tc>
          <w:tcPr>
            <w:tcW w:w="1276" w:type="dxa"/>
            <w:vAlign w:val="center"/>
          </w:tcPr>
          <w:p w:rsidR="00E8268C" w:rsidRDefault="00A47296">
            <w:pPr>
              <w:jc w:val="right"/>
            </w:pPr>
            <w:r>
              <w:rPr>
                <w:rFonts w:asciiTheme="minorEastAsia" w:eastAsiaTheme="minorEastAsia" w:hAnsiTheme="minorEastAsia" w:cs="宋体"/>
                <w:color w:val="000000" w:themeColor="text1"/>
                <w:kern w:val="0"/>
              </w:rPr>
              <w:t>533,517</w:t>
            </w:r>
          </w:p>
        </w:tc>
        <w:tc>
          <w:tcPr>
            <w:tcW w:w="1842" w:type="dxa"/>
            <w:vAlign w:val="center"/>
          </w:tcPr>
          <w:p w:rsidR="00E8268C" w:rsidRDefault="00A47296">
            <w:pPr>
              <w:jc w:val="right"/>
            </w:pPr>
            <w:r>
              <w:rPr>
                <w:rFonts w:asciiTheme="minorEastAsia" w:eastAsiaTheme="minorEastAsia" w:hAnsiTheme="minorEastAsia" w:cs="宋体"/>
                <w:color w:val="000000" w:themeColor="text1"/>
                <w:kern w:val="0"/>
              </w:rPr>
              <w:t>76,506,337.80</w:t>
            </w:r>
          </w:p>
        </w:tc>
        <w:tc>
          <w:tcPr>
            <w:tcW w:w="1616" w:type="dxa"/>
            <w:vAlign w:val="center"/>
          </w:tcPr>
          <w:p w:rsidR="00E8268C" w:rsidRDefault="00A47296">
            <w:pPr>
              <w:jc w:val="right"/>
            </w:pPr>
            <w:r>
              <w:rPr>
                <w:rFonts w:asciiTheme="minorEastAsia" w:eastAsiaTheme="minorEastAsia" w:hAnsiTheme="minorEastAsia" w:cs="宋体"/>
                <w:color w:val="000000" w:themeColor="text1"/>
                <w:kern w:val="0"/>
              </w:rPr>
              <w:t>5.56</w:t>
            </w:r>
          </w:p>
        </w:tc>
      </w:tr>
      <w:tr w:rsidR="00E8268C">
        <w:tc>
          <w:tcPr>
            <w:tcW w:w="817" w:type="dxa"/>
            <w:vAlign w:val="center"/>
          </w:tcPr>
          <w:p w:rsidR="00E8268C" w:rsidRDefault="00A47296">
            <w:pPr>
              <w:jc w:val="center"/>
            </w:pPr>
            <w:r>
              <w:rPr>
                <w:rFonts w:asciiTheme="minorEastAsia" w:eastAsiaTheme="minorEastAsia" w:hAnsiTheme="minorEastAsia" w:cs="宋体"/>
                <w:color w:val="000000" w:themeColor="text1"/>
                <w:kern w:val="0"/>
              </w:rPr>
              <w:t>3</w:t>
            </w:r>
          </w:p>
        </w:tc>
        <w:tc>
          <w:tcPr>
            <w:tcW w:w="1276" w:type="dxa"/>
            <w:vAlign w:val="center"/>
          </w:tcPr>
          <w:p w:rsidR="00E8268C" w:rsidRDefault="00A47296">
            <w:pPr>
              <w:jc w:val="center"/>
            </w:pPr>
            <w:r>
              <w:rPr>
                <w:rFonts w:asciiTheme="minorEastAsia" w:eastAsiaTheme="minorEastAsia" w:hAnsiTheme="minorEastAsia" w:cs="宋体"/>
                <w:color w:val="000000" w:themeColor="text1"/>
                <w:kern w:val="0"/>
              </w:rPr>
              <w:t>601012</w:t>
            </w:r>
          </w:p>
        </w:tc>
        <w:tc>
          <w:tcPr>
            <w:tcW w:w="1701" w:type="dxa"/>
            <w:vAlign w:val="center"/>
          </w:tcPr>
          <w:p w:rsidR="00E8268C" w:rsidRDefault="00A47296">
            <w:pPr>
              <w:jc w:val="center"/>
            </w:pPr>
            <w:r>
              <w:rPr>
                <w:rFonts w:asciiTheme="minorEastAsia" w:eastAsiaTheme="minorEastAsia" w:hAnsiTheme="minorEastAsia" w:cs="宋体"/>
                <w:color w:val="000000" w:themeColor="text1"/>
                <w:kern w:val="0"/>
              </w:rPr>
              <w:t>隆基股份</w:t>
            </w:r>
          </w:p>
        </w:tc>
        <w:tc>
          <w:tcPr>
            <w:tcW w:w="1276" w:type="dxa"/>
            <w:vAlign w:val="center"/>
          </w:tcPr>
          <w:p w:rsidR="00E8268C" w:rsidRDefault="00A47296">
            <w:pPr>
              <w:jc w:val="right"/>
            </w:pPr>
            <w:r>
              <w:rPr>
                <w:rFonts w:asciiTheme="minorEastAsia" w:eastAsiaTheme="minorEastAsia" w:hAnsiTheme="minorEastAsia" w:cs="宋体"/>
                <w:color w:val="000000" w:themeColor="text1"/>
                <w:kern w:val="0"/>
              </w:rPr>
              <w:t>3,050,713</w:t>
            </w:r>
          </w:p>
        </w:tc>
        <w:tc>
          <w:tcPr>
            <w:tcW w:w="1842" w:type="dxa"/>
            <w:vAlign w:val="center"/>
          </w:tcPr>
          <w:p w:rsidR="00E8268C" w:rsidRDefault="00A47296">
            <w:pPr>
              <w:jc w:val="right"/>
            </w:pPr>
            <w:r>
              <w:rPr>
                <w:rFonts w:asciiTheme="minorEastAsia" w:eastAsiaTheme="minorEastAsia" w:hAnsiTheme="minorEastAsia" w:cs="宋体"/>
                <w:color w:val="000000" w:themeColor="text1"/>
                <w:kern w:val="0"/>
              </w:rPr>
              <w:t>75,749,203.79</w:t>
            </w:r>
          </w:p>
        </w:tc>
        <w:tc>
          <w:tcPr>
            <w:tcW w:w="1616" w:type="dxa"/>
            <w:vAlign w:val="center"/>
          </w:tcPr>
          <w:p w:rsidR="00E8268C" w:rsidRDefault="00A47296">
            <w:pPr>
              <w:jc w:val="right"/>
            </w:pPr>
            <w:r>
              <w:rPr>
                <w:rFonts w:asciiTheme="minorEastAsia" w:eastAsiaTheme="minorEastAsia" w:hAnsiTheme="minorEastAsia" w:cs="宋体"/>
                <w:color w:val="000000" w:themeColor="text1"/>
                <w:kern w:val="0"/>
              </w:rPr>
              <w:t>5.51</w:t>
            </w:r>
          </w:p>
        </w:tc>
      </w:tr>
      <w:tr w:rsidR="00E8268C">
        <w:tc>
          <w:tcPr>
            <w:tcW w:w="817" w:type="dxa"/>
            <w:vAlign w:val="center"/>
          </w:tcPr>
          <w:p w:rsidR="00E8268C" w:rsidRDefault="00A47296">
            <w:pPr>
              <w:jc w:val="center"/>
            </w:pPr>
            <w:r>
              <w:rPr>
                <w:rFonts w:asciiTheme="minorEastAsia" w:eastAsiaTheme="minorEastAsia" w:hAnsiTheme="minorEastAsia" w:cs="宋体"/>
                <w:color w:val="000000" w:themeColor="text1"/>
                <w:kern w:val="0"/>
              </w:rPr>
              <w:t>4</w:t>
            </w:r>
          </w:p>
        </w:tc>
        <w:tc>
          <w:tcPr>
            <w:tcW w:w="1276" w:type="dxa"/>
            <w:vAlign w:val="center"/>
          </w:tcPr>
          <w:p w:rsidR="00E8268C" w:rsidRDefault="00A47296">
            <w:pPr>
              <w:jc w:val="center"/>
            </w:pPr>
            <w:r>
              <w:rPr>
                <w:rFonts w:asciiTheme="minorEastAsia" w:eastAsiaTheme="minorEastAsia" w:hAnsiTheme="minorEastAsia" w:cs="宋体"/>
                <w:color w:val="000000" w:themeColor="text1"/>
                <w:kern w:val="0"/>
              </w:rPr>
              <w:t>300014</w:t>
            </w:r>
          </w:p>
        </w:tc>
        <w:tc>
          <w:tcPr>
            <w:tcW w:w="1701" w:type="dxa"/>
            <w:vAlign w:val="center"/>
          </w:tcPr>
          <w:p w:rsidR="00E8268C" w:rsidRDefault="00A47296">
            <w:pPr>
              <w:jc w:val="center"/>
            </w:pPr>
            <w:r>
              <w:rPr>
                <w:rFonts w:asciiTheme="minorEastAsia" w:eastAsiaTheme="minorEastAsia" w:hAnsiTheme="minorEastAsia" w:cs="宋体"/>
                <w:color w:val="000000" w:themeColor="text1"/>
                <w:kern w:val="0"/>
              </w:rPr>
              <w:t>亿纬锂能</w:t>
            </w:r>
          </w:p>
        </w:tc>
        <w:tc>
          <w:tcPr>
            <w:tcW w:w="1276" w:type="dxa"/>
            <w:vAlign w:val="center"/>
          </w:tcPr>
          <w:p w:rsidR="00E8268C" w:rsidRDefault="00A47296">
            <w:pPr>
              <w:jc w:val="right"/>
            </w:pPr>
            <w:r>
              <w:rPr>
                <w:rFonts w:asciiTheme="minorEastAsia" w:eastAsiaTheme="minorEastAsia" w:hAnsiTheme="minorEastAsia" w:cs="宋体"/>
                <w:color w:val="000000" w:themeColor="text1"/>
                <w:kern w:val="0"/>
              </w:rPr>
              <w:t>1,263,841</w:t>
            </w:r>
          </w:p>
        </w:tc>
        <w:tc>
          <w:tcPr>
            <w:tcW w:w="1842" w:type="dxa"/>
            <w:vAlign w:val="center"/>
          </w:tcPr>
          <w:p w:rsidR="00E8268C" w:rsidRDefault="00A47296">
            <w:pPr>
              <w:jc w:val="right"/>
            </w:pPr>
            <w:r>
              <w:rPr>
                <w:rFonts w:asciiTheme="minorEastAsia" w:eastAsiaTheme="minorEastAsia" w:hAnsiTheme="minorEastAsia" w:cs="宋体"/>
                <w:color w:val="000000" w:themeColor="text1"/>
                <w:kern w:val="0"/>
              </w:rPr>
              <w:t>63,394,264.56</w:t>
            </w:r>
          </w:p>
        </w:tc>
        <w:tc>
          <w:tcPr>
            <w:tcW w:w="1616" w:type="dxa"/>
            <w:vAlign w:val="center"/>
          </w:tcPr>
          <w:p w:rsidR="00E8268C" w:rsidRDefault="00A47296">
            <w:pPr>
              <w:jc w:val="right"/>
            </w:pPr>
            <w:r>
              <w:rPr>
                <w:rFonts w:asciiTheme="minorEastAsia" w:eastAsiaTheme="minorEastAsia" w:hAnsiTheme="minorEastAsia" w:cs="宋体"/>
                <w:color w:val="000000" w:themeColor="text1"/>
                <w:kern w:val="0"/>
              </w:rPr>
              <w:t>4.61</w:t>
            </w:r>
          </w:p>
        </w:tc>
      </w:tr>
      <w:tr w:rsidR="00E8268C">
        <w:tc>
          <w:tcPr>
            <w:tcW w:w="817" w:type="dxa"/>
            <w:vAlign w:val="center"/>
          </w:tcPr>
          <w:p w:rsidR="00E8268C" w:rsidRDefault="00A47296">
            <w:pPr>
              <w:jc w:val="center"/>
            </w:pPr>
            <w:r>
              <w:rPr>
                <w:rFonts w:asciiTheme="minorEastAsia" w:eastAsiaTheme="minorEastAsia" w:hAnsiTheme="minorEastAsia" w:cs="宋体"/>
                <w:color w:val="000000" w:themeColor="text1"/>
                <w:kern w:val="0"/>
              </w:rPr>
              <w:t>5</w:t>
            </w:r>
          </w:p>
        </w:tc>
        <w:tc>
          <w:tcPr>
            <w:tcW w:w="1276" w:type="dxa"/>
            <w:vAlign w:val="center"/>
          </w:tcPr>
          <w:p w:rsidR="00E8268C" w:rsidRDefault="00A47296">
            <w:pPr>
              <w:jc w:val="center"/>
            </w:pPr>
            <w:r>
              <w:rPr>
                <w:rFonts w:asciiTheme="minorEastAsia" w:eastAsiaTheme="minorEastAsia" w:hAnsiTheme="minorEastAsia" w:cs="宋体"/>
                <w:color w:val="000000" w:themeColor="text1"/>
                <w:kern w:val="0"/>
              </w:rPr>
              <w:t>300136</w:t>
            </w:r>
          </w:p>
        </w:tc>
        <w:tc>
          <w:tcPr>
            <w:tcW w:w="1701" w:type="dxa"/>
            <w:vAlign w:val="center"/>
          </w:tcPr>
          <w:p w:rsidR="00E8268C" w:rsidRDefault="00A47296">
            <w:pPr>
              <w:jc w:val="center"/>
            </w:pPr>
            <w:r>
              <w:rPr>
                <w:rFonts w:asciiTheme="minorEastAsia" w:eastAsiaTheme="minorEastAsia" w:hAnsiTheme="minorEastAsia" w:cs="宋体"/>
                <w:color w:val="000000" w:themeColor="text1"/>
                <w:kern w:val="0"/>
              </w:rPr>
              <w:t>信维通信</w:t>
            </w:r>
          </w:p>
        </w:tc>
        <w:tc>
          <w:tcPr>
            <w:tcW w:w="1276" w:type="dxa"/>
            <w:vAlign w:val="center"/>
          </w:tcPr>
          <w:p w:rsidR="00E8268C" w:rsidRDefault="00A47296">
            <w:pPr>
              <w:jc w:val="right"/>
            </w:pPr>
            <w:r>
              <w:rPr>
                <w:rFonts w:asciiTheme="minorEastAsia" w:eastAsiaTheme="minorEastAsia" w:hAnsiTheme="minorEastAsia" w:cs="宋体"/>
                <w:color w:val="000000" w:themeColor="text1"/>
                <w:kern w:val="0"/>
              </w:rPr>
              <w:t>1,326,106</w:t>
            </w:r>
          </w:p>
        </w:tc>
        <w:tc>
          <w:tcPr>
            <w:tcW w:w="1842" w:type="dxa"/>
            <w:vAlign w:val="center"/>
          </w:tcPr>
          <w:p w:rsidR="00E8268C" w:rsidRDefault="00A47296">
            <w:pPr>
              <w:jc w:val="right"/>
            </w:pPr>
            <w:r>
              <w:rPr>
                <w:rFonts w:asciiTheme="minorEastAsia" w:eastAsiaTheme="minorEastAsia" w:hAnsiTheme="minorEastAsia" w:cs="宋体"/>
                <w:color w:val="000000" w:themeColor="text1"/>
                <w:kern w:val="0"/>
              </w:rPr>
              <w:t>60,178,690.28</w:t>
            </w:r>
          </w:p>
        </w:tc>
        <w:tc>
          <w:tcPr>
            <w:tcW w:w="1616" w:type="dxa"/>
            <w:vAlign w:val="center"/>
          </w:tcPr>
          <w:p w:rsidR="00E8268C" w:rsidRDefault="00A47296">
            <w:pPr>
              <w:jc w:val="right"/>
            </w:pPr>
            <w:r>
              <w:rPr>
                <w:rFonts w:asciiTheme="minorEastAsia" w:eastAsiaTheme="minorEastAsia" w:hAnsiTheme="minorEastAsia" w:cs="宋体"/>
                <w:color w:val="000000" w:themeColor="text1"/>
                <w:kern w:val="0"/>
              </w:rPr>
              <w:t>4.38</w:t>
            </w:r>
          </w:p>
        </w:tc>
      </w:tr>
      <w:tr w:rsidR="00E8268C">
        <w:tc>
          <w:tcPr>
            <w:tcW w:w="817" w:type="dxa"/>
            <w:vAlign w:val="center"/>
          </w:tcPr>
          <w:p w:rsidR="00E8268C" w:rsidRDefault="00A47296">
            <w:pPr>
              <w:jc w:val="center"/>
            </w:pPr>
            <w:r>
              <w:rPr>
                <w:rFonts w:asciiTheme="minorEastAsia" w:eastAsiaTheme="minorEastAsia" w:hAnsiTheme="minorEastAsia" w:cs="宋体"/>
                <w:color w:val="000000" w:themeColor="text1"/>
                <w:kern w:val="0"/>
              </w:rPr>
              <w:t>6</w:t>
            </w:r>
          </w:p>
        </w:tc>
        <w:tc>
          <w:tcPr>
            <w:tcW w:w="1276" w:type="dxa"/>
            <w:vAlign w:val="center"/>
          </w:tcPr>
          <w:p w:rsidR="00E8268C" w:rsidRDefault="00A47296">
            <w:pPr>
              <w:jc w:val="center"/>
            </w:pPr>
            <w:r>
              <w:rPr>
                <w:rFonts w:asciiTheme="minorEastAsia" w:eastAsiaTheme="minorEastAsia" w:hAnsiTheme="minorEastAsia" w:cs="宋体"/>
                <w:color w:val="000000" w:themeColor="text1"/>
                <w:kern w:val="0"/>
              </w:rPr>
              <w:t>300750</w:t>
            </w:r>
          </w:p>
        </w:tc>
        <w:tc>
          <w:tcPr>
            <w:tcW w:w="1701" w:type="dxa"/>
            <w:vAlign w:val="center"/>
          </w:tcPr>
          <w:p w:rsidR="00E8268C" w:rsidRDefault="00A47296">
            <w:pPr>
              <w:jc w:val="center"/>
            </w:pPr>
            <w:r>
              <w:rPr>
                <w:rFonts w:asciiTheme="minorEastAsia" w:eastAsiaTheme="minorEastAsia" w:hAnsiTheme="minorEastAsia" w:cs="宋体"/>
                <w:color w:val="000000" w:themeColor="text1"/>
                <w:kern w:val="0"/>
              </w:rPr>
              <w:t>宁德时代</w:t>
            </w:r>
          </w:p>
        </w:tc>
        <w:tc>
          <w:tcPr>
            <w:tcW w:w="1276" w:type="dxa"/>
            <w:vAlign w:val="center"/>
          </w:tcPr>
          <w:p w:rsidR="00E8268C" w:rsidRDefault="00A47296">
            <w:pPr>
              <w:jc w:val="right"/>
            </w:pPr>
            <w:r>
              <w:rPr>
                <w:rFonts w:asciiTheme="minorEastAsia" w:eastAsiaTheme="minorEastAsia" w:hAnsiTheme="minorEastAsia" w:cs="宋体"/>
                <w:color w:val="000000" w:themeColor="text1"/>
                <w:kern w:val="0"/>
              </w:rPr>
              <w:t>528,300</w:t>
            </w:r>
          </w:p>
        </w:tc>
        <w:tc>
          <w:tcPr>
            <w:tcW w:w="1842" w:type="dxa"/>
            <w:vAlign w:val="center"/>
          </w:tcPr>
          <w:p w:rsidR="00E8268C" w:rsidRDefault="00A47296">
            <w:pPr>
              <w:jc w:val="right"/>
            </w:pPr>
            <w:r>
              <w:rPr>
                <w:rFonts w:asciiTheme="minorEastAsia" w:eastAsiaTheme="minorEastAsia" w:hAnsiTheme="minorEastAsia" w:cs="宋体"/>
                <w:color w:val="000000" w:themeColor="text1"/>
                <w:kern w:val="0"/>
              </w:rPr>
              <w:t>56,211,120.00</w:t>
            </w:r>
          </w:p>
        </w:tc>
        <w:tc>
          <w:tcPr>
            <w:tcW w:w="1616" w:type="dxa"/>
            <w:vAlign w:val="center"/>
          </w:tcPr>
          <w:p w:rsidR="00E8268C" w:rsidRDefault="00A47296">
            <w:pPr>
              <w:jc w:val="right"/>
            </w:pPr>
            <w:r>
              <w:rPr>
                <w:rFonts w:asciiTheme="minorEastAsia" w:eastAsiaTheme="minorEastAsia" w:hAnsiTheme="minorEastAsia" w:cs="宋体"/>
                <w:color w:val="000000" w:themeColor="text1"/>
                <w:kern w:val="0"/>
              </w:rPr>
              <w:t>4.09</w:t>
            </w:r>
          </w:p>
        </w:tc>
      </w:tr>
      <w:tr w:rsidR="00E8268C">
        <w:tc>
          <w:tcPr>
            <w:tcW w:w="817" w:type="dxa"/>
            <w:vAlign w:val="center"/>
          </w:tcPr>
          <w:p w:rsidR="00E8268C" w:rsidRDefault="00A47296">
            <w:pPr>
              <w:jc w:val="center"/>
            </w:pPr>
            <w:r>
              <w:rPr>
                <w:rFonts w:asciiTheme="minorEastAsia" w:eastAsiaTheme="minorEastAsia" w:hAnsiTheme="minorEastAsia" w:cs="宋体"/>
                <w:color w:val="000000" w:themeColor="text1"/>
                <w:kern w:val="0"/>
              </w:rPr>
              <w:t>7</w:t>
            </w:r>
          </w:p>
        </w:tc>
        <w:tc>
          <w:tcPr>
            <w:tcW w:w="1276" w:type="dxa"/>
            <w:vAlign w:val="center"/>
          </w:tcPr>
          <w:p w:rsidR="00E8268C" w:rsidRDefault="00A47296">
            <w:pPr>
              <w:jc w:val="center"/>
            </w:pPr>
            <w:r>
              <w:rPr>
                <w:rFonts w:asciiTheme="minorEastAsia" w:eastAsiaTheme="minorEastAsia" w:hAnsiTheme="minorEastAsia" w:cs="宋体"/>
                <w:color w:val="000000" w:themeColor="text1"/>
                <w:kern w:val="0"/>
              </w:rPr>
              <w:t>300601</w:t>
            </w:r>
          </w:p>
        </w:tc>
        <w:tc>
          <w:tcPr>
            <w:tcW w:w="1701" w:type="dxa"/>
            <w:vAlign w:val="center"/>
          </w:tcPr>
          <w:p w:rsidR="00E8268C" w:rsidRDefault="00A47296">
            <w:pPr>
              <w:jc w:val="center"/>
            </w:pPr>
            <w:r>
              <w:rPr>
                <w:rFonts w:asciiTheme="minorEastAsia" w:eastAsiaTheme="minorEastAsia" w:hAnsiTheme="minorEastAsia" w:cs="宋体"/>
                <w:color w:val="000000" w:themeColor="text1"/>
                <w:kern w:val="0"/>
              </w:rPr>
              <w:t>康泰生物</w:t>
            </w:r>
          </w:p>
        </w:tc>
        <w:tc>
          <w:tcPr>
            <w:tcW w:w="1276" w:type="dxa"/>
            <w:vAlign w:val="center"/>
          </w:tcPr>
          <w:p w:rsidR="00E8268C" w:rsidRDefault="00A47296">
            <w:pPr>
              <w:jc w:val="right"/>
            </w:pPr>
            <w:r>
              <w:rPr>
                <w:rFonts w:asciiTheme="minorEastAsia" w:eastAsiaTheme="minorEastAsia" w:hAnsiTheme="minorEastAsia" w:cs="宋体"/>
                <w:color w:val="000000" w:themeColor="text1"/>
                <w:kern w:val="0"/>
              </w:rPr>
              <w:t>602,892</w:t>
            </w:r>
          </w:p>
        </w:tc>
        <w:tc>
          <w:tcPr>
            <w:tcW w:w="1842" w:type="dxa"/>
            <w:vAlign w:val="center"/>
          </w:tcPr>
          <w:p w:rsidR="00E8268C" w:rsidRDefault="00A47296">
            <w:pPr>
              <w:jc w:val="right"/>
            </w:pPr>
            <w:r>
              <w:rPr>
                <w:rFonts w:asciiTheme="minorEastAsia" w:eastAsiaTheme="minorEastAsia" w:hAnsiTheme="minorEastAsia" w:cs="宋体"/>
                <w:color w:val="000000" w:themeColor="text1"/>
                <w:kern w:val="0"/>
              </w:rPr>
              <w:t>52,927,888.68</w:t>
            </w:r>
          </w:p>
        </w:tc>
        <w:tc>
          <w:tcPr>
            <w:tcW w:w="1616" w:type="dxa"/>
            <w:vAlign w:val="center"/>
          </w:tcPr>
          <w:p w:rsidR="00E8268C" w:rsidRDefault="00A47296">
            <w:pPr>
              <w:jc w:val="right"/>
            </w:pPr>
            <w:r>
              <w:rPr>
                <w:rFonts w:asciiTheme="minorEastAsia" w:eastAsiaTheme="minorEastAsia" w:hAnsiTheme="minorEastAsia" w:cs="宋体"/>
                <w:color w:val="000000" w:themeColor="text1"/>
                <w:kern w:val="0"/>
              </w:rPr>
              <w:t>3.85</w:t>
            </w:r>
          </w:p>
        </w:tc>
      </w:tr>
      <w:tr w:rsidR="00E8268C">
        <w:tc>
          <w:tcPr>
            <w:tcW w:w="817" w:type="dxa"/>
            <w:vAlign w:val="center"/>
          </w:tcPr>
          <w:p w:rsidR="00E8268C" w:rsidRDefault="00A47296">
            <w:pPr>
              <w:jc w:val="center"/>
            </w:pPr>
            <w:r>
              <w:rPr>
                <w:rFonts w:asciiTheme="minorEastAsia" w:eastAsiaTheme="minorEastAsia" w:hAnsiTheme="minorEastAsia" w:cs="宋体"/>
                <w:color w:val="000000" w:themeColor="text1"/>
                <w:kern w:val="0"/>
              </w:rPr>
              <w:t>8</w:t>
            </w:r>
          </w:p>
        </w:tc>
        <w:tc>
          <w:tcPr>
            <w:tcW w:w="1276" w:type="dxa"/>
            <w:vAlign w:val="center"/>
          </w:tcPr>
          <w:p w:rsidR="00E8268C" w:rsidRDefault="00A47296">
            <w:pPr>
              <w:jc w:val="center"/>
            </w:pPr>
            <w:r>
              <w:rPr>
                <w:rFonts w:asciiTheme="minorEastAsia" w:eastAsiaTheme="minorEastAsia" w:hAnsiTheme="minorEastAsia" w:cs="宋体"/>
                <w:color w:val="000000" w:themeColor="text1"/>
                <w:kern w:val="0"/>
              </w:rPr>
              <w:t>000661</w:t>
            </w:r>
          </w:p>
        </w:tc>
        <w:tc>
          <w:tcPr>
            <w:tcW w:w="1701" w:type="dxa"/>
            <w:vAlign w:val="center"/>
          </w:tcPr>
          <w:p w:rsidR="00E8268C" w:rsidRDefault="00A47296">
            <w:pPr>
              <w:jc w:val="center"/>
            </w:pPr>
            <w:r>
              <w:rPr>
                <w:rFonts w:asciiTheme="minorEastAsia" w:eastAsiaTheme="minorEastAsia" w:hAnsiTheme="minorEastAsia" w:cs="宋体"/>
                <w:color w:val="000000" w:themeColor="text1"/>
                <w:kern w:val="0"/>
              </w:rPr>
              <w:t>长春高新</w:t>
            </w:r>
          </w:p>
        </w:tc>
        <w:tc>
          <w:tcPr>
            <w:tcW w:w="1276" w:type="dxa"/>
            <w:vAlign w:val="center"/>
          </w:tcPr>
          <w:p w:rsidR="00E8268C" w:rsidRDefault="00A47296">
            <w:pPr>
              <w:jc w:val="right"/>
            </w:pPr>
            <w:r>
              <w:rPr>
                <w:rFonts w:asciiTheme="minorEastAsia" w:eastAsiaTheme="minorEastAsia" w:hAnsiTheme="minorEastAsia" w:cs="宋体"/>
                <w:color w:val="000000" w:themeColor="text1"/>
                <w:kern w:val="0"/>
              </w:rPr>
              <w:t>110,283</w:t>
            </w:r>
          </w:p>
        </w:tc>
        <w:tc>
          <w:tcPr>
            <w:tcW w:w="1842" w:type="dxa"/>
            <w:vAlign w:val="center"/>
          </w:tcPr>
          <w:p w:rsidR="00E8268C" w:rsidRDefault="00A47296">
            <w:pPr>
              <w:jc w:val="right"/>
            </w:pPr>
            <w:r>
              <w:rPr>
                <w:rFonts w:asciiTheme="minorEastAsia" w:eastAsiaTheme="minorEastAsia" w:hAnsiTheme="minorEastAsia" w:cs="宋体"/>
                <w:color w:val="000000" w:themeColor="text1"/>
                <w:kern w:val="0"/>
              </w:rPr>
              <w:t>49,296,501.00</w:t>
            </w:r>
          </w:p>
        </w:tc>
        <w:tc>
          <w:tcPr>
            <w:tcW w:w="1616" w:type="dxa"/>
            <w:vAlign w:val="center"/>
          </w:tcPr>
          <w:p w:rsidR="00E8268C" w:rsidRDefault="00A47296">
            <w:pPr>
              <w:jc w:val="right"/>
            </w:pPr>
            <w:r>
              <w:rPr>
                <w:rFonts w:asciiTheme="minorEastAsia" w:eastAsiaTheme="minorEastAsia" w:hAnsiTheme="minorEastAsia" w:cs="宋体"/>
                <w:color w:val="000000" w:themeColor="text1"/>
                <w:kern w:val="0"/>
              </w:rPr>
              <w:t>3.59</w:t>
            </w:r>
          </w:p>
        </w:tc>
      </w:tr>
      <w:tr w:rsidR="00E8268C">
        <w:tc>
          <w:tcPr>
            <w:tcW w:w="817" w:type="dxa"/>
            <w:vAlign w:val="center"/>
          </w:tcPr>
          <w:p w:rsidR="00E8268C" w:rsidRDefault="00A47296">
            <w:pPr>
              <w:jc w:val="center"/>
            </w:pPr>
            <w:r>
              <w:rPr>
                <w:rFonts w:asciiTheme="minorEastAsia" w:eastAsiaTheme="minorEastAsia" w:hAnsiTheme="minorEastAsia" w:cs="宋体"/>
                <w:color w:val="000000" w:themeColor="text1"/>
                <w:kern w:val="0"/>
              </w:rPr>
              <w:t>9</w:t>
            </w:r>
          </w:p>
        </w:tc>
        <w:tc>
          <w:tcPr>
            <w:tcW w:w="1276" w:type="dxa"/>
            <w:vAlign w:val="center"/>
          </w:tcPr>
          <w:p w:rsidR="00E8268C" w:rsidRDefault="00A47296">
            <w:pPr>
              <w:jc w:val="center"/>
            </w:pPr>
            <w:r>
              <w:rPr>
                <w:rFonts w:asciiTheme="minorEastAsia" w:eastAsiaTheme="minorEastAsia" w:hAnsiTheme="minorEastAsia" w:cs="宋体"/>
                <w:color w:val="000000" w:themeColor="text1"/>
                <w:kern w:val="0"/>
              </w:rPr>
              <w:t>002241</w:t>
            </w:r>
          </w:p>
        </w:tc>
        <w:tc>
          <w:tcPr>
            <w:tcW w:w="1701" w:type="dxa"/>
            <w:vAlign w:val="center"/>
          </w:tcPr>
          <w:p w:rsidR="00E8268C" w:rsidRDefault="00A47296">
            <w:pPr>
              <w:jc w:val="center"/>
            </w:pPr>
            <w:r>
              <w:rPr>
                <w:rFonts w:asciiTheme="minorEastAsia" w:eastAsiaTheme="minorEastAsia" w:hAnsiTheme="minorEastAsia" w:cs="宋体"/>
                <w:color w:val="000000" w:themeColor="text1"/>
                <w:kern w:val="0"/>
              </w:rPr>
              <w:t>歌尔股份</w:t>
            </w:r>
          </w:p>
        </w:tc>
        <w:tc>
          <w:tcPr>
            <w:tcW w:w="1276" w:type="dxa"/>
            <w:vAlign w:val="center"/>
          </w:tcPr>
          <w:p w:rsidR="00E8268C" w:rsidRDefault="00A47296">
            <w:pPr>
              <w:jc w:val="right"/>
            </w:pPr>
            <w:r>
              <w:rPr>
                <w:rFonts w:asciiTheme="minorEastAsia" w:eastAsiaTheme="minorEastAsia" w:hAnsiTheme="minorEastAsia" w:cs="宋体"/>
                <w:color w:val="000000" w:themeColor="text1"/>
                <w:kern w:val="0"/>
              </w:rPr>
              <w:t>2,309,541</w:t>
            </w:r>
          </w:p>
        </w:tc>
        <w:tc>
          <w:tcPr>
            <w:tcW w:w="1842" w:type="dxa"/>
            <w:vAlign w:val="center"/>
          </w:tcPr>
          <w:p w:rsidR="00E8268C" w:rsidRDefault="00A47296">
            <w:pPr>
              <w:jc w:val="right"/>
            </w:pPr>
            <w:r>
              <w:rPr>
                <w:rFonts w:asciiTheme="minorEastAsia" w:eastAsiaTheme="minorEastAsia" w:hAnsiTheme="minorEastAsia" w:cs="宋体"/>
                <w:color w:val="000000" w:themeColor="text1"/>
                <w:kern w:val="0"/>
              </w:rPr>
              <w:t>46,006,056.72</w:t>
            </w:r>
          </w:p>
        </w:tc>
        <w:tc>
          <w:tcPr>
            <w:tcW w:w="1616" w:type="dxa"/>
            <w:vAlign w:val="center"/>
          </w:tcPr>
          <w:p w:rsidR="00E8268C" w:rsidRDefault="00A47296">
            <w:pPr>
              <w:jc w:val="right"/>
            </w:pPr>
            <w:r>
              <w:rPr>
                <w:rFonts w:asciiTheme="minorEastAsia" w:eastAsiaTheme="minorEastAsia" w:hAnsiTheme="minorEastAsia" w:cs="宋体"/>
                <w:color w:val="000000" w:themeColor="text1"/>
                <w:kern w:val="0"/>
              </w:rPr>
              <w:t>3.35</w:t>
            </w:r>
          </w:p>
        </w:tc>
      </w:tr>
      <w:tr w:rsidR="00E8268C">
        <w:tc>
          <w:tcPr>
            <w:tcW w:w="817" w:type="dxa"/>
            <w:vAlign w:val="center"/>
          </w:tcPr>
          <w:p w:rsidR="00E8268C" w:rsidRDefault="00A47296">
            <w:pPr>
              <w:jc w:val="center"/>
            </w:pPr>
            <w:r>
              <w:rPr>
                <w:rFonts w:asciiTheme="minorEastAsia" w:eastAsiaTheme="minorEastAsia" w:hAnsiTheme="minorEastAsia" w:cs="宋体"/>
                <w:color w:val="000000" w:themeColor="text1"/>
                <w:kern w:val="0"/>
              </w:rPr>
              <w:t>10</w:t>
            </w:r>
          </w:p>
        </w:tc>
        <w:tc>
          <w:tcPr>
            <w:tcW w:w="1276" w:type="dxa"/>
            <w:vAlign w:val="center"/>
          </w:tcPr>
          <w:p w:rsidR="00E8268C" w:rsidRDefault="00A47296">
            <w:pPr>
              <w:jc w:val="center"/>
            </w:pPr>
            <w:r>
              <w:rPr>
                <w:rFonts w:asciiTheme="minorEastAsia" w:eastAsiaTheme="minorEastAsia" w:hAnsiTheme="minorEastAsia" w:cs="宋体"/>
                <w:color w:val="000000" w:themeColor="text1"/>
                <w:kern w:val="0"/>
              </w:rPr>
              <w:t>002714</w:t>
            </w:r>
          </w:p>
        </w:tc>
        <w:tc>
          <w:tcPr>
            <w:tcW w:w="1701" w:type="dxa"/>
            <w:vAlign w:val="center"/>
          </w:tcPr>
          <w:p w:rsidR="00E8268C" w:rsidRDefault="00A47296">
            <w:pPr>
              <w:jc w:val="center"/>
            </w:pPr>
            <w:r>
              <w:rPr>
                <w:rFonts w:asciiTheme="minorEastAsia" w:eastAsiaTheme="minorEastAsia" w:hAnsiTheme="minorEastAsia" w:cs="宋体"/>
                <w:color w:val="000000" w:themeColor="text1"/>
                <w:kern w:val="0"/>
              </w:rPr>
              <w:t>牧原股份</w:t>
            </w:r>
          </w:p>
        </w:tc>
        <w:tc>
          <w:tcPr>
            <w:tcW w:w="1276" w:type="dxa"/>
            <w:vAlign w:val="center"/>
          </w:tcPr>
          <w:p w:rsidR="00E8268C" w:rsidRDefault="00A47296">
            <w:pPr>
              <w:jc w:val="right"/>
            </w:pPr>
            <w:r>
              <w:rPr>
                <w:rFonts w:asciiTheme="minorEastAsia" w:eastAsiaTheme="minorEastAsia" w:hAnsiTheme="minorEastAsia" w:cs="宋体"/>
                <w:color w:val="000000" w:themeColor="text1"/>
                <w:kern w:val="0"/>
              </w:rPr>
              <w:t>479,260</w:t>
            </w:r>
          </w:p>
        </w:tc>
        <w:tc>
          <w:tcPr>
            <w:tcW w:w="1842" w:type="dxa"/>
            <w:vAlign w:val="center"/>
          </w:tcPr>
          <w:p w:rsidR="00E8268C" w:rsidRDefault="00A47296">
            <w:pPr>
              <w:jc w:val="right"/>
            </w:pPr>
            <w:r>
              <w:rPr>
                <w:rFonts w:asciiTheme="minorEastAsia" w:eastAsiaTheme="minorEastAsia" w:hAnsiTheme="minorEastAsia" w:cs="宋体"/>
                <w:color w:val="000000" w:themeColor="text1"/>
                <w:kern w:val="0"/>
              </w:rPr>
              <w:t>42,553,495.40</w:t>
            </w:r>
          </w:p>
        </w:tc>
        <w:tc>
          <w:tcPr>
            <w:tcW w:w="1616" w:type="dxa"/>
            <w:vAlign w:val="center"/>
          </w:tcPr>
          <w:p w:rsidR="00E8268C" w:rsidRDefault="00A47296">
            <w:pPr>
              <w:jc w:val="right"/>
            </w:pPr>
            <w:r>
              <w:rPr>
                <w:rFonts w:asciiTheme="minorEastAsia" w:eastAsiaTheme="minorEastAsia" w:hAnsiTheme="minorEastAsia" w:cs="宋体"/>
                <w:color w:val="000000" w:themeColor="text1"/>
                <w:kern w:val="0"/>
              </w:rPr>
              <w:t>3.09</w:t>
            </w:r>
          </w:p>
        </w:tc>
      </w:tr>
    </w:tbl>
    <w:p w:rsidR="00E8268C" w:rsidRDefault="00E8268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8"/>
        <w:tblW w:w="8755" w:type="dxa"/>
        <w:jc w:val="center"/>
        <w:tblLayout w:type="fixed"/>
        <w:tblLook w:val="04A0" w:firstRow="1" w:lastRow="0" w:firstColumn="1" w:lastColumn="0" w:noHBand="0" w:noVBand="1"/>
      </w:tblPr>
      <w:tblGrid>
        <w:gridCol w:w="817"/>
        <w:gridCol w:w="3260"/>
        <w:gridCol w:w="2949"/>
        <w:gridCol w:w="1729"/>
      </w:tblGrid>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c>
          <w:tcPr>
            <w:tcW w:w="1729"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jc w:val="center"/>
        </w:trPr>
        <w:tc>
          <w:tcPr>
            <w:tcW w:w="817" w:type="dxa"/>
            <w:vAlign w:val="center"/>
          </w:tcPr>
          <w:p w:rsidR="00E8268C" w:rsidRDefault="00E8268C">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5,083,459.20</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0.37</w:t>
            </w:r>
          </w:p>
        </w:tc>
      </w:tr>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8268C">
        <w:trPr>
          <w:jc w:val="center"/>
        </w:trPr>
        <w:tc>
          <w:tcPr>
            <w:tcW w:w="81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E8268C" w:rsidRDefault="00A472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5,083,459.20</w:t>
            </w:r>
          </w:p>
        </w:tc>
        <w:tc>
          <w:tcPr>
            <w:tcW w:w="1729" w:type="dxa"/>
            <w:vAlign w:val="center"/>
          </w:tcPr>
          <w:p w:rsidR="00E8268C" w:rsidRDefault="00A472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0.37</w:t>
            </w:r>
          </w:p>
        </w:tc>
      </w:tr>
    </w:tbl>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8"/>
        <w:tblW w:w="8528" w:type="dxa"/>
        <w:tblLayout w:type="fixed"/>
        <w:tblLook w:val="04A0" w:firstRow="1" w:lastRow="0" w:firstColumn="1" w:lastColumn="0" w:noHBand="0" w:noVBand="1"/>
      </w:tblPr>
      <w:tblGrid>
        <w:gridCol w:w="1252"/>
        <w:gridCol w:w="1310"/>
        <w:gridCol w:w="1282"/>
        <w:gridCol w:w="1426"/>
        <w:gridCol w:w="1646"/>
        <w:gridCol w:w="1612"/>
      </w:tblGrid>
      <w:tr w:rsidR="00E8268C">
        <w:tc>
          <w:tcPr>
            <w:tcW w:w="1252"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张</w:t>
            </w:r>
            <w:r>
              <w:rPr>
                <w:rFonts w:asciiTheme="minorEastAsia" w:eastAsiaTheme="minorEastAsia" w:hAnsiTheme="minorEastAsia" w:cs="宋体" w:hint="eastAsia"/>
                <w:color w:val="000000" w:themeColor="text1"/>
                <w:kern w:val="0"/>
              </w:rPr>
              <w:t>)</w:t>
            </w:r>
          </w:p>
        </w:tc>
        <w:tc>
          <w:tcPr>
            <w:tcW w:w="1646"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E8268C">
        <w:tc>
          <w:tcPr>
            <w:tcW w:w="1252" w:type="dxa"/>
            <w:vAlign w:val="center"/>
          </w:tcPr>
          <w:p w:rsidR="00E8268C" w:rsidRDefault="00A47296">
            <w:pPr>
              <w:jc w:val="center"/>
            </w:pPr>
            <w:r>
              <w:rPr>
                <w:rFonts w:asciiTheme="minorEastAsia" w:eastAsiaTheme="minorEastAsia" w:hAnsiTheme="minorEastAsia" w:cs="宋体"/>
                <w:color w:val="000000" w:themeColor="text1"/>
                <w:kern w:val="0"/>
              </w:rPr>
              <w:t>1</w:t>
            </w:r>
          </w:p>
        </w:tc>
        <w:tc>
          <w:tcPr>
            <w:tcW w:w="1310" w:type="dxa"/>
            <w:vAlign w:val="center"/>
          </w:tcPr>
          <w:p w:rsidR="00E8268C" w:rsidRDefault="00A47296">
            <w:pPr>
              <w:jc w:val="center"/>
            </w:pPr>
            <w:r>
              <w:rPr>
                <w:rFonts w:asciiTheme="minorEastAsia" w:eastAsiaTheme="minorEastAsia" w:hAnsiTheme="minorEastAsia" w:cs="宋体"/>
                <w:color w:val="000000" w:themeColor="text1"/>
                <w:kern w:val="0"/>
              </w:rPr>
              <w:t>110054</w:t>
            </w:r>
          </w:p>
        </w:tc>
        <w:tc>
          <w:tcPr>
            <w:tcW w:w="1282" w:type="dxa"/>
            <w:vAlign w:val="center"/>
          </w:tcPr>
          <w:p w:rsidR="00E8268C" w:rsidRDefault="00A47296">
            <w:pPr>
              <w:jc w:val="center"/>
            </w:pPr>
            <w:r>
              <w:rPr>
                <w:rFonts w:asciiTheme="minorEastAsia" w:eastAsiaTheme="minorEastAsia" w:hAnsiTheme="minorEastAsia" w:cs="宋体"/>
                <w:color w:val="000000" w:themeColor="text1"/>
                <w:kern w:val="0"/>
              </w:rPr>
              <w:t>通威转债</w:t>
            </w:r>
          </w:p>
        </w:tc>
        <w:tc>
          <w:tcPr>
            <w:tcW w:w="1426" w:type="dxa"/>
            <w:vAlign w:val="center"/>
          </w:tcPr>
          <w:p w:rsidR="00E8268C" w:rsidRDefault="00A47296">
            <w:pPr>
              <w:jc w:val="right"/>
            </w:pPr>
            <w:r>
              <w:rPr>
                <w:rFonts w:asciiTheme="minorEastAsia" w:eastAsiaTheme="minorEastAsia" w:hAnsiTheme="minorEastAsia" w:cs="宋体"/>
                <w:color w:val="000000" w:themeColor="text1"/>
                <w:kern w:val="0"/>
              </w:rPr>
              <w:t>36,990</w:t>
            </w:r>
          </w:p>
        </w:tc>
        <w:tc>
          <w:tcPr>
            <w:tcW w:w="1646" w:type="dxa"/>
            <w:vAlign w:val="center"/>
          </w:tcPr>
          <w:p w:rsidR="00E8268C" w:rsidRDefault="00A47296">
            <w:pPr>
              <w:jc w:val="right"/>
            </w:pPr>
            <w:r>
              <w:rPr>
                <w:rFonts w:asciiTheme="minorEastAsia" w:eastAsiaTheme="minorEastAsia" w:hAnsiTheme="minorEastAsia" w:cs="宋体"/>
                <w:color w:val="000000" w:themeColor="text1"/>
                <w:kern w:val="0"/>
              </w:rPr>
              <w:t>4,643,354.70</w:t>
            </w:r>
          </w:p>
        </w:tc>
        <w:tc>
          <w:tcPr>
            <w:tcW w:w="1612" w:type="dxa"/>
            <w:vAlign w:val="center"/>
          </w:tcPr>
          <w:p w:rsidR="00E8268C" w:rsidRDefault="00A47296">
            <w:pPr>
              <w:jc w:val="right"/>
            </w:pPr>
            <w:r>
              <w:rPr>
                <w:rFonts w:asciiTheme="minorEastAsia" w:eastAsiaTheme="minorEastAsia" w:hAnsiTheme="minorEastAsia" w:cs="宋体"/>
                <w:color w:val="000000" w:themeColor="text1"/>
                <w:kern w:val="0"/>
              </w:rPr>
              <w:t>0.34</w:t>
            </w:r>
          </w:p>
        </w:tc>
      </w:tr>
      <w:tr w:rsidR="00E8268C">
        <w:tc>
          <w:tcPr>
            <w:tcW w:w="1252" w:type="dxa"/>
            <w:vAlign w:val="center"/>
          </w:tcPr>
          <w:p w:rsidR="00E8268C" w:rsidRDefault="00A47296">
            <w:pPr>
              <w:jc w:val="center"/>
            </w:pPr>
            <w:r>
              <w:rPr>
                <w:rFonts w:asciiTheme="minorEastAsia" w:eastAsiaTheme="minorEastAsia" w:hAnsiTheme="minorEastAsia" w:cs="宋体"/>
                <w:color w:val="000000" w:themeColor="text1"/>
                <w:kern w:val="0"/>
              </w:rPr>
              <w:t>2</w:t>
            </w:r>
          </w:p>
        </w:tc>
        <w:tc>
          <w:tcPr>
            <w:tcW w:w="1310" w:type="dxa"/>
            <w:vAlign w:val="center"/>
          </w:tcPr>
          <w:p w:rsidR="00E8268C" w:rsidRDefault="00A47296">
            <w:pPr>
              <w:jc w:val="center"/>
            </w:pPr>
            <w:r>
              <w:rPr>
                <w:rFonts w:asciiTheme="minorEastAsia" w:eastAsiaTheme="minorEastAsia" w:hAnsiTheme="minorEastAsia" w:cs="宋体"/>
                <w:color w:val="000000" w:themeColor="text1"/>
                <w:kern w:val="0"/>
              </w:rPr>
              <w:t>128061</w:t>
            </w:r>
          </w:p>
        </w:tc>
        <w:tc>
          <w:tcPr>
            <w:tcW w:w="1282" w:type="dxa"/>
            <w:vAlign w:val="center"/>
          </w:tcPr>
          <w:p w:rsidR="00E8268C" w:rsidRDefault="00A47296">
            <w:pPr>
              <w:jc w:val="center"/>
            </w:pPr>
            <w:r>
              <w:rPr>
                <w:rFonts w:asciiTheme="minorEastAsia" w:eastAsiaTheme="minorEastAsia" w:hAnsiTheme="minorEastAsia" w:cs="宋体"/>
                <w:color w:val="000000" w:themeColor="text1"/>
                <w:kern w:val="0"/>
              </w:rPr>
              <w:t>启明转债</w:t>
            </w:r>
          </w:p>
        </w:tc>
        <w:tc>
          <w:tcPr>
            <w:tcW w:w="1426" w:type="dxa"/>
            <w:vAlign w:val="center"/>
          </w:tcPr>
          <w:p w:rsidR="00E8268C" w:rsidRDefault="00A47296">
            <w:pPr>
              <w:jc w:val="right"/>
            </w:pPr>
            <w:r>
              <w:rPr>
                <w:rFonts w:asciiTheme="minorEastAsia" w:eastAsiaTheme="minorEastAsia" w:hAnsiTheme="minorEastAsia" w:cs="宋体"/>
                <w:color w:val="000000" w:themeColor="text1"/>
                <w:kern w:val="0"/>
              </w:rPr>
              <w:t>3,366</w:t>
            </w:r>
          </w:p>
        </w:tc>
        <w:tc>
          <w:tcPr>
            <w:tcW w:w="1646" w:type="dxa"/>
            <w:vAlign w:val="center"/>
          </w:tcPr>
          <w:p w:rsidR="00E8268C" w:rsidRDefault="00A47296">
            <w:pPr>
              <w:jc w:val="right"/>
            </w:pPr>
            <w:r>
              <w:rPr>
                <w:rFonts w:asciiTheme="minorEastAsia" w:eastAsiaTheme="minorEastAsia" w:hAnsiTheme="minorEastAsia" w:cs="宋体"/>
                <w:color w:val="000000" w:themeColor="text1"/>
                <w:kern w:val="0"/>
              </w:rPr>
              <w:t>440,104.50</w:t>
            </w:r>
          </w:p>
        </w:tc>
        <w:tc>
          <w:tcPr>
            <w:tcW w:w="1612" w:type="dxa"/>
            <w:vAlign w:val="center"/>
          </w:tcPr>
          <w:p w:rsidR="00E8268C" w:rsidRDefault="00A47296">
            <w:pPr>
              <w:jc w:val="right"/>
            </w:pPr>
            <w:r>
              <w:rPr>
                <w:rFonts w:asciiTheme="minorEastAsia" w:eastAsiaTheme="minorEastAsia" w:hAnsiTheme="minorEastAsia" w:cs="宋体"/>
                <w:color w:val="000000" w:themeColor="text1"/>
                <w:kern w:val="0"/>
              </w:rPr>
              <w:t>0.03</w:t>
            </w:r>
          </w:p>
        </w:tc>
      </w:tr>
    </w:tbl>
    <w:p w:rsidR="00E8268C" w:rsidRDefault="00E8268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E8268C" w:rsidRDefault="00E8268C">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E8268C" w:rsidRDefault="00A47296">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E8268C" w:rsidRDefault="00E826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E8268C" w:rsidRDefault="00E8268C">
      <w:pPr>
        <w:adjustRightInd w:val="0"/>
        <w:snapToGrid w:val="0"/>
        <w:spacing w:line="360" w:lineRule="exact"/>
        <w:rPr>
          <w:rFonts w:asciiTheme="minorEastAsia" w:eastAsiaTheme="minorEastAsia" w:hAnsiTheme="minorEastAsia"/>
          <w:color w:val="000000" w:themeColor="text1"/>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E8268C" w:rsidRDefault="00A472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E8268C" w:rsidRDefault="00A472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E8268C">
        <w:tc>
          <w:tcPr>
            <w:tcW w:w="1235"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E8268C" w:rsidRDefault="00A4729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E8268C">
        <w:tc>
          <w:tcPr>
            <w:tcW w:w="1235" w:type="dxa"/>
            <w:vAlign w:val="center"/>
          </w:tcPr>
          <w:p w:rsidR="00E8268C" w:rsidRDefault="00A472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E8268C" w:rsidRDefault="00A472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294,591.04</w:t>
            </w:r>
          </w:p>
        </w:tc>
      </w:tr>
      <w:tr w:rsidR="00E8268C">
        <w:tc>
          <w:tcPr>
            <w:tcW w:w="1235" w:type="dxa"/>
            <w:vAlign w:val="center"/>
          </w:tcPr>
          <w:p w:rsidR="00E8268C" w:rsidRDefault="00A472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E8268C" w:rsidRDefault="00A472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8268C">
        <w:tc>
          <w:tcPr>
            <w:tcW w:w="1235" w:type="dxa"/>
            <w:vAlign w:val="center"/>
          </w:tcPr>
          <w:p w:rsidR="00E8268C" w:rsidRDefault="00A472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E8268C" w:rsidRDefault="00A472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8268C">
        <w:tc>
          <w:tcPr>
            <w:tcW w:w="1235" w:type="dxa"/>
            <w:vAlign w:val="center"/>
          </w:tcPr>
          <w:p w:rsidR="00E8268C" w:rsidRDefault="00A472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E8268C" w:rsidRDefault="00A472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35,752.70</w:t>
            </w:r>
          </w:p>
        </w:tc>
      </w:tr>
      <w:tr w:rsidR="00E8268C">
        <w:tc>
          <w:tcPr>
            <w:tcW w:w="1235" w:type="dxa"/>
            <w:vAlign w:val="center"/>
          </w:tcPr>
          <w:p w:rsidR="00E8268C" w:rsidRDefault="00A472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E8268C" w:rsidRDefault="00A472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416,247.68</w:t>
            </w:r>
          </w:p>
        </w:tc>
      </w:tr>
      <w:tr w:rsidR="00E8268C">
        <w:tc>
          <w:tcPr>
            <w:tcW w:w="1235" w:type="dxa"/>
            <w:vAlign w:val="center"/>
          </w:tcPr>
          <w:p w:rsidR="00E8268C" w:rsidRDefault="00A472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E8268C" w:rsidRDefault="00A472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8268C">
        <w:tc>
          <w:tcPr>
            <w:tcW w:w="1235" w:type="dxa"/>
            <w:vAlign w:val="center"/>
          </w:tcPr>
          <w:p w:rsidR="00E8268C" w:rsidRDefault="00A472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E8268C" w:rsidRDefault="00A47296">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E8268C">
        <w:tc>
          <w:tcPr>
            <w:tcW w:w="1235" w:type="dxa"/>
            <w:vAlign w:val="center"/>
          </w:tcPr>
          <w:p w:rsidR="00E8268C" w:rsidRDefault="00A472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E8268C" w:rsidRDefault="00A472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8268C">
        <w:tc>
          <w:tcPr>
            <w:tcW w:w="1235" w:type="dxa"/>
            <w:vAlign w:val="center"/>
          </w:tcPr>
          <w:p w:rsidR="00E8268C" w:rsidRDefault="00A472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E8268C" w:rsidRDefault="00A472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746,591.42</w:t>
            </w:r>
          </w:p>
        </w:tc>
      </w:tr>
    </w:tbl>
    <w:p w:rsidR="00E8268C" w:rsidRDefault="00E8268C">
      <w:pPr>
        <w:autoSpaceDE w:val="0"/>
        <w:autoSpaceDN w:val="0"/>
        <w:adjustRightInd w:val="0"/>
        <w:spacing w:line="360" w:lineRule="auto"/>
        <w:rPr>
          <w:rFonts w:asciiTheme="minorEastAsia" w:eastAsiaTheme="minorEastAsia" w:hAnsiTheme="minorEastAsia"/>
          <w:color w:val="000000" w:themeColor="text1"/>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tbl>
      <w:tblPr>
        <w:tblStyle w:val="af8"/>
        <w:tblW w:w="8513" w:type="dxa"/>
        <w:tblInd w:w="15" w:type="dxa"/>
        <w:tblLayout w:type="fixed"/>
        <w:tblLook w:val="04A0" w:firstRow="1" w:lastRow="0" w:firstColumn="1" w:lastColumn="0" w:noHBand="0" w:noVBand="1"/>
      </w:tblPr>
      <w:tblGrid>
        <w:gridCol w:w="1808"/>
        <w:gridCol w:w="1729"/>
        <w:gridCol w:w="1658"/>
        <w:gridCol w:w="1697"/>
        <w:gridCol w:w="1621"/>
      </w:tblGrid>
      <w:tr w:rsidR="00E8268C">
        <w:tc>
          <w:tcPr>
            <w:tcW w:w="1808"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729"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658"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697"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21" w:type="dxa"/>
            <w:vAlign w:val="center"/>
          </w:tcPr>
          <w:p w:rsidR="00E8268C" w:rsidRDefault="00A472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r>
      <w:tr w:rsidR="00E8268C">
        <w:tc>
          <w:tcPr>
            <w:tcW w:w="1808" w:type="dxa"/>
            <w:vAlign w:val="center"/>
          </w:tcPr>
          <w:p w:rsidR="00E8268C" w:rsidRDefault="00A47296">
            <w:pPr>
              <w:jc w:val="center"/>
            </w:pPr>
            <w:r>
              <w:rPr>
                <w:rFonts w:asciiTheme="minorEastAsia" w:eastAsiaTheme="minorEastAsia" w:hAnsiTheme="minorEastAsia" w:cs="宋体"/>
                <w:color w:val="000000" w:themeColor="text1"/>
                <w:kern w:val="0"/>
              </w:rPr>
              <w:t>1</w:t>
            </w:r>
          </w:p>
        </w:tc>
        <w:tc>
          <w:tcPr>
            <w:tcW w:w="1729" w:type="dxa"/>
            <w:vAlign w:val="center"/>
          </w:tcPr>
          <w:p w:rsidR="00E8268C" w:rsidRDefault="00A47296">
            <w:pPr>
              <w:jc w:val="center"/>
            </w:pPr>
            <w:r>
              <w:rPr>
                <w:rFonts w:asciiTheme="minorEastAsia" w:eastAsiaTheme="minorEastAsia" w:hAnsiTheme="minorEastAsia" w:cs="宋体"/>
                <w:color w:val="000000" w:themeColor="text1"/>
                <w:kern w:val="0"/>
              </w:rPr>
              <w:t>110054</w:t>
            </w:r>
          </w:p>
        </w:tc>
        <w:tc>
          <w:tcPr>
            <w:tcW w:w="1658" w:type="dxa"/>
            <w:vAlign w:val="center"/>
          </w:tcPr>
          <w:p w:rsidR="00E8268C" w:rsidRDefault="00A47296">
            <w:pPr>
              <w:jc w:val="center"/>
            </w:pPr>
            <w:r>
              <w:rPr>
                <w:rFonts w:asciiTheme="minorEastAsia" w:eastAsiaTheme="minorEastAsia" w:hAnsiTheme="minorEastAsia" w:cs="宋体"/>
                <w:color w:val="000000" w:themeColor="text1"/>
                <w:kern w:val="0"/>
              </w:rPr>
              <w:t>通威转债</w:t>
            </w:r>
          </w:p>
        </w:tc>
        <w:tc>
          <w:tcPr>
            <w:tcW w:w="1697" w:type="dxa"/>
            <w:vAlign w:val="center"/>
          </w:tcPr>
          <w:p w:rsidR="00E8268C" w:rsidRDefault="00A47296">
            <w:pPr>
              <w:jc w:val="right"/>
            </w:pPr>
            <w:r>
              <w:rPr>
                <w:rFonts w:asciiTheme="minorEastAsia" w:eastAsiaTheme="minorEastAsia" w:hAnsiTheme="minorEastAsia" w:cs="宋体"/>
                <w:color w:val="000000" w:themeColor="text1"/>
                <w:kern w:val="0"/>
              </w:rPr>
              <w:t>4,643,354.70</w:t>
            </w:r>
          </w:p>
        </w:tc>
        <w:tc>
          <w:tcPr>
            <w:tcW w:w="1621" w:type="dxa"/>
            <w:vAlign w:val="center"/>
          </w:tcPr>
          <w:p w:rsidR="00E8268C" w:rsidRDefault="00A47296">
            <w:pPr>
              <w:jc w:val="right"/>
            </w:pPr>
            <w:r>
              <w:rPr>
                <w:rFonts w:asciiTheme="minorEastAsia" w:eastAsiaTheme="minorEastAsia" w:hAnsiTheme="minorEastAsia" w:cs="宋体"/>
                <w:color w:val="000000" w:themeColor="text1"/>
                <w:kern w:val="0"/>
              </w:rPr>
              <w:t>0.34</w:t>
            </w:r>
          </w:p>
        </w:tc>
      </w:tr>
      <w:tr w:rsidR="00E8268C">
        <w:tc>
          <w:tcPr>
            <w:tcW w:w="1808" w:type="dxa"/>
            <w:vAlign w:val="center"/>
          </w:tcPr>
          <w:p w:rsidR="00E8268C" w:rsidRDefault="00A47296">
            <w:pPr>
              <w:jc w:val="center"/>
            </w:pPr>
            <w:r>
              <w:rPr>
                <w:rFonts w:asciiTheme="minorEastAsia" w:eastAsiaTheme="minorEastAsia" w:hAnsiTheme="minorEastAsia" w:cs="宋体"/>
                <w:color w:val="000000" w:themeColor="text1"/>
                <w:kern w:val="0"/>
              </w:rPr>
              <w:t>2</w:t>
            </w:r>
          </w:p>
        </w:tc>
        <w:tc>
          <w:tcPr>
            <w:tcW w:w="1729" w:type="dxa"/>
            <w:vAlign w:val="center"/>
          </w:tcPr>
          <w:p w:rsidR="00E8268C" w:rsidRDefault="00A47296">
            <w:pPr>
              <w:jc w:val="center"/>
            </w:pPr>
            <w:r>
              <w:rPr>
                <w:rFonts w:asciiTheme="minorEastAsia" w:eastAsiaTheme="minorEastAsia" w:hAnsiTheme="minorEastAsia" w:cs="宋体"/>
                <w:color w:val="000000" w:themeColor="text1"/>
                <w:kern w:val="0"/>
              </w:rPr>
              <w:t>128061</w:t>
            </w:r>
          </w:p>
        </w:tc>
        <w:tc>
          <w:tcPr>
            <w:tcW w:w="1658" w:type="dxa"/>
            <w:vAlign w:val="center"/>
          </w:tcPr>
          <w:p w:rsidR="00E8268C" w:rsidRDefault="00A47296">
            <w:pPr>
              <w:jc w:val="center"/>
            </w:pPr>
            <w:r>
              <w:rPr>
                <w:rFonts w:asciiTheme="minorEastAsia" w:eastAsiaTheme="minorEastAsia" w:hAnsiTheme="minorEastAsia" w:cs="宋体"/>
                <w:color w:val="000000" w:themeColor="text1"/>
                <w:kern w:val="0"/>
              </w:rPr>
              <w:t>启明转债</w:t>
            </w:r>
          </w:p>
        </w:tc>
        <w:tc>
          <w:tcPr>
            <w:tcW w:w="1697" w:type="dxa"/>
            <w:vAlign w:val="center"/>
          </w:tcPr>
          <w:p w:rsidR="00E8268C" w:rsidRDefault="00A47296">
            <w:pPr>
              <w:jc w:val="right"/>
            </w:pPr>
            <w:r>
              <w:rPr>
                <w:rFonts w:asciiTheme="minorEastAsia" w:eastAsiaTheme="minorEastAsia" w:hAnsiTheme="minorEastAsia" w:cs="宋体"/>
                <w:color w:val="000000" w:themeColor="text1"/>
                <w:kern w:val="0"/>
              </w:rPr>
              <w:t>440,104.50</w:t>
            </w:r>
          </w:p>
        </w:tc>
        <w:tc>
          <w:tcPr>
            <w:tcW w:w="1621" w:type="dxa"/>
            <w:vAlign w:val="center"/>
          </w:tcPr>
          <w:p w:rsidR="00E8268C" w:rsidRDefault="00A47296">
            <w:pPr>
              <w:jc w:val="right"/>
            </w:pPr>
            <w:r>
              <w:rPr>
                <w:rFonts w:asciiTheme="minorEastAsia" w:eastAsiaTheme="minorEastAsia" w:hAnsiTheme="minorEastAsia" w:cs="宋体"/>
                <w:color w:val="000000" w:themeColor="text1"/>
                <w:kern w:val="0"/>
              </w:rPr>
              <w:t>0.03</w:t>
            </w:r>
          </w:p>
        </w:tc>
      </w:tr>
    </w:tbl>
    <w:p w:rsidR="00E8268C" w:rsidRDefault="00E8268C">
      <w:pPr>
        <w:autoSpaceDE w:val="0"/>
        <w:autoSpaceDN w:val="0"/>
        <w:adjustRightInd w:val="0"/>
        <w:spacing w:line="360" w:lineRule="auto"/>
        <w:rPr>
          <w:rFonts w:asciiTheme="minorEastAsia" w:eastAsiaTheme="minorEastAsia" w:hAnsiTheme="minorEastAsia"/>
          <w:color w:val="000000" w:themeColor="text1"/>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E8268C" w:rsidRDefault="00E8268C">
      <w:pPr>
        <w:autoSpaceDE w:val="0"/>
        <w:autoSpaceDN w:val="0"/>
        <w:adjustRightInd w:val="0"/>
        <w:spacing w:line="360" w:lineRule="auto"/>
        <w:rPr>
          <w:rFonts w:asciiTheme="minorEastAsia" w:eastAsiaTheme="minorEastAsia" w:hAnsiTheme="minorEastAsia"/>
          <w:color w:val="000000" w:themeColor="text1"/>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E8268C" w:rsidRDefault="00A472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E8268C" w:rsidRDefault="00A47296">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E8268C">
        <w:tc>
          <w:tcPr>
            <w:tcW w:w="4609" w:type="dxa"/>
            <w:tcBorders>
              <w:top w:val="single" w:sz="8" w:space="0" w:color="000000"/>
              <w:left w:val="single" w:sz="8" w:space="0" w:color="000000"/>
              <w:bottom w:val="single" w:sz="8" w:space="0" w:color="000000"/>
              <w:right w:val="single" w:sz="8" w:space="0" w:color="000000"/>
            </w:tcBorders>
            <w:vAlign w:val="center"/>
          </w:tcPr>
          <w:p w:rsidR="00E8268C" w:rsidRDefault="00A4729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8268C" w:rsidRDefault="00A4729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1,140,506,558.57</w:t>
            </w:r>
          </w:p>
        </w:tc>
      </w:tr>
      <w:tr w:rsidR="00E8268C">
        <w:tc>
          <w:tcPr>
            <w:tcW w:w="4609" w:type="dxa"/>
            <w:tcBorders>
              <w:top w:val="single" w:sz="8" w:space="0" w:color="000000"/>
              <w:left w:val="single" w:sz="8" w:space="0" w:color="000000"/>
              <w:bottom w:val="single" w:sz="8" w:space="0" w:color="000000"/>
              <w:right w:val="single" w:sz="8" w:space="0" w:color="000000"/>
            </w:tcBorders>
            <w:vAlign w:val="center"/>
          </w:tcPr>
          <w:p w:rsidR="00E8268C" w:rsidRDefault="00A4729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8268C" w:rsidRDefault="00A4729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25,478,266.84</w:t>
            </w:r>
          </w:p>
        </w:tc>
      </w:tr>
      <w:tr w:rsidR="00E8268C">
        <w:tc>
          <w:tcPr>
            <w:tcW w:w="4609" w:type="dxa"/>
            <w:tcBorders>
              <w:top w:val="single" w:sz="8" w:space="0" w:color="000000"/>
              <w:left w:val="single" w:sz="8" w:space="0" w:color="000000"/>
              <w:bottom w:val="single" w:sz="8" w:space="0" w:color="000000"/>
              <w:right w:val="single" w:sz="8" w:space="0" w:color="000000"/>
            </w:tcBorders>
            <w:vAlign w:val="center"/>
          </w:tcPr>
          <w:p w:rsidR="00E8268C" w:rsidRDefault="00A4729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8268C" w:rsidRDefault="00A4729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64,314,603.89</w:t>
            </w:r>
          </w:p>
        </w:tc>
      </w:tr>
      <w:tr w:rsidR="00E8268C">
        <w:tc>
          <w:tcPr>
            <w:tcW w:w="4609" w:type="dxa"/>
            <w:tcBorders>
              <w:top w:val="single" w:sz="8" w:space="0" w:color="000000"/>
              <w:left w:val="single" w:sz="8" w:space="0" w:color="000000"/>
              <w:bottom w:val="single" w:sz="8" w:space="0" w:color="000000"/>
              <w:right w:val="single" w:sz="8" w:space="0" w:color="000000"/>
            </w:tcBorders>
            <w:vAlign w:val="center"/>
          </w:tcPr>
          <w:p w:rsidR="00E8268C" w:rsidRDefault="00A4729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8268C" w:rsidRDefault="00A4729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E8268C">
        <w:tc>
          <w:tcPr>
            <w:tcW w:w="4609" w:type="dxa"/>
            <w:tcBorders>
              <w:top w:val="single" w:sz="8" w:space="0" w:color="000000"/>
              <w:left w:val="single" w:sz="8" w:space="0" w:color="000000"/>
              <w:bottom w:val="single" w:sz="8" w:space="0" w:color="000000"/>
              <w:right w:val="single" w:sz="8" w:space="0" w:color="000000"/>
            </w:tcBorders>
            <w:vAlign w:val="center"/>
          </w:tcPr>
          <w:p w:rsidR="00E8268C" w:rsidRDefault="00A4729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8268C" w:rsidRDefault="00A4729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1,101,670,221.52</w:t>
            </w:r>
          </w:p>
        </w:tc>
      </w:tr>
    </w:tbl>
    <w:p w:rsidR="00E8268C" w:rsidRDefault="00A47296">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E8268C" w:rsidRDefault="00A47296">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E8268C" w:rsidRDefault="00A472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E8268C" w:rsidRDefault="00E8268C">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E8268C" w:rsidRDefault="00A472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、中国证监会批准上投摩根中国优势证券投资基金设立的文件；</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、《上投摩根中国优势证券投资基金基金合同》；</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、《上投摩根中国优势证券投资基金托管协议》；</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、《上投摩根开放式基金业务规则》；</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、基金管理人业务资格批件、营业执照；</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、基金托管人业务资格批件和营业执照</w:t>
      </w:r>
    </w:p>
    <w:p w:rsidR="00E8268C" w:rsidRDefault="00E8268C">
      <w:pPr>
        <w:spacing w:line="360" w:lineRule="auto"/>
        <w:ind w:firstLineChars="200" w:firstLine="480"/>
        <w:rPr>
          <w:rFonts w:asciiTheme="minorEastAsia" w:eastAsiaTheme="minorEastAsia" w:hAnsiTheme="minorEastAsia"/>
          <w:color w:val="000000" w:themeColor="text1"/>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E8268C" w:rsidRDefault="00E8268C">
      <w:pPr>
        <w:spacing w:line="360" w:lineRule="auto"/>
        <w:ind w:firstLineChars="200" w:firstLine="480"/>
        <w:rPr>
          <w:rFonts w:asciiTheme="minorEastAsia" w:eastAsiaTheme="minorEastAsia" w:hAnsiTheme="minorEastAsia"/>
          <w:color w:val="000000" w:themeColor="text1"/>
          <w:sz w:val="24"/>
          <w:szCs w:val="24"/>
        </w:rPr>
      </w:pPr>
    </w:p>
    <w:p w:rsidR="00E8268C" w:rsidRDefault="00A472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E8268C" w:rsidRDefault="00A472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E8268C" w:rsidRDefault="00E8268C">
      <w:pPr>
        <w:spacing w:line="360" w:lineRule="auto"/>
        <w:ind w:left="840"/>
        <w:jc w:val="right"/>
        <w:rPr>
          <w:rFonts w:asciiTheme="minorEastAsia" w:eastAsiaTheme="minorEastAsia" w:hAnsiTheme="minorEastAsia"/>
          <w:color w:val="000000" w:themeColor="text1"/>
          <w:sz w:val="24"/>
          <w:szCs w:val="24"/>
        </w:rPr>
      </w:pPr>
    </w:p>
    <w:p w:rsidR="00E8268C" w:rsidRDefault="00E8268C">
      <w:pPr>
        <w:spacing w:line="360" w:lineRule="auto"/>
        <w:ind w:left="840"/>
        <w:jc w:val="right"/>
        <w:rPr>
          <w:rFonts w:asciiTheme="minorEastAsia" w:eastAsiaTheme="minorEastAsia" w:hAnsiTheme="minorEastAsia"/>
          <w:color w:val="000000" w:themeColor="text1"/>
          <w:sz w:val="24"/>
          <w:szCs w:val="24"/>
        </w:rPr>
      </w:pPr>
    </w:p>
    <w:p w:rsidR="00E8268C" w:rsidRDefault="00E8268C">
      <w:pPr>
        <w:spacing w:line="360" w:lineRule="auto"/>
        <w:ind w:left="840"/>
        <w:jc w:val="right"/>
        <w:rPr>
          <w:rFonts w:asciiTheme="minorEastAsia" w:eastAsiaTheme="minorEastAsia" w:hAnsiTheme="minorEastAsia"/>
          <w:color w:val="000000" w:themeColor="text1"/>
          <w:sz w:val="24"/>
          <w:szCs w:val="24"/>
        </w:rPr>
      </w:pPr>
    </w:p>
    <w:p w:rsidR="00E8268C" w:rsidRDefault="00E8268C">
      <w:pPr>
        <w:spacing w:line="360" w:lineRule="auto"/>
        <w:ind w:left="840"/>
        <w:jc w:val="right"/>
        <w:rPr>
          <w:rFonts w:asciiTheme="minorEastAsia" w:eastAsiaTheme="minorEastAsia" w:hAnsiTheme="minorEastAsia"/>
          <w:color w:val="000000" w:themeColor="text1"/>
          <w:sz w:val="24"/>
          <w:szCs w:val="24"/>
        </w:rPr>
      </w:pPr>
    </w:p>
    <w:p w:rsidR="00E8268C" w:rsidRDefault="00E8268C">
      <w:pPr>
        <w:spacing w:line="360" w:lineRule="auto"/>
        <w:ind w:left="840"/>
        <w:jc w:val="right"/>
        <w:rPr>
          <w:rFonts w:asciiTheme="minorEastAsia" w:eastAsiaTheme="minorEastAsia" w:hAnsiTheme="minorEastAsia"/>
          <w:color w:val="000000" w:themeColor="text1"/>
          <w:sz w:val="24"/>
          <w:szCs w:val="24"/>
        </w:rPr>
      </w:pPr>
    </w:p>
    <w:p w:rsidR="00E8268C" w:rsidRDefault="00E8268C">
      <w:pPr>
        <w:spacing w:line="360" w:lineRule="auto"/>
        <w:ind w:left="840"/>
        <w:jc w:val="right"/>
        <w:rPr>
          <w:rFonts w:asciiTheme="minorEastAsia" w:eastAsiaTheme="minorEastAsia" w:hAnsiTheme="minorEastAsia"/>
          <w:color w:val="000000" w:themeColor="text1"/>
          <w:sz w:val="24"/>
          <w:szCs w:val="24"/>
        </w:rPr>
      </w:pPr>
    </w:p>
    <w:p w:rsidR="00E8268C" w:rsidRDefault="00E8268C">
      <w:pPr>
        <w:spacing w:line="360" w:lineRule="auto"/>
        <w:ind w:left="840"/>
        <w:jc w:val="right"/>
        <w:rPr>
          <w:rFonts w:asciiTheme="minorEastAsia" w:eastAsiaTheme="minorEastAsia" w:hAnsiTheme="minorEastAsia"/>
          <w:color w:val="000000" w:themeColor="text1"/>
          <w:sz w:val="24"/>
          <w:szCs w:val="24"/>
        </w:rPr>
      </w:pPr>
    </w:p>
    <w:p w:rsidR="00E8268C" w:rsidRDefault="00E8268C">
      <w:pPr>
        <w:spacing w:line="360" w:lineRule="auto"/>
        <w:ind w:left="840"/>
        <w:jc w:val="right"/>
        <w:rPr>
          <w:rFonts w:asciiTheme="minorEastAsia" w:eastAsiaTheme="minorEastAsia" w:hAnsiTheme="minorEastAsia"/>
          <w:color w:val="000000" w:themeColor="text1"/>
          <w:sz w:val="24"/>
          <w:szCs w:val="24"/>
        </w:rPr>
      </w:pPr>
    </w:p>
    <w:p w:rsidR="00E8268C" w:rsidRDefault="00A47296">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E8268C" w:rsidRDefault="00A47296">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E8268C" w:rsidRDefault="00E8268C">
      <w:pPr>
        <w:spacing w:line="360" w:lineRule="auto"/>
        <w:ind w:left="840"/>
        <w:jc w:val="right"/>
        <w:rPr>
          <w:rFonts w:asciiTheme="minorEastAsia" w:eastAsiaTheme="minorEastAsia" w:hAnsiTheme="minorEastAsia"/>
          <w:b/>
          <w:bCs/>
          <w:color w:val="000000" w:themeColor="text1"/>
          <w:sz w:val="24"/>
          <w:szCs w:val="24"/>
        </w:rPr>
      </w:pPr>
    </w:p>
    <w:p w:rsidR="00E8268C" w:rsidRDefault="00E8268C">
      <w:pPr>
        <w:rPr>
          <w:rFonts w:asciiTheme="minorEastAsia" w:eastAsiaTheme="minorEastAsia" w:hAnsiTheme="minorEastAsia"/>
          <w:color w:val="000000" w:themeColor="text1"/>
          <w:sz w:val="24"/>
          <w:szCs w:val="24"/>
        </w:rPr>
      </w:pPr>
    </w:p>
    <w:sectPr w:rsidR="00E8268C">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7296">
      <w:r>
        <w:separator/>
      </w:r>
    </w:p>
  </w:endnote>
  <w:endnote w:type="continuationSeparator" w:id="0">
    <w:p w:rsidR="00000000" w:rsidRDefault="00A4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8C" w:rsidRDefault="00A47296">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A47296">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8C" w:rsidRDefault="00A47296">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rsidR="00E8268C" w:rsidRDefault="00E826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7296">
      <w:r>
        <w:separator/>
      </w:r>
    </w:p>
  </w:footnote>
  <w:footnote w:type="continuationSeparator" w:id="0">
    <w:p w:rsidR="00000000" w:rsidRDefault="00A47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8C" w:rsidRDefault="00A47296">
    <w:pPr>
      <w:pStyle w:val="ad"/>
      <w:pBdr>
        <w:bottom w:val="single" w:sz="6" w:space="0" w:color="auto"/>
      </w:pBdr>
      <w:jc w:val="right"/>
    </w:pPr>
    <w:r>
      <w:rPr>
        <w:rFonts w:hint="eastAsia"/>
      </w:rPr>
      <w:t>上投摩根中国优势证券投资基金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47296"/>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8268C"/>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8E778-7C66-49B5-9AA0-370146BB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29F394-6F1F-486F-A139-5AAF2656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 Qiu</cp:lastModifiedBy>
  <cp:revision>265</cp:revision>
  <dcterms:created xsi:type="dcterms:W3CDTF">2012-10-16T06:07:00Z</dcterms:created>
  <dcterms:modified xsi:type="dcterms:W3CDTF">2020-01-16T10:57:00Z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