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44C15BAA"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48E65E7A"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48C3405E"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05892C05"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7A6A756F"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61281750" w14:textId="77777777" w:rsidR="00D06738" w:rsidRDefault="00454D20" w:rsidRPr="00FF6B9A">
      <w:pPr>
        <w:spacing w:line="360" w:lineRule="auto"/>
        <w:jc w:val="center"/>
        <w:rPr>
          <w:rFonts w:eastAsiaTheme="minorEastAsia"/>
          <w:b/>
          <w:color w:themeColor="text1" w:val="000000"/>
          <w:sz w:val="36"/>
          <w:szCs w:val="36"/>
        </w:rPr>
      </w:pPr>
      <w:r w:rsidRPr="00FF6B9A">
        <w:rPr>
          <w:rFonts w:eastAsiaTheme="minorEastAsia"/>
          <w:b/>
          <w:color w:themeColor="text1" w:val="000000"/>
          <w:sz w:val="36"/>
          <w:szCs w:val="36"/>
        </w:rPr>
        <w:t/>
      </w:r>
      <w:proofErr w:type="spellStart"/>
      <w:r w:rsidRPr="00FF6B9A">
        <w:rPr>
          <w:rFonts w:eastAsiaTheme="minorEastAsia"/>
          <w:b/>
          <w:color w:themeColor="text1" w:val="000000"/>
          <w:sz w:val="36"/>
          <w:szCs w:val="36"/>
        </w:rPr>
        <w:t/>
      </w:r>
      <w:proofErr w:type="spellEnd"/>
      <w:r w:rsidRPr="00FF6B9A">
        <w:rPr>
          <w:rFonts w:eastAsiaTheme="minorEastAsia"/>
          <w:b/>
          <w:color w:themeColor="text1" w:val="000000"/>
          <w:sz w:val="36"/>
          <w:szCs w:val="36"/>
        </w:rPr>
        <w:t>上投摩根大盘蓝筹股票型证券投资基金</w:t>
      </w:r>
    </w:p>
    <w:p w14:paraId="5A1338CB" w14:textId="77777777" w:rsidR="00D06738" w:rsidRDefault="00454D20" w:rsidRPr="00FF6B9A">
      <w:pPr>
        <w:spacing w:line="360" w:lineRule="auto"/>
        <w:jc w:val="center"/>
        <w:rPr>
          <w:rFonts w:eastAsiaTheme="minorEastAsia"/>
          <w:b/>
          <w:color w:themeColor="text1" w:val="000000"/>
          <w:sz w:val="36"/>
          <w:szCs w:val="36"/>
        </w:rPr>
      </w:pPr>
      <w:r w:rsidRPr="00FF6B9A">
        <w:rPr>
          <w:rFonts w:eastAsiaTheme="minorEastAsia"/>
          <w:b/>
          <w:color w:themeColor="text1" w:val="000000"/>
          <w:sz w:val="36"/>
          <w:szCs w:val="36"/>
        </w:rPr>
        <w:t/>
      </w:r>
      <w:proofErr w:type="spellStart"/>
      <w:r w:rsidRPr="00FF6B9A">
        <w:rPr>
          <w:rFonts w:eastAsiaTheme="minorEastAsia"/>
          <w:b/>
          <w:color w:themeColor="text1" w:val="000000"/>
          <w:sz w:val="36"/>
          <w:szCs w:val="36"/>
        </w:rPr>
        <w:t/>
      </w:r>
      <w:proofErr w:type="spellEnd"/>
      <w:r w:rsidRPr="00FF6B9A">
        <w:rPr>
          <w:rFonts w:eastAsiaTheme="minorEastAsia"/>
          <w:b/>
          <w:color w:themeColor="text1" w:val="000000"/>
          <w:sz w:val="36"/>
          <w:szCs w:val="36"/>
        </w:rPr>
        <w:t>2021年第3季度报告</w:t>
      </w:r>
    </w:p>
    <w:p w14:paraId="2E76B0B1" w14:textId="77777777" w:rsidR="00D06738" w:rsidRDefault="00454D20" w:rsidRPr="00FF6B9A">
      <w:pPr>
        <w:spacing w:line="360" w:lineRule="auto"/>
        <w:jc w:val="center"/>
        <w:rPr>
          <w:rFonts w:eastAsiaTheme="minorEastAsia"/>
          <w:b/>
          <w:color w:themeColor="text1" w:val="000000"/>
          <w:sz w:val="36"/>
          <w:szCs w:val="36"/>
        </w:rPr>
      </w:pPr>
      <w:r w:rsidRPr="00FF6B9A">
        <w:rPr>
          <w:rFonts w:eastAsiaTheme="minorEastAsia"/>
          <w:b/>
          <w:color w:themeColor="text1" w:val="000000"/>
          <w:sz w:val="36"/>
          <w:szCs w:val="36"/>
        </w:rPr>
        <w:t/>
      </w:r>
      <w:proofErr w:type="spellStart"/>
      <w:r w:rsidRPr="00FF6B9A">
        <w:rPr>
          <w:rFonts w:eastAsiaTheme="minorEastAsia"/>
          <w:b/>
          <w:color w:themeColor="text1" w:val="000000"/>
          <w:sz w:val="36"/>
          <w:szCs w:val="36"/>
        </w:rPr>
        <w:t/>
      </w:r>
      <w:proofErr w:type="spellEnd"/>
      <w:r w:rsidRPr="00FF6B9A">
        <w:rPr>
          <w:rFonts w:eastAsiaTheme="minorEastAsia"/>
          <w:b/>
          <w:color w:themeColor="text1" w:val="000000"/>
          <w:sz w:val="36"/>
          <w:szCs w:val="36"/>
        </w:rPr>
        <w:t>2021年9月30日</w:t>
      </w:r>
    </w:p>
    <w:p w14:paraId="1A655430" w14:textId="77777777" w:rsidR="00D06738" w:rsidRDefault="00D06738" w:rsidRPr="00FF6B9A">
      <w:pPr>
        <w:spacing w:line="360" w:lineRule="auto"/>
        <w:jc w:val="center"/>
        <w:rPr>
          <w:rFonts w:eastAsiaTheme="minorEastAsia"/>
          <w:b/>
          <w:bCs/>
          <w:color w:themeColor="text1" w:val="000000"/>
          <w:sz w:val="24"/>
          <w:szCs w:val="24"/>
        </w:rPr>
      </w:pPr>
    </w:p>
    <w:p w14:paraId="3C5B7FC4" w14:textId="77777777" w:rsidR="00D06738" w:rsidRDefault="00D06738" w:rsidRPr="00FF6B9A">
      <w:pPr>
        <w:spacing w:line="360" w:lineRule="auto"/>
        <w:jc w:val="center"/>
        <w:rPr>
          <w:rFonts w:eastAsiaTheme="minorEastAsia"/>
          <w:b/>
          <w:bCs/>
          <w:color w:themeColor="text1" w:val="000000"/>
          <w:sz w:val="24"/>
          <w:szCs w:val="24"/>
        </w:rPr>
      </w:pPr>
    </w:p>
    <w:p w14:paraId="1D41633D" w14:textId="77777777" w:rsidR="00D06738" w:rsidRDefault="00D06738" w:rsidRPr="00FF6B9A">
      <w:pPr>
        <w:spacing w:line="360" w:lineRule="auto"/>
        <w:jc w:val="center"/>
        <w:rPr>
          <w:rFonts w:eastAsiaTheme="minorEastAsia"/>
          <w:b/>
          <w:bCs/>
          <w:color w:themeColor="text1" w:val="000000"/>
          <w:sz w:val="24"/>
          <w:szCs w:val="24"/>
        </w:rPr>
      </w:pPr>
    </w:p>
    <w:p w14:paraId="7088D740" w14:textId="77777777" w:rsidR="00D06738" w:rsidRDefault="00D06738" w:rsidRPr="00FF6B9A">
      <w:pPr>
        <w:spacing w:line="360" w:lineRule="auto"/>
        <w:jc w:val="center"/>
        <w:rPr>
          <w:rFonts w:eastAsiaTheme="minorEastAsia"/>
          <w:b/>
          <w:bCs/>
          <w:color w:themeColor="text1" w:val="000000"/>
          <w:sz w:val="24"/>
          <w:szCs w:val="24"/>
        </w:rPr>
      </w:pPr>
    </w:p>
    <w:p w14:paraId="4CB6A604" w14:textId="77777777" w:rsidR="00D06738" w:rsidRDefault="00D06738" w:rsidRPr="00FF6B9A">
      <w:pPr>
        <w:spacing w:line="360" w:lineRule="auto"/>
        <w:jc w:val="center"/>
        <w:rPr>
          <w:rFonts w:eastAsiaTheme="minorEastAsia"/>
          <w:b/>
          <w:bCs/>
          <w:color w:themeColor="text1" w:val="000000"/>
          <w:sz w:val="24"/>
          <w:szCs w:val="24"/>
        </w:rPr>
      </w:pPr>
    </w:p>
    <w:p w14:paraId="160BB35C" w14:textId="77777777" w:rsidR="00D06738" w:rsidRDefault="00D06738" w:rsidRPr="00FF6B9A">
      <w:pPr>
        <w:spacing w:line="360" w:lineRule="auto"/>
        <w:jc w:val="center"/>
        <w:rPr>
          <w:rFonts w:eastAsiaTheme="minorEastAsia"/>
          <w:b/>
          <w:bCs/>
          <w:color w:themeColor="text1" w:val="000000"/>
          <w:sz w:val="24"/>
          <w:szCs w:val="24"/>
        </w:rPr>
      </w:pPr>
    </w:p>
    <w:p w14:paraId="59EC83F9" w14:textId="77777777" w:rsidR="00D06738" w:rsidRDefault="00D06738" w:rsidRPr="00FF6B9A">
      <w:pPr>
        <w:spacing w:line="360" w:lineRule="auto"/>
        <w:jc w:val="center"/>
        <w:rPr>
          <w:rFonts w:eastAsiaTheme="minorEastAsia"/>
          <w:b/>
          <w:bCs/>
          <w:color w:themeColor="text1" w:val="000000"/>
          <w:sz w:val="24"/>
          <w:szCs w:val="24"/>
        </w:rPr>
      </w:pPr>
    </w:p>
    <w:p w14:paraId="618FC018" w14:textId="77777777" w:rsidR="00D06738" w:rsidRDefault="00D06738" w:rsidRPr="00FF6B9A">
      <w:pPr>
        <w:spacing w:line="360" w:lineRule="auto"/>
        <w:jc w:val="center"/>
        <w:rPr>
          <w:rFonts w:eastAsiaTheme="minorEastAsia"/>
          <w:b/>
          <w:bCs/>
          <w:color w:themeColor="text1" w:val="000000"/>
          <w:sz w:val="24"/>
          <w:szCs w:val="24"/>
        </w:rPr>
      </w:pPr>
    </w:p>
    <w:p w14:paraId="62C95459" w14:textId="77777777" w:rsidR="00D06738" w:rsidRDefault="00D06738" w:rsidRPr="00FF6B9A">
      <w:pPr>
        <w:spacing w:line="360" w:lineRule="auto"/>
        <w:jc w:val="center"/>
        <w:rPr>
          <w:rFonts w:eastAsiaTheme="minorEastAsia"/>
          <w:b/>
          <w:bCs/>
          <w:color w:themeColor="text1" w:val="000000"/>
          <w:sz w:val="24"/>
          <w:szCs w:val="24"/>
        </w:rPr>
      </w:pPr>
    </w:p>
    <w:p w14:paraId="60B5CF4B" w14:textId="77777777" w:rsidR="00D06738" w:rsidRDefault="00D06738" w:rsidRPr="00FF6B9A">
      <w:pPr>
        <w:spacing w:line="360" w:lineRule="auto"/>
        <w:jc w:val="center"/>
        <w:rPr>
          <w:rFonts w:eastAsiaTheme="minorEastAsia"/>
          <w:b/>
          <w:bCs/>
          <w:color w:themeColor="text1" w:val="000000"/>
          <w:sz w:val="24"/>
          <w:szCs w:val="24"/>
        </w:rPr>
      </w:pPr>
    </w:p>
    <w:p w14:paraId="39DE5ED7" w14:textId="77777777" w:rsidR="00D06738" w:rsidRDefault="00D06738" w:rsidRPr="00FF6B9A">
      <w:pPr>
        <w:spacing w:line="360" w:lineRule="auto"/>
        <w:jc w:val="center"/>
        <w:rPr>
          <w:rFonts w:eastAsiaTheme="minorEastAsia"/>
          <w:b/>
          <w:bCs/>
          <w:color w:themeColor="text1" w:val="000000"/>
          <w:sz w:val="24"/>
          <w:szCs w:val="24"/>
        </w:rPr>
      </w:pPr>
    </w:p>
    <w:p w14:paraId="22E93BD8" w14:textId="77777777" w:rsidR="00D06738" w:rsidRDefault="00D06738" w:rsidRPr="00FF6B9A">
      <w:pPr>
        <w:spacing w:line="360" w:lineRule="auto"/>
        <w:jc w:val="center"/>
        <w:rPr>
          <w:rFonts w:eastAsiaTheme="minorEastAsia"/>
          <w:b/>
          <w:bCs/>
          <w:color w:themeColor="text1" w:val="000000"/>
          <w:sz w:val="24"/>
          <w:szCs w:val="24"/>
        </w:rPr>
      </w:pPr>
    </w:p>
    <w:p w14:paraId="68A989DC" w14:textId="77777777" w:rsidR="00D06738" w:rsidRDefault="00D06738" w:rsidRPr="00FF6B9A">
      <w:pPr>
        <w:spacing w:line="360" w:lineRule="auto"/>
        <w:jc w:val="center"/>
        <w:rPr>
          <w:rFonts w:eastAsiaTheme="minorEastAsia"/>
          <w:b/>
          <w:bCs/>
          <w:color w:themeColor="text1" w:val="000000"/>
          <w:sz w:val="24"/>
          <w:szCs w:val="24"/>
        </w:rPr>
      </w:pPr>
    </w:p>
    <w:p w14:paraId="4B1AA632" w14:textId="77777777" w:rsidR="00D06738" w:rsidRDefault="00D06738" w:rsidRPr="00FF6B9A">
      <w:pPr>
        <w:spacing w:line="360" w:lineRule="auto"/>
        <w:rPr>
          <w:rFonts w:eastAsiaTheme="minorEastAsia"/>
          <w:b/>
          <w:bCs/>
          <w:color w:themeColor="text1" w:val="000000"/>
          <w:sz w:val="24"/>
          <w:szCs w:val="24"/>
        </w:rPr>
      </w:pPr>
    </w:p>
    <w:p w14:paraId="5866ADDF" w14:textId="77777777" w:rsidR="00D06738" w:rsidRDefault="00454D20" w:rsidRPr="00FF6B9A">
      <w:pPr>
        <w:spacing w:line="360" w:lineRule="auto"/>
        <w:ind w:firstLine="2168" w:firstLineChars="900"/>
        <w:rPr>
          <w:rFonts w:eastAsiaTheme="minorEastAsia"/>
          <w:b/>
          <w:color w:themeColor="text1" w:val="000000"/>
          <w:sz w:val="24"/>
          <w:szCs w:val="24"/>
        </w:rPr>
      </w:pPr>
      <w:r w:rsidRPr="00FF6B9A">
        <w:rPr>
          <w:rFonts w:eastAsiaTheme="minorEastAsia"/>
          <w:b/>
          <w:color w:themeColor="text1" w:val="000000"/>
          <w:sz w:val="24"/>
          <w:szCs w:val="24"/>
        </w:rPr>
        <w:t>基金管理人：</w:t>
      </w:r>
      <w:r w:rsidRPr="00FF6B9A">
        <w:rPr>
          <w:rFonts w:eastAsiaTheme="minorEastAsia"/>
          <w:b/>
          <w:color w:themeColor="text1" w:val="000000"/>
          <w:sz w:val="24"/>
          <w:szCs w:val="24"/>
        </w:rPr>
        <w:t/>
      </w:r>
      <w:proofErr w:type="spellStart"/>
      <w:r w:rsidRPr="00FF6B9A">
        <w:rPr>
          <w:rFonts w:eastAsiaTheme="minorEastAsia"/>
          <w:b/>
          <w:color w:themeColor="text1" w:val="000000"/>
          <w:sz w:val="24"/>
          <w:szCs w:val="24"/>
        </w:rPr>
        <w:t/>
      </w:r>
      <w:proofErr w:type="spellEnd"/>
      <w:r w:rsidRPr="00FF6B9A">
        <w:rPr>
          <w:rFonts w:eastAsiaTheme="minorEastAsia"/>
          <w:b/>
          <w:color w:themeColor="text1" w:val="000000"/>
          <w:sz w:val="24"/>
          <w:szCs w:val="24"/>
        </w:rPr>
        <w:t>上投摩根基金管理有限公司</w:t>
      </w:r>
    </w:p>
    <w:p w14:paraId="76291874" w14:textId="77777777" w:rsidR="00D06738" w:rsidRDefault="00454D20" w:rsidRPr="00FF6B9A">
      <w:pPr>
        <w:spacing w:line="360" w:lineRule="auto"/>
        <w:ind w:firstLine="2168" w:firstLineChars="900"/>
        <w:rPr>
          <w:rFonts w:eastAsiaTheme="minorEastAsia"/>
          <w:b/>
          <w:color w:themeColor="text1" w:val="000000"/>
          <w:sz w:val="24"/>
          <w:szCs w:val="24"/>
        </w:rPr>
      </w:pPr>
      <w:r w:rsidRPr="00FF6B9A">
        <w:rPr>
          <w:rFonts w:eastAsiaTheme="minorEastAsia"/>
          <w:b/>
          <w:color w:themeColor="text1" w:val="000000"/>
          <w:sz w:val="24"/>
          <w:szCs w:val="24"/>
        </w:rPr>
        <w:t>基金托管人：</w:t>
      </w:r>
      <w:r w:rsidRPr="00FF6B9A">
        <w:rPr>
          <w:rFonts w:eastAsiaTheme="minorEastAsia"/>
          <w:b/>
          <w:color w:themeColor="text1" w:val="000000"/>
          <w:sz w:val="24"/>
          <w:szCs w:val="24"/>
        </w:rPr>
        <w:t/>
      </w:r>
      <w:proofErr w:type="spellStart"/>
      <w:r w:rsidRPr="00FF6B9A">
        <w:rPr>
          <w:rFonts w:eastAsiaTheme="minorEastAsia"/>
          <w:b/>
          <w:color w:themeColor="text1" w:val="000000"/>
          <w:sz w:val="24"/>
          <w:szCs w:val="24"/>
        </w:rPr>
        <w:t/>
      </w:r>
      <w:proofErr w:type="spellEnd"/>
      <w:r w:rsidRPr="00FF6B9A">
        <w:rPr>
          <w:rFonts w:eastAsiaTheme="minorEastAsia"/>
          <w:b/>
          <w:color w:themeColor="text1" w:val="000000"/>
          <w:sz w:val="24"/>
          <w:szCs w:val="24"/>
        </w:rPr>
        <w:t>中国建设银行股份有限公司</w:t>
      </w:r>
    </w:p>
    <w:p w14:paraId="219C0F2E" w14:textId="77777777" w:rsidR="00D06738" w:rsidRDefault="00454D20" w:rsidRPr="00FF6B9A">
      <w:pPr>
        <w:spacing w:line="360" w:lineRule="auto"/>
        <w:ind w:firstLine="2168" w:firstLineChars="900"/>
        <w:rPr>
          <w:rFonts w:eastAsiaTheme="minorEastAsia"/>
          <w:b/>
          <w:color w:themeColor="text1" w:val="000000"/>
          <w:sz w:val="24"/>
          <w:szCs w:val="24"/>
        </w:rPr>
        <w:sectPr w:rsidR="00D06738" w:rsidRPr="00FF6B9A">
          <w:headerReference r:id="rId8" w:type="default"/>
          <w:footerReference r:id="rId9" w:type="default"/>
          <w:pgSz w:h="15840" w:w="11926"/>
          <w:pgMar w:bottom="851" w:footer="992" w:gutter="0" w:header="851" w:left="1418" w:right="1418" w:top="1418"/>
          <w:cols w:space="720"/>
        </w:sectPr>
      </w:pPr>
      <w:r w:rsidRPr="00FF6B9A">
        <w:rPr>
          <w:rFonts w:eastAsiaTheme="minorEastAsia"/>
          <w:b/>
          <w:color w:themeColor="text1" w:val="000000"/>
          <w:sz w:val="24"/>
          <w:szCs w:val="24"/>
        </w:rPr>
        <w:t>报告送出日期：</w:t>
      </w:r>
      <w:r w:rsidRPr="00FF6B9A">
        <w:rPr>
          <w:rFonts w:eastAsiaTheme="minorEastAsia"/>
          <w:b/>
          <w:color w:themeColor="text1" w:val="000000"/>
          <w:sz w:val="24"/>
          <w:szCs w:val="24"/>
        </w:rPr>
        <w:t/>
      </w:r>
      <w:proofErr w:type="spellStart"/>
      <w:r w:rsidRPr="00FF6B9A">
        <w:rPr>
          <w:rFonts w:eastAsiaTheme="minorEastAsia"/>
          <w:b/>
          <w:color w:themeColor="text1" w:val="000000"/>
          <w:sz w:val="24"/>
          <w:szCs w:val="24"/>
        </w:rPr>
        <w:t/>
      </w:r>
      <w:proofErr w:type="spellEnd"/>
      <w:r w:rsidRPr="00FF6B9A">
        <w:rPr>
          <w:rFonts w:eastAsiaTheme="minorEastAsia"/>
          <w:b/>
          <w:color w:themeColor="text1" w:val="000000"/>
          <w:sz w:val="24"/>
          <w:szCs w:val="24"/>
        </w:rPr>
        <w:t>二〇二一年十月二十七日</w:t>
      </w:r>
    </w:p>
    <w:p w14:paraId="7AFF270F" w14:textId="77777777" w:rsidR="00D06738" w:rsidRDefault="00454D20" w:rsidRPr="00FF6B9A">
      <w:pPr>
        <w:pStyle w:val="1"/>
        <w:spacing w:after="312" w:afterLines="100" w:before="312" w:beforeLines="100" w:line="360" w:lineRule="auto"/>
        <w:jc w:val="center"/>
        <w:rPr>
          <w:rFonts w:eastAsiaTheme="minorEastAsia"/>
          <w:b w:val="0"/>
          <w:bCs w:val="0"/>
          <w:color w:themeColor="text1" w:val="000000"/>
          <w:kern w:val="0"/>
          <w:sz w:val="24"/>
          <w:szCs w:val="24"/>
        </w:rPr>
      </w:pPr>
      <w:r w:rsidRPr="00FF6B9A">
        <w:rPr>
          <w:rFonts w:eastAsiaTheme="minorEastAsia"/>
          <w:color w:themeColor="text1" w:val="000000"/>
          <w:kern w:val="0"/>
          <w:sz w:val="24"/>
          <w:szCs w:val="24"/>
        </w:rPr>
        <w:lastRenderedPageBreak/>
        <w:t xml:space="preserve">§1  </w:t>
      </w:r>
      <w:r w:rsidRPr="00FF6B9A">
        <w:rPr>
          <w:rFonts w:eastAsiaTheme="minorEastAsia"/>
          <w:color w:themeColor="text1" w:val="000000"/>
          <w:kern w:val="0"/>
          <w:sz w:val="24"/>
          <w:szCs w:val="24"/>
        </w:rPr>
        <w:t>重要提示</w:t>
      </w:r>
    </w:p>
    <w:p>
      <w:pPr>
        <w:spacing w:line="360" w:lineRule="auto"/>
        <w:ind w:firstLine="420" w:firstLineChars="200"/>
        <w:rPr>
          <w:rFonts w:eastAsiaTheme="minorEastAsia"/>
          <w:color w:themeColor="text1" w:val="000000"/>
        </w:rPr>
      </w:pPr>
      <w:r>
        <w:rPr>
          <w:rFonts w:eastAsiaTheme="minorEastAsia"/>
          <w:color w:themeColor="text1" w:val="000000"/>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eastAsiaTheme="minorEastAsia"/>
          <w:color w:themeColor="text1" w:val="000000"/>
        </w:rPr>
      </w:pPr>
      <w:r>
        <w:rPr>
          <w:rFonts w:eastAsiaTheme="minorEastAsia"/>
          <w:color w:themeColor="text1" w:val="000000"/>
        </w:rPr>
        <w:t xml:space="preserve">基金托管人中国建设银行股份有限公司根据本基金合同规定，于2021年10月26日复核了本报告中的财务指标、净值表现和投资组合报告等内容，保证复核内容不存在虚假记载、误导性陈述或者重大遗漏。 </w:t>
      </w:r>
    </w:p>
    <w:p>
      <w:pPr>
        <w:spacing w:line="360" w:lineRule="auto"/>
        <w:ind w:firstLine="420" w:firstLineChars="200"/>
        <w:rPr>
          <w:rFonts w:eastAsiaTheme="minorEastAsia"/>
          <w:color w:themeColor="text1" w:val="000000"/>
        </w:rPr>
      </w:pPr>
      <w:r>
        <w:rPr>
          <w:rFonts w:eastAsiaTheme="minorEastAsia"/>
          <w:color w:themeColor="text1" w:val="000000"/>
        </w:rPr>
        <w:t xml:space="preserve">基金管理人承诺以诚实信用、勤勉尽责的原则管理和运用基金资产，但不保证基金一定盈利。 </w:t>
      </w:r>
    </w:p>
    <w:p>
      <w:pPr>
        <w:spacing w:line="360" w:lineRule="auto"/>
        <w:ind w:firstLine="420" w:firstLineChars="200"/>
        <w:rPr>
          <w:rFonts w:eastAsiaTheme="minorEastAsia"/>
          <w:color w:themeColor="text1" w:val="000000"/>
        </w:rPr>
      </w:pPr>
      <w:r>
        <w:rPr>
          <w:rFonts w:eastAsiaTheme="minorEastAsia"/>
          <w:color w:themeColor="text1" w:val="000000"/>
        </w:rPr>
        <w:t xml:space="preserve">基金的过往业绩并不代表其未来表现。投资有风险，投资者在作出投资决策前应仔细阅读本基金的招募说明书。 </w:t>
      </w:r>
    </w:p>
    <w:p>
      <w:pPr>
        <w:spacing w:line="360" w:lineRule="auto"/>
        <w:ind w:firstLine="420" w:firstLineChars="200"/>
        <w:rPr>
          <w:rFonts w:eastAsiaTheme="minorEastAsia"/>
          <w:color w:themeColor="text1" w:val="000000"/>
        </w:rPr>
      </w:pPr>
      <w:r>
        <w:rPr>
          <w:rFonts w:eastAsiaTheme="minorEastAsia"/>
          <w:color w:themeColor="text1" w:val="000000"/>
        </w:rPr>
        <w:t>本报告中财务资料未经审计。</w:t>
      </w:r>
    </w:p>
    <w:p w14:paraId="298A5200"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本报告期自2021年7月1日起至9月30日止。</w:t>
      </w:r>
    </w:p>
    <w:p w14:paraId="3A78A50A" w14:textId="77777777" w:rsidR="00D06738" w:rsidRDefault="00454D20" w:rsidRPr="00FF6B9A">
      <w:pPr>
        <w:pStyle w:val="1"/>
        <w:spacing w:after="312" w:afterLines="100" w:before="312" w:beforeLines="100" w:line="360" w:lineRule="auto"/>
        <w:jc w:val="center"/>
        <w:rPr>
          <w:rFonts w:eastAsiaTheme="minorEastAsia"/>
          <w:color w:themeColor="text1" w:val="000000"/>
          <w:kern w:val="0"/>
          <w:sz w:val="24"/>
          <w:szCs w:val="24"/>
        </w:rPr>
      </w:pPr>
      <w:r w:rsidRPr="00FF6B9A">
        <w:rPr>
          <w:rFonts w:eastAsiaTheme="minorEastAsia"/>
          <w:color w:themeColor="text1" w:val="000000"/>
          <w:kern w:val="0"/>
          <w:sz w:val="24"/>
          <w:szCs w:val="24"/>
        </w:rPr>
        <w:t xml:space="preserve">§2  </w:t>
      </w:r>
      <w:r w:rsidRPr="00FF6B9A">
        <w:rPr>
          <w:rFonts w:eastAsiaTheme="minorEastAsia"/>
          <w:color w:themeColor="text1" w:val="000000"/>
          <w:kern w:val="0"/>
          <w:sz w:val="24"/>
          <w:szCs w:val="24"/>
        </w:rPr>
        <w:t>基金产品概况</w:t>
      </w:r>
    </w:p>
    <w:tbl>
      <w:tblPr>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2835"/>
        <w:gridCol w:w="2739"/>
        <w:gridCol w:w="2740"/>
      </w:tblGrid>
      <w:tr w14:paraId="0D826A0C" w14:textId="77777777" w:rsidR="00D06738" w:rsidRPr="00FF6B9A">
        <w:tc>
          <w:tcPr>
            <w:tcW w:type="dxa" w:w="2835"/>
            <w:vAlign w:val="center"/>
          </w:tcPr>
          <w:p w14:paraId="41603EB5"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基金简称</w:t>
            </w:r>
          </w:p>
        </w:tc>
        <w:tc>
          <w:tcPr>
            <w:tcW w:type="dxa" w:w="5479"/>
            <w:gridSpan w:val="2"/>
            <w:vAlign w:val="center"/>
          </w:tcPr>
          <w:p w14:paraId="245289EF"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上投摩根大盘蓝筹股票</w:t>
            </w:r>
          </w:p>
        </w:tc>
      </w:tr>
      <w:tr w14:paraId="6487C456" w14:textId="77777777" w:rsidR="00D06738" w:rsidRPr="00FF6B9A">
        <w:tc>
          <w:tcPr>
            <w:tcW w:type="dxa" w:w="2835"/>
            <w:tcBorders>
              <w:top w:color="auto" w:space="0" w:sz="4" w:val="single"/>
              <w:left w:color="auto" w:space="0" w:sz="4" w:val="single"/>
              <w:bottom w:color="auto" w:space="0" w:sz="4" w:val="single"/>
              <w:right w:color="auto" w:space="0" w:sz="4" w:val="single"/>
            </w:tcBorders>
            <w:vAlign w:val="center"/>
          </w:tcPr>
          <w:p w14:paraId="6BDFC5CF"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基金主代码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02B49369"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376510</w:t>
            </w:r>
          </w:p>
        </w:tc>
      </w:tr>
      <w:tr w14:paraId="2443AB88" w14:textId="77777777" w:rsidR="00D06738" w:rsidRPr="00FF6B9A">
        <w:tc>
          <w:tcPr>
            <w:tcW w:type="dxa" w:w="2835"/>
            <w:tcBorders>
              <w:top w:color="auto" w:space="0" w:sz="4" w:val="single"/>
              <w:left w:color="auto" w:space="0" w:sz="4" w:val="single"/>
              <w:bottom w:color="auto" w:space="0" w:sz="4" w:val="single"/>
              <w:right w:color="auto" w:space="0" w:sz="4" w:val="single"/>
            </w:tcBorders>
            <w:vAlign w:val="center"/>
          </w:tcPr>
          <w:p w14:paraId="478402FE"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交易代码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2E739C65"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gramStart"/>
            <w:r w:rsidRPr="00FF6B9A">
              <w:rPr>
                <w:rFonts w:eastAsiaTheme="minorEastAsia"/>
                <w:color w:themeColor="text1" w:val="000000"/>
                <w:kern w:val="0"/>
              </w:rPr>
              <w:t/>
            </w:r>
            <w:proofErr w:type="spellEnd"/>
            <w:r w:rsidRPr="00FF6B9A">
              <w:rPr>
                <w:rFonts w:eastAsiaTheme="minorEastAsia"/>
                <w:color w:themeColor="text1" w:val="000000"/>
                <w:kern w:val="0"/>
              </w:rPr>
              <w:t/>
            </w:r>
            <w:proofErr w:type="spellStart"/>
            <w:proofErr w:type="gramEnd"/>
            <w:r w:rsidRPr="00FF6B9A">
              <w:rPr>
                <w:rFonts w:eastAsiaTheme="minorEastAsia"/>
                <w:color w:themeColor="text1" w:val="000000"/>
                <w:kern w:val="0"/>
              </w:rPr>
              <w:t/>
            </w:r>
            <w:proofErr w:type="spellEnd"/>
            <w:r w:rsidRPr="00FF6B9A">
              <w:rPr>
                <w:rFonts w:eastAsiaTheme="minorEastAsia"/>
                <w:color w:themeColor="text1" w:val="000000"/>
                <w:kern w:val="0"/>
              </w:rPr>
              <w:t>376510</w:t>
            </w:r>
          </w:p>
        </w:tc>
      </w:tr>
      <w:tr w14:paraId="7AF1FD7C" w14:textId="77777777" w:rsidR="00D06738" w:rsidRPr="00FF6B9A">
        <w:tc>
          <w:tcPr>
            <w:tcW w:type="dxa" w:w="2835"/>
            <w:vAlign w:val="center"/>
          </w:tcPr>
          <w:p w14:paraId="042D4F2C"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基金运作方式</w:t>
            </w:r>
          </w:p>
        </w:tc>
        <w:tc>
          <w:tcPr>
            <w:tcW w:type="dxa" w:w="5479"/>
            <w:gridSpan w:val="2"/>
            <w:vAlign w:val="center"/>
          </w:tcPr>
          <w:p w14:paraId="594303B4"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契约型开放式</w:t>
            </w:r>
          </w:p>
        </w:tc>
      </w:tr>
      <w:tr w14:paraId="5E254ABC" w14:textId="77777777" w:rsidR="00D06738" w:rsidRPr="00FF6B9A">
        <w:tc>
          <w:tcPr>
            <w:tcW w:type="dxa" w:w="2835"/>
            <w:vAlign w:val="center"/>
          </w:tcPr>
          <w:p w14:paraId="309669DF"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基金合同生效日</w:t>
            </w:r>
          </w:p>
        </w:tc>
        <w:tc>
          <w:tcPr>
            <w:tcW w:type="dxa" w:w="5479"/>
            <w:gridSpan w:val="2"/>
            <w:vAlign w:val="center"/>
          </w:tcPr>
          <w:p w14:paraId="1568522D"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2010年12月20日</w:t>
            </w:r>
          </w:p>
        </w:tc>
      </w:tr>
      <w:tr w14:paraId="06DF9713" w14:textId="77777777" w:rsidR="00D06738" w:rsidRPr="00FF6B9A">
        <w:tc>
          <w:tcPr>
            <w:tcW w:type="dxa" w:w="2835"/>
            <w:vAlign w:val="center"/>
          </w:tcPr>
          <w:p w14:paraId="57B0E596"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报告期末基金份额总额</w:t>
            </w:r>
          </w:p>
        </w:tc>
        <w:tc>
          <w:tcPr>
            <w:tcW w:type="dxa" w:w="5479"/>
            <w:gridSpan w:val="2"/>
            <w:vAlign w:val="center"/>
          </w:tcPr>
          <w:p w14:paraId="38649CC9"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110,980,967.01</w:t>
            </w:r>
            <w:r w:rsidRPr="00FF6B9A">
              <w:rPr>
                <w:rFonts w:eastAsiaTheme="minorEastAsia"/>
                <w:color w:themeColor="text1" w:val="000000"/>
                <w:kern w:val="0"/>
              </w:rPr>
              <w:t>份</w:t>
            </w:r>
          </w:p>
        </w:tc>
      </w:tr>
      <w:tr w14:paraId="03D1AE98" w14:textId="77777777" w:rsidR="00D06738" w:rsidRPr="00FF6B9A">
        <w:tc>
          <w:tcPr>
            <w:tcW w:type="dxa" w:w="2835"/>
            <w:vAlign w:val="center"/>
          </w:tcPr>
          <w:p w14:paraId="4AB37564"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投资目标</w:t>
            </w:r>
          </w:p>
        </w:tc>
        <w:tc>
          <w:tcPr>
            <w:tcW w:type="dxa" w:w="5479"/>
            <w:gridSpan w:val="2"/>
            <w:vAlign w:val="center"/>
          </w:tcPr>
          <w:p w14:paraId="61AB4DB9"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通过投资大盘蓝筹股票，力争最大程度的分享中国经济持续发展带来的中长期收益。在有效控制风险的前提下，追求基金资产的长期稳健增值。</w:t>
            </w:r>
          </w:p>
        </w:tc>
      </w:tr>
      <w:tr w14:paraId="0CFEC550" w14:textId="77777777" w:rsidR="00D06738" w:rsidRPr="00FF6B9A">
        <w:tc>
          <w:tcPr>
            <w:tcW w:type="dxa" w:w="2835"/>
            <w:vAlign w:val="center"/>
          </w:tcPr>
          <w:p w14:paraId="1E239E6A"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投资策略</w:t>
            </w:r>
          </w:p>
        </w:tc>
        <w:tc>
          <w:tcPr>
            <w:tcW w:type="dxa" w:w="5479"/>
            <w:gridSpan w:val="2"/>
            <w:vAlign w:val="center"/>
          </w:tcPr>
          <w:p>
            <w:pPr>
              <w:adjustRightInd w:val="0"/>
              <w:spacing w:before="29" w:line="360" w:lineRule="auto"/>
              <w:ind w:left="17"/>
              <w:rPr>
                <w:rFonts w:eastAsiaTheme="minorEastAsia"/>
                <w:color w:themeColor="text1" w:val="000000"/>
              </w:rPr>
            </w:pPr>
            <w:r>
              <w:rPr>
                <w:rFonts w:eastAsiaTheme="minorEastAsia"/>
                <w:color w:themeColor="text1" w:val="000000"/>
                <w:kern w:val="0"/>
              </w:rPr>
              <w:t>本基金充分借鉴摩根资产管理集团全球行之有效的投资理念和技术，“自下而上”的精选个股，重点投资于在行业内占有领先地位、业绩良好且稳定增长、价值相对低估的大盘蓝筹上市公司。同时结合宏观经济运行状况和金融市场运行分析趋势的市场研判，对相关资产类别的预期收益进行监控，动态调整股票、债券等大类资产配置。</w:t>
            </w:r>
          </w:p>
          <w:p>
            <w:pPr>
              <w:adjustRightInd w:val="0"/>
              <w:spacing w:before="29" w:line="360" w:lineRule="auto"/>
              <w:ind w:left="17"/>
              <w:rPr>
                <w:rFonts w:eastAsiaTheme="minorEastAsia"/>
                <w:color w:themeColor="text1" w:val="000000"/>
              </w:rPr>
            </w:pPr>
            <w:r>
              <w:rPr>
                <w:rFonts w:eastAsiaTheme="minorEastAsia"/>
                <w:color w:themeColor="text1" w:val="000000"/>
                <w:kern w:val="0"/>
              </w:rPr>
              <w:t>1.资产配置策略</w:t>
            </w:r>
          </w:p>
          <w:p>
            <w:pPr>
              <w:adjustRightInd w:val="0"/>
              <w:spacing w:before="29" w:line="360" w:lineRule="auto"/>
              <w:ind w:left="17"/>
              <w:rPr>
                <w:rFonts w:eastAsiaTheme="minorEastAsia"/>
                <w:color w:themeColor="text1" w:val="000000"/>
              </w:rPr>
            </w:pPr>
            <w:r>
              <w:rPr>
                <w:rFonts w:eastAsiaTheme="minorEastAsia"/>
                <w:color w:themeColor="text1" w:val="000000"/>
                <w:kern w:val="0"/>
              </w:rPr>
              <w:t>本基金对大类资产的配置是从宏观层面出发，采用定量分析和定性分析相结合的手段，综合宏观经济环境、宏观经济政策、行业景气度、证券市场走势和流动性的综合分析，积极进行大类资产配置。</w:t>
            </w:r>
          </w:p>
          <w:p>
            <w:pPr>
              <w:adjustRightInd w:val="0"/>
              <w:spacing w:before="29" w:line="360" w:lineRule="auto"/>
              <w:ind w:left="17"/>
              <w:rPr>
                <w:rFonts w:eastAsiaTheme="minorEastAsia"/>
                <w:color w:themeColor="text1" w:val="000000"/>
              </w:rPr>
            </w:pPr>
            <w:r>
              <w:rPr>
                <w:rFonts w:eastAsiaTheme="minorEastAsia"/>
                <w:color w:themeColor="text1" w:val="000000"/>
                <w:kern w:val="0"/>
              </w:rPr>
              <w:t>2.行业配置策略</w:t>
            </w:r>
          </w:p>
          <w:p>
            <w:pPr>
              <w:adjustRightInd w:val="0"/>
              <w:spacing w:before="29" w:line="360" w:lineRule="auto"/>
              <w:ind w:left="17"/>
              <w:rPr>
                <w:rFonts w:eastAsiaTheme="minorEastAsia"/>
                <w:color w:themeColor="text1" w:val="000000"/>
              </w:rPr>
            </w:pPr>
            <w:r>
              <w:rPr>
                <w:rFonts w:eastAsiaTheme="minorEastAsia"/>
                <w:color w:themeColor="text1" w:val="000000"/>
                <w:kern w:val="0"/>
              </w:rPr>
              <w:t>本基金将根据各行业所处生命周期、行业景气度、产业竞争结构、近期发展趋势等方面因素对各行业的相对盈利能力及投资吸引力进行评价，考察净资产收益率、营运周期、销售收入、净利润等指标，对各行业的相对投资价值进行评估。本基金将重点投资于处于成长期和成熟期，行业景气良好，优先受益于国民经济增长和国家政策重点扶持的行业。</w:t>
            </w:r>
          </w:p>
          <w:p>
            <w:pPr>
              <w:adjustRightInd w:val="0"/>
              <w:spacing w:before="29" w:line="360" w:lineRule="auto"/>
              <w:ind w:left="17"/>
              <w:rPr>
                <w:rFonts w:eastAsiaTheme="minorEastAsia"/>
                <w:color w:themeColor="text1" w:val="000000"/>
              </w:rPr>
            </w:pPr>
            <w:r>
              <w:rPr>
                <w:rFonts w:eastAsiaTheme="minorEastAsia"/>
                <w:color w:themeColor="text1" w:val="000000"/>
                <w:kern w:val="0"/>
              </w:rPr>
              <w:t>3.股票投资策略</w:t>
            </w:r>
          </w:p>
          <w:p>
            <w:pPr>
              <w:adjustRightInd w:val="0"/>
              <w:spacing w:before="29" w:line="360" w:lineRule="auto"/>
              <w:ind w:left="17"/>
              <w:rPr>
                <w:rFonts w:eastAsiaTheme="minorEastAsia"/>
                <w:color w:themeColor="text1" w:val="000000"/>
              </w:rPr>
            </w:pPr>
            <w:r>
              <w:rPr>
                <w:rFonts w:eastAsiaTheme="minorEastAsia"/>
                <w:color w:themeColor="text1" w:val="000000"/>
                <w:kern w:val="0"/>
              </w:rPr>
              <w:t>本基金重点投资于在行业内占有领先地位、业绩良好且稳定增长、价值相对低估的大盘蓝筹公司股票，投资于大盘蓝筹股票的资产占股票资产的比例不低于80％。本基金所重点投资的大盘蓝筹股主要包括以下特征：1.具有相当大的规模；2.较强的盈利能力，收入和利润稳定增长；3.在行业内具有领先的地位；4.治理结构良好，管理规范，信息透明；5.具有一定的估值优势。</w:t>
            </w:r>
          </w:p>
          <w:p w14:paraId="57810DE4"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4.其他投资策略：包括固定收益类投资策略、可转换债券投资策略、权证投资策略、股指期货投资策略、存托凭证投资策略。</w:t>
            </w:r>
          </w:p>
        </w:tc>
      </w:tr>
      <w:tr w14:paraId="43AD7C9F" w14:textId="77777777" w:rsidR="00D06738" w:rsidRPr="00FF6B9A">
        <w:tc>
          <w:tcPr>
            <w:tcW w:type="dxa" w:w="2835"/>
            <w:vAlign w:val="center"/>
          </w:tcPr>
          <w:p w14:paraId="24E44D9B"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业绩比较基准</w:t>
            </w:r>
          </w:p>
        </w:tc>
        <w:tc>
          <w:tcPr>
            <w:tcW w:type="dxa" w:w="5479"/>
            <w:gridSpan w:val="2"/>
            <w:vAlign w:val="center"/>
          </w:tcPr>
          <w:p w14:paraId="6581E7FB"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沪深300指数收益率×85%+上证国债指数收益率×15%</w:t>
            </w:r>
          </w:p>
        </w:tc>
      </w:tr>
      <w:tr w14:paraId="42EA0DB3" w14:textId="77777777" w:rsidR="00D06738" w:rsidRPr="00FF6B9A">
        <w:tc>
          <w:tcPr>
            <w:tcW w:type="dxa" w:w="2835"/>
            <w:vAlign w:val="center"/>
          </w:tcPr>
          <w:p w14:paraId="7192C3F0"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风险收益特征</w:t>
            </w:r>
          </w:p>
        </w:tc>
        <w:tc>
          <w:tcPr>
            <w:tcW w:type="dxa" w:w="5479"/>
            <w:gridSpan w:val="2"/>
            <w:vAlign w:val="center"/>
          </w:tcPr>
          <w:p>
            <w:pPr>
              <w:adjustRightInd w:val="0"/>
              <w:spacing w:before="29" w:line="360" w:lineRule="auto"/>
              <w:ind w:left="17"/>
              <w:rPr>
                <w:rFonts w:eastAsiaTheme="minorEastAsia"/>
                <w:color w:themeColor="text1" w:val="000000"/>
              </w:rPr>
            </w:pPr>
            <w:r>
              <w:rPr>
                <w:rFonts w:eastAsiaTheme="minorEastAsia"/>
                <w:color w:themeColor="text1" w:val="000000"/>
                <w:kern w:val="0"/>
              </w:rPr>
              <w:t xml:space="preserve">本基金属于股票型基金产品，在开放式基金中，其预期风险和收益水平高于混合型基金、债券型基金和货币市场基金，属于风险水平较高的基金产品。 </w:t>
            </w:r>
          </w:p>
          <w:p w14:paraId="2673C8C6"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14:paraId="0A4AF1AB" w14:textId="77777777" w:rsidR="00D06738" w:rsidRPr="00FF6B9A">
        <w:tc>
          <w:tcPr>
            <w:tcW w:type="dxa" w:w="2835"/>
            <w:vAlign w:val="center"/>
          </w:tcPr>
          <w:p w14:paraId="281C6797"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基金管理人</w:t>
            </w:r>
          </w:p>
        </w:tc>
        <w:tc>
          <w:tcPr>
            <w:tcW w:type="dxa" w:w="5479"/>
            <w:gridSpan w:val="2"/>
            <w:vAlign w:val="center"/>
          </w:tcPr>
          <w:p w14:paraId="64BEE458"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上投摩根基金管理有限公司</w:t>
            </w:r>
          </w:p>
        </w:tc>
      </w:tr>
      <w:tr w14:paraId="76894E86" w14:textId="77777777" w:rsidR="00D06738" w:rsidRPr="00FF6B9A">
        <w:tc>
          <w:tcPr>
            <w:tcW w:type="dxa" w:w="2835"/>
            <w:vAlign w:val="center"/>
          </w:tcPr>
          <w:p w14:paraId="7825DD99"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基金托管人</w:t>
            </w:r>
          </w:p>
        </w:tc>
        <w:tc>
          <w:tcPr>
            <w:tcW w:type="dxa" w:w="5479"/>
            <w:gridSpan w:val="2"/>
            <w:vAlign w:val="center"/>
          </w:tcPr>
          <w:p w14:paraId="5FB3246D" w14:textId="77777777" w:rsidR="00D06738" w:rsidRDefault="00454D20" w:rsidRPr="00FF6B9A">
            <w:pPr>
              <w:adjustRightInd w:val="0"/>
              <w:spacing w:before="29" w:line="360" w:lineRule="auto"/>
              <w:ind w:left="17"/>
              <w:rPr>
                <w:rFonts w:eastAsiaTheme="minorEastAsia"/>
                <w:color w:themeColor="text1" w:val="00000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中国建设银行股份有限公司</w:t>
            </w:r>
          </w:p>
        </w:tc>
      </w:tr>
    </w:tbl>
    <w:p w14:paraId="0FD2B1FF" w14:textId="77777777" w:rsidR="00D06738" w:rsidRDefault="00454D20" w:rsidRPr="00FF6B9A">
      <w:pPr>
        <w:pStyle w:val="1"/>
        <w:spacing w:after="312" w:afterLines="100" w:before="312" w:beforeLines="100" w:line="360" w:lineRule="auto"/>
        <w:jc w:val="center"/>
        <w:rPr>
          <w:rFonts w:eastAsiaTheme="minorEastAsia"/>
          <w:color w:themeColor="text1" w:val="000000"/>
          <w:kern w:val="0"/>
          <w:sz w:val="24"/>
          <w:szCs w:val="24"/>
        </w:rPr>
      </w:pPr>
      <w:r w:rsidRPr="00FF6B9A">
        <w:rPr>
          <w:rFonts w:eastAsiaTheme="minorEastAsia"/>
          <w:color w:themeColor="text1" w:val="000000"/>
          <w:kern w:val="0"/>
          <w:sz w:val="24"/>
          <w:szCs w:val="24"/>
        </w:rPr>
        <w:t xml:space="preserve">§3  </w:t>
      </w:r>
      <w:r w:rsidRPr="00FF6B9A">
        <w:rPr>
          <w:rFonts w:eastAsiaTheme="minorEastAsia"/>
          <w:color w:themeColor="text1" w:val="000000"/>
          <w:kern w:val="0"/>
          <w:sz w:val="24"/>
          <w:szCs w:val="24"/>
        </w:rPr>
        <w:t>主要财务指标和基金净值表现</w:t>
      </w:r>
    </w:p>
    <w:p w14:paraId="210337B7"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3.1 </w:t>
      </w:r>
      <w:r w:rsidRPr="00FF6B9A">
        <w:rPr>
          <w:rFonts w:eastAsiaTheme="minorEastAsia"/>
          <w:b/>
          <w:bCs/>
          <w:color w:themeColor="text1" w:val="000000"/>
          <w:kern w:val="0"/>
          <w:sz w:val="24"/>
          <w:szCs w:val="24"/>
        </w:rPr>
        <w:t>主要财务指标</w:t>
      </w:r>
    </w:p>
    <w:p w14:paraId="137D242D"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02"/>
        <w:gridCol w:w="2552"/>
        <w:gridCol w:w="2410"/>
      </w:tblGrid>
      <w:tr w14:paraId="18A1FB51" w14:textId="77777777" w:rsidR="00D06738" w:rsidRPr="00FF6B9A">
        <w:tc>
          <w:tcPr>
            <w:tcW w:type="dxa" w:w="3402"/>
            <w:vAlign w:val="center"/>
          </w:tcPr>
          <w:p w14:paraId="42E18AC5" w14:textId="77777777" w:rsidR="00D06738" w:rsidRDefault="00454D20" w:rsidRPr="00FF6B9A">
            <w:pPr>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lastRenderedPageBreak/>
              <w:t>主要财务指标</w:t>
            </w: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
            </w:r>
          </w:p>
        </w:tc>
        <w:tc>
          <w:tcPr>
            <w:tcW w:type="dxa" w:w="4962"/>
            <w:hMerge w:val="restart"/>
            <w:vAlign w:val="center"/>
          </w:tcPr>
          <w:p w14:paraId="619578C9" w14:textId="77777777" w:rsidR="00D06738" w:rsidRDefault="00454D20" w:rsidRPr="00FF6B9A">
            <w:pPr>
              <w:adjustRightInd w:val="0"/>
              <w:spacing w:before="29" w:line="360" w:lineRule="auto"/>
              <w:ind w:left="17"/>
              <w:jc w:val="center"/>
              <w:rPr>
                <w:rFonts w:eastAsiaTheme="minorEastAsia"/>
                <w:color w:themeColor="text1" w:val="000000"/>
              </w:rPr>
            </w:pPr>
            <w:r w:rsidRPr="00FF6B9A">
              <w:rPr>
                <w:rFonts w:eastAsiaTheme="minorEastAsia"/>
                <w:color w:themeColor="text1" w:val="000000"/>
              </w:rPr>
              <w:t>报告期</w:t>
            </w:r>
          </w:p>
          <w:p w14:paraId="3E47B353" w14:textId="77777777" w:rsidR="00D06738" w:rsidRDefault="00454D20" w:rsidRPr="00FF6B9A">
            <w:pPr>
              <w:adjustRightInd w:val="0"/>
              <w:spacing w:before="29" w:line="360" w:lineRule="auto"/>
              <w:ind w:left="17"/>
              <w:jc w:val="center"/>
              <w:rPr>
                <w:rFonts w:eastAsiaTheme="minorEastAsia"/>
                <w:color w:themeColor="text1" w:val="000000"/>
              </w:rPr>
            </w:pPr>
            <w:r w:rsidRPr="00FF6B9A">
              <w:rPr>
                <w:rFonts w:eastAsiaTheme="minorEastAsia"/>
                <w:color w:themeColor="text1" w:val="000000"/>
              </w:rPr>
              <w:t>(</w:t>
            </w:r>
            <w:proofErr w:type="spellStart"/>
            <w:r w:rsidRPr="00FF6B9A">
              <w:rPr>
                <w:rFonts w:eastAsiaTheme="minorEastAsia"/>
                <w:color w:themeColor="text1" w:val="000000"/>
              </w:rPr>
              <w:t/>
            </w:r>
            <w:proofErr w:type="spellEnd"/>
            <w:r w:rsidRPr="00FF6B9A">
              <w:rPr>
                <w:rFonts w:eastAsiaTheme="minorEastAsia"/>
                <w:color w:themeColor="text1" w:val="000000"/>
              </w:rPr>
              <w:t>2021年7月1日-</w:t>
            </w:r>
            <w:proofErr w:type="spellStart"/>
            <w:r w:rsidRPr="00FF6B9A">
              <w:rPr>
                <w:rFonts w:eastAsiaTheme="minorEastAsia"/>
                <w:color w:themeColor="text1" w:val="000000"/>
              </w:rPr>
              <w:t/>
            </w:r>
            <w:proofErr w:type="spellEnd"/>
            <w:r w:rsidRPr="00FF6B9A">
              <w:rPr>
                <w:rFonts w:eastAsiaTheme="minorEastAsia"/>
                <w:color w:themeColor="text1" w:val="000000"/>
              </w:rPr>
              <w:t>2021年9月30日)</w:t>
            </w:r>
          </w:p>
        </w:tc>
        <w:tc>
          <w:tcPr>
            <w:tcW w:type="dxa" w:w="2410"/>
            <w:hMerge/>
            <w:vAlign w:val="center"/>
          </w:tcPr>
          <w:p w14:paraId="5FB75E1A" w14:textId="77777777" w:rsidR="00D06738" w:rsidRDefault="00454D20" w:rsidRPr="00FF6B9A">
            <w:pPr>
              <w:adjustRightInd w:val="0"/>
              <w:spacing w:before="29" w:line="360" w:lineRule="auto"/>
              <w:ind w:left="17"/>
              <w:jc w:val="center"/>
              <w:rPr>
                <w:rFonts w:eastAsiaTheme="minorEastAsia"/>
                <w:color w:themeColor="text1" w:val="000000"/>
              </w:rPr>
            </w:pPr>
            <w:r w:rsidRPr="00FF6B9A">
              <w:rPr>
                <w:rFonts w:eastAsiaTheme="minorEastAsia"/>
                <w:color w:themeColor="text1" w:val="000000"/>
              </w:rPr>
              <w:t>上期金额</w:t>
            </w: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
            </w:r>
          </w:p>
        </w:tc>
      </w:tr>
      <w:tr w14:paraId="221834C8" w14:textId="77777777" w:rsidR="00D06738" w:rsidRPr="00FF6B9A">
        <w:tc>
          <w:tcPr>
            <w:tcW w:type="dxa" w:w="3402"/>
            <w:vAlign w:val="center"/>
          </w:tcPr>
          <w:p w14:paraId="19330D2C"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1.</w:t>
            </w:r>
            <w:r w:rsidRPr="00FF6B9A">
              <w:rPr>
                <w:rFonts w:eastAsiaTheme="minorEastAsia"/>
                <w:color w:themeColor="text1" w:val="000000"/>
                <w:kern w:val="0"/>
              </w:rPr>
              <w:t>本期已实现收益</w:t>
            </w:r>
          </w:p>
        </w:tc>
        <w:tc>
          <w:tcPr>
            <w:tcW w:type="dxa" w:w="4962"/>
            <w:hMerge w:val="restart"/>
            <w:vAlign w:val="center"/>
          </w:tcPr>
          <w:p w14:paraId="568D140B"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48,713,483.67</w:t>
            </w:r>
          </w:p>
        </w:tc>
        <w:tc>
          <w:tcPr>
            <w:tcW w:type="dxa" w:w="2410"/>
            <w:hMerge/>
            <w:vAlign w:val="center"/>
          </w:tcPr>
          <w:p w14:paraId="7D46D9A3"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w:t>
            </w:r>
          </w:p>
        </w:tc>
      </w:tr>
      <w:tr w14:paraId="10AEC81A" w14:textId="77777777" w:rsidR="00D06738" w:rsidRPr="00FF6B9A">
        <w:tc>
          <w:tcPr>
            <w:tcW w:type="dxa" w:w="3402"/>
            <w:vAlign w:val="center"/>
          </w:tcPr>
          <w:p w14:paraId="15ADAC28"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2.</w:t>
            </w:r>
            <w:r w:rsidRPr="00FF6B9A">
              <w:rPr>
                <w:rFonts w:eastAsiaTheme="minorEastAsia"/>
                <w:color w:themeColor="text1" w:val="000000"/>
                <w:kern w:val="0"/>
              </w:rPr>
              <w:t>本期利润</w:t>
            </w:r>
          </w:p>
        </w:tc>
        <w:tc>
          <w:tcPr>
            <w:tcW w:type="dxa" w:w="4962"/>
            <w:hMerge w:val="restart"/>
            <w:vAlign w:val="center"/>
          </w:tcPr>
          <w:p w14:paraId="42B249A8"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11,196,744.26</w:t>
            </w:r>
          </w:p>
        </w:tc>
        <w:tc>
          <w:tcPr>
            <w:tcW w:type="dxa" w:w="2410"/>
            <w:hMerge/>
            <w:vAlign w:val="center"/>
          </w:tcPr>
          <w:p w14:paraId="4CC084AD"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w:t>
            </w:r>
          </w:p>
        </w:tc>
      </w:tr>
      <w:tr w14:paraId="5C8E1F6F" w14:textId="77777777" w:rsidR="00D06738" w:rsidRPr="00FF6B9A">
        <w:tc>
          <w:tcPr>
            <w:tcW w:type="dxa" w:w="3402"/>
            <w:vAlign w:val="center"/>
          </w:tcPr>
          <w:p w14:paraId="1C3F4C76"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3.</w:t>
            </w:r>
            <w:r w:rsidRPr="00FF6B9A">
              <w:rPr>
                <w:rFonts w:eastAsiaTheme="minorEastAsia"/>
                <w:color w:themeColor="text1" w:val="000000"/>
                <w:kern w:val="0"/>
              </w:rPr>
              <w:t>加权平均基金份额本期利润</w:t>
            </w:r>
          </w:p>
        </w:tc>
        <w:tc>
          <w:tcPr>
            <w:tcW w:type="dxa" w:w="4962"/>
            <w:hMerge w:val="restart"/>
            <w:vAlign w:val="center"/>
          </w:tcPr>
          <w:p w14:paraId="43651B7D"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0.0986</w:t>
            </w:r>
          </w:p>
        </w:tc>
        <w:tc>
          <w:tcPr>
            <w:tcW w:type="dxa" w:w="2410"/>
            <w:hMerge/>
            <w:vAlign w:val="center"/>
          </w:tcPr>
          <w:p w14:paraId="18DC7556"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w:t>
            </w:r>
          </w:p>
        </w:tc>
      </w:tr>
      <w:tr w14:paraId="19975AED" w14:textId="77777777" w:rsidR="00D06738" w:rsidRPr="00FF6B9A">
        <w:tc>
          <w:tcPr>
            <w:tcW w:type="dxa" w:w="3402"/>
            <w:vAlign w:val="center"/>
          </w:tcPr>
          <w:p w14:paraId="5358D232"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4.</w:t>
            </w:r>
            <w:r w:rsidRPr="00FF6B9A">
              <w:rPr>
                <w:rFonts w:eastAsiaTheme="minorEastAsia"/>
                <w:color w:themeColor="text1" w:val="000000"/>
                <w:kern w:val="0"/>
              </w:rPr>
              <w:t>期末基金资产净值</w:t>
            </w:r>
          </w:p>
        </w:tc>
        <w:tc>
          <w:tcPr>
            <w:tcW w:type="dxa" w:w="4962"/>
            <w:hMerge w:val="restart"/>
            <w:vAlign w:val="center"/>
          </w:tcPr>
          <w:p w14:paraId="11849F16"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376,479,877.88</w:t>
            </w:r>
          </w:p>
        </w:tc>
        <w:tc>
          <w:tcPr>
            <w:tcW w:type="dxa" w:w="2410"/>
            <w:hMerge/>
            <w:vAlign w:val="center"/>
          </w:tcPr>
          <w:p w14:paraId="27D7B715"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w:t>
            </w:r>
          </w:p>
        </w:tc>
      </w:tr>
      <w:tr w14:paraId="5BC36451" w14:textId="77777777" w:rsidR="00D06738" w:rsidRPr="00FF6B9A">
        <w:trPr>
          <w:trHeight w:val="158"/>
        </w:trPr>
        <w:tc>
          <w:tcPr>
            <w:tcW w:type="dxa" w:w="3402"/>
            <w:vAlign w:val="center"/>
          </w:tcPr>
          <w:p w14:paraId="5E87F5B6" w14:textId="77777777" w:rsidR="00D06738" w:rsidRDefault="00454D20" w:rsidRPr="00FF6B9A">
            <w:pPr>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5.</w:t>
            </w:r>
            <w:r w:rsidRPr="00FF6B9A">
              <w:rPr>
                <w:rFonts w:eastAsiaTheme="minorEastAsia"/>
                <w:color w:themeColor="text1" w:val="000000"/>
                <w:kern w:val="0"/>
              </w:rPr>
              <w:t>期末基金份额净值</w:t>
            </w:r>
          </w:p>
        </w:tc>
        <w:tc>
          <w:tcPr>
            <w:tcW w:type="dxa" w:w="4962"/>
            <w:hMerge w:val="restart"/>
            <w:vAlign w:val="center"/>
          </w:tcPr>
          <w:p w14:paraId="20EA2920"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3.3923</w:t>
            </w:r>
          </w:p>
        </w:tc>
        <w:tc>
          <w:tcPr>
            <w:tcW w:type="dxa" w:w="2410"/>
            <w:hMerge/>
            <w:vAlign w:val="center"/>
          </w:tcPr>
          <w:p w14:paraId="52387A94" w14:textId="77777777" w:rsidR="00D06738" w:rsidRDefault="00454D20" w:rsidRPr="00FF6B9A">
            <w:pPr>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w:t>
            </w:r>
          </w:p>
        </w:tc>
      </w:tr>
    </w:tbl>
    <w:p>
      <w:pPr>
        <w:autoSpaceDE w:val="0"/>
        <w:autoSpaceDN w:val="0"/>
        <w:adjustRightInd w:val="0"/>
        <w:spacing w:line="360" w:lineRule="auto"/>
        <w:jc w:val="left"/>
        <w:rPr>
          <w:rFonts w:eastAsiaTheme="minorEastAsia"/>
          <w:color w:themeColor="text1" w:val="000000"/>
        </w:rPr>
      </w:pPr>
      <w:r>
        <w:rPr>
          <w:rFonts w:eastAsiaTheme="minorEastAsia"/>
          <w:color w:themeColor="text1" w:val="000000"/>
        </w:rPr>
        <w:t xml:space="preserve">注：本期已实现收益指基金本期利息收入、投资收益、其他收入(不含公允价值变动收益)扣除相关费用后的余额，本期利润为本期已实现收益加上本期公允价值变动收益。 </w:t>
      </w:r>
    </w:p>
    <w:p w14:paraId="71EC6E7C"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上述基金业绩指标不包括持有人认购或交易基金的各项费用（例如，开放式基金的申购赎回费、红利再投资费、基金转换费等），计入费用后实际收益水平要低于所列数字。</w:t>
      </w:r>
    </w:p>
    <w:p w14:paraId="16577CF1"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3560E0A0"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3.2 </w:t>
      </w:r>
      <w:r w:rsidRPr="00FF6B9A">
        <w:rPr>
          <w:rFonts w:eastAsiaTheme="minorEastAsia"/>
          <w:b/>
          <w:bCs/>
          <w:color w:themeColor="text1" w:val="000000"/>
          <w:kern w:val="0"/>
          <w:sz w:val="24"/>
          <w:szCs w:val="24"/>
        </w:rPr>
        <w:t>基金净值表现</w:t>
      </w:r>
    </w:p>
    <w:p w14:paraId="60962101"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3.2.1 </w:t>
      </w:r>
      <w:r w:rsidRPr="00FF6B9A">
        <w:rPr>
          <w:rFonts w:eastAsiaTheme="minorEastAsia"/>
          <w:b/>
          <w:bCs/>
          <w:color w:themeColor="text1" w:val="000000"/>
          <w:kern w:val="0"/>
          <w:sz w:val="24"/>
          <w:szCs w:val="24"/>
        </w:rPr>
        <w:t>本报告</w:t>
      </w:r>
      <w:proofErr w:type="gramStart"/>
      <w:r w:rsidRPr="00FF6B9A">
        <w:rPr>
          <w:rFonts w:eastAsiaTheme="minorEastAsia"/>
          <w:b/>
          <w:bCs/>
          <w:color w:themeColor="text1" w:val="000000"/>
          <w:kern w:val="0"/>
          <w:sz w:val="24"/>
          <w:szCs w:val="24"/>
        </w:rPr>
        <w:t>期基金</w:t>
      </w:r>
      <w:proofErr w:type="gramEnd"/>
      <w:r w:rsidRPr="00FF6B9A">
        <w:rPr>
          <w:rFonts w:eastAsiaTheme="minorEastAsia"/>
          <w:b/>
          <w:bCs/>
          <w:color w:themeColor="text1" w:val="000000"/>
          <w:kern w:val="0"/>
          <w:sz w:val="24"/>
          <w:szCs w:val="24"/>
        </w:rPr>
        <w:t>份额净值增长率及其与同期业绩比较基准收益率的比较</w:t>
      </w:r>
    </w:p>
    <w:tbl>
      <w:tblPr>
        <w:tblStyle w:val="aff4"/>
        <w:tblW w:type="dxa" w:w="8420"/>
        <w:tblInd w:type="dxa" w:w="108"/>
        <w:tblLayout w:type="fixed"/>
        <w:tblLook w:firstColumn="1" w:firstRow="1" w:lastColumn="0" w:lastRow="0" w:noHBand="0" w:noVBand="1" w:val="04A0"/>
      </w:tblPr>
      <w:tblGrid>
        <w:gridCol w:w="1395"/>
        <w:gridCol w:w="1092"/>
        <w:gridCol w:w="1161"/>
        <w:gridCol w:w="1181"/>
        <w:gridCol w:w="1188"/>
        <w:gridCol w:w="1199"/>
        <w:gridCol w:w="1204"/>
      </w:tblGrid>
      <w:tr w14:paraId="3CB029CE" w14:textId="77777777" w:rsidR="00D06738" w:rsidRPr="00FF6B9A">
        <w:tc>
          <w:tcPr>
            <w:tcW w:type="dxa" w:w="1395"/>
            <w:vAlign w:val="center"/>
          </w:tcPr>
          <w:p w14:paraId="7A7D1D1E"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阶段</w:t>
            </w: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
            </w:r>
          </w:p>
        </w:tc>
        <w:tc>
          <w:tcPr>
            <w:tcW w:type="dxa" w:w="1092"/>
            <w:vAlign w:val="center"/>
          </w:tcPr>
          <w:p w14:paraId="2CD30E79"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净值增长率</w:t>
            </w:r>
            <w:r w:rsidRPr="00FF6B9A">
              <w:rPr>
                <w:rFonts w:ascii="宋体" w:cs="宋体" w:hAnsi="宋体" w:hint="eastAsia"/>
                <w:color w:themeColor="text1" w:val="000000"/>
                <w:kern w:val="0"/>
              </w:rPr>
              <w:t>①</w:t>
            </w:r>
          </w:p>
        </w:tc>
        <w:tc>
          <w:tcPr>
            <w:tcW w:type="dxa" w:w="1161"/>
            <w:vAlign w:val="center"/>
          </w:tcPr>
          <w:p w14:paraId="37DEF420"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净值增长率标准差</w:t>
            </w:r>
            <w:r w:rsidRPr="00FF6B9A">
              <w:rPr>
                <w:rFonts w:ascii="宋体" w:cs="宋体" w:hAnsi="宋体" w:hint="eastAsia"/>
                <w:color w:themeColor="text1" w:val="000000"/>
                <w:kern w:val="0"/>
              </w:rPr>
              <w:t>②</w:t>
            </w:r>
          </w:p>
        </w:tc>
        <w:tc>
          <w:tcPr>
            <w:tcW w:type="dxa" w:w="1181"/>
            <w:vAlign w:val="center"/>
          </w:tcPr>
          <w:p w14:paraId="7F4843FE"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业绩比较基准收益率</w:t>
            </w:r>
            <w:r w:rsidRPr="00FF6B9A">
              <w:rPr>
                <w:rFonts w:ascii="宋体" w:cs="宋体" w:hAnsi="宋体" w:hint="eastAsia"/>
                <w:color w:themeColor="text1" w:val="000000"/>
                <w:kern w:val="0"/>
              </w:rPr>
              <w:t>③</w:t>
            </w:r>
          </w:p>
        </w:tc>
        <w:tc>
          <w:tcPr>
            <w:tcW w:type="dxa" w:w="1188"/>
            <w:vAlign w:val="center"/>
          </w:tcPr>
          <w:p w14:paraId="12655559"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业绩比较基准收益率标准差</w:t>
            </w:r>
            <w:r w:rsidRPr="00FF6B9A">
              <w:rPr>
                <w:rFonts w:ascii="宋体" w:cs="宋体" w:hAnsi="宋体" w:hint="eastAsia"/>
                <w:color w:themeColor="text1" w:val="000000"/>
                <w:kern w:val="0"/>
              </w:rPr>
              <w:t>④</w:t>
            </w:r>
          </w:p>
        </w:tc>
        <w:tc>
          <w:tcPr>
            <w:tcW w:type="dxa" w:w="1199"/>
            <w:vAlign w:val="center"/>
          </w:tcPr>
          <w:p w14:paraId="5487E45D"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ascii="宋体" w:cs="宋体" w:hAnsi="宋体" w:hint="eastAsia"/>
                <w:color w:themeColor="text1" w:val="000000"/>
                <w:kern w:val="0"/>
              </w:rPr>
              <w:t>①</w:t>
            </w:r>
            <w:r w:rsidRPr="00FF6B9A">
              <w:rPr>
                <w:rFonts w:eastAsiaTheme="minorEastAsia"/>
                <w:color w:themeColor="text1" w:val="000000"/>
                <w:kern w:val="0"/>
              </w:rPr>
              <w:t>-</w:t>
            </w:r>
            <w:r w:rsidRPr="00FF6B9A">
              <w:rPr>
                <w:rFonts w:ascii="宋体" w:cs="宋体" w:hAnsi="宋体" w:hint="eastAsia"/>
                <w:color w:themeColor="text1" w:val="000000"/>
                <w:kern w:val="0"/>
              </w:rPr>
              <w:t>③</w:t>
            </w:r>
          </w:p>
        </w:tc>
        <w:tc>
          <w:tcPr>
            <w:tcW w:type="dxa" w:w="1204"/>
            <w:vAlign w:val="center"/>
          </w:tcPr>
          <w:p w14:paraId="7C50A3FD"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ascii="宋体" w:cs="宋体" w:hAnsi="宋体" w:hint="eastAsia"/>
                <w:color w:themeColor="text1" w:val="000000"/>
                <w:kern w:val="0"/>
              </w:rPr>
              <w:t>②</w:t>
            </w:r>
            <w:r w:rsidRPr="00FF6B9A">
              <w:rPr>
                <w:rFonts w:eastAsiaTheme="minorEastAsia"/>
                <w:color w:themeColor="text1" w:val="000000"/>
                <w:kern w:val="0"/>
              </w:rPr>
              <w:t>-</w:t>
            </w:r>
            <w:r w:rsidRPr="00FF6B9A">
              <w:rPr>
                <w:rFonts w:ascii="宋体" w:cs="宋体" w:hAnsi="宋体" w:hint="eastAsia"/>
                <w:color w:themeColor="text1" w:val="000000"/>
                <w:kern w:val="0"/>
              </w:rPr>
              <w:t>④</w:t>
            </w:r>
          </w:p>
        </w:tc>
      </w:tr>
      <w:tr>
        <w:tc>
          <w:tcPr>
            <w:vAlign w:val="center"/>
          </w:tcPr>
          <w:p>
            <w:pPr>
              <w:jc w:val="left"/>
            </w:pPr>
            <w:r>
              <w:rPr>
                <w:rFonts w:eastAsiaTheme="minorEastAsia"/>
                <w:color w:themeColor="text1" w:val="000000"/>
                <w:kern w:val="0"/>
              </w:rPr>
              <w:t>过去三个月</w:t>
            </w:r>
          </w:p>
        </w:tc>
        <w:tc>
          <w:tcPr>
            <w:vAlign w:val="center"/>
          </w:tcPr>
          <w:p>
            <w:pPr>
              <w:jc w:val="center"/>
            </w:pPr>
            <w:r>
              <w:rPr>
                <w:rFonts w:eastAsiaTheme="minorEastAsia"/>
                <w:color w:themeColor="text1" w:val="000000"/>
                <w:kern w:val="0"/>
              </w:rPr>
              <w:t>2.54%</w:t>
            </w:r>
          </w:p>
        </w:tc>
        <w:tc>
          <w:tcPr>
            <w:vAlign w:val="center"/>
          </w:tcPr>
          <w:p>
            <w:pPr>
              <w:jc w:val="center"/>
            </w:pPr>
            <w:r>
              <w:rPr>
                <w:rFonts w:eastAsiaTheme="minorEastAsia"/>
                <w:color w:themeColor="text1" w:val="000000"/>
                <w:kern w:val="0"/>
              </w:rPr>
              <w:t>1.89%</w:t>
            </w:r>
          </w:p>
        </w:tc>
        <w:tc>
          <w:tcPr>
            <w:vAlign w:val="center"/>
          </w:tcPr>
          <w:p>
            <w:pPr>
              <w:jc w:val="center"/>
            </w:pPr>
            <w:r>
              <w:rPr>
                <w:rFonts w:eastAsiaTheme="minorEastAsia"/>
                <w:color w:themeColor="text1" w:val="000000"/>
                <w:kern w:val="0"/>
              </w:rPr>
              <w:t>-5.60%</w:t>
            </w:r>
          </w:p>
        </w:tc>
        <w:tc>
          <w:tcPr>
            <w:vAlign w:val="center"/>
          </w:tcPr>
          <w:p>
            <w:pPr>
              <w:jc w:val="center"/>
            </w:pPr>
            <w:r>
              <w:rPr>
                <w:rFonts w:eastAsiaTheme="minorEastAsia"/>
                <w:color w:themeColor="text1" w:val="000000"/>
                <w:kern w:val="0"/>
              </w:rPr>
              <w:t>1.02%</w:t>
            </w:r>
          </w:p>
        </w:tc>
        <w:tc>
          <w:tcPr>
            <w:vAlign w:val="center"/>
          </w:tcPr>
          <w:p>
            <w:pPr>
              <w:jc w:val="center"/>
            </w:pPr>
            <w:r>
              <w:rPr>
                <w:rFonts w:eastAsiaTheme="minorEastAsia"/>
                <w:color w:themeColor="text1" w:val="000000"/>
                <w:kern w:val="0"/>
              </w:rPr>
              <w:t>8.14%</w:t>
            </w:r>
          </w:p>
        </w:tc>
        <w:tc>
          <w:tcPr>
            <w:vAlign w:val="center"/>
          </w:tcPr>
          <w:p>
            <w:pPr>
              <w:jc w:val="center"/>
            </w:pPr>
            <w:r>
              <w:rPr>
                <w:rFonts w:eastAsiaTheme="minorEastAsia"/>
                <w:color w:themeColor="text1" w:val="000000"/>
                <w:kern w:val="0"/>
              </w:rPr>
              <w:t>0.87%</w:t>
            </w:r>
          </w:p>
        </w:tc>
      </w:tr>
      <w:tr>
        <w:tc>
          <w:tcPr>
            <w:vAlign w:val="center"/>
          </w:tcPr>
          <w:p>
            <w:pPr>
              <w:jc w:val="left"/>
            </w:pPr>
            <w:r>
              <w:rPr>
                <w:rFonts w:eastAsiaTheme="minorEastAsia"/>
                <w:color w:themeColor="text1" w:val="000000"/>
                <w:kern w:val="0"/>
              </w:rPr>
              <w:t>过去六个月</w:t>
            </w:r>
          </w:p>
        </w:tc>
        <w:tc>
          <w:tcPr>
            <w:vAlign w:val="center"/>
          </w:tcPr>
          <w:p>
            <w:pPr>
              <w:jc w:val="center"/>
            </w:pPr>
            <w:r>
              <w:rPr>
                <w:rFonts w:eastAsiaTheme="minorEastAsia"/>
                <w:color w:themeColor="text1" w:val="000000"/>
                <w:kern w:val="0"/>
              </w:rPr>
              <w:t>12.73%</w:t>
            </w:r>
          </w:p>
        </w:tc>
        <w:tc>
          <w:tcPr>
            <w:vAlign w:val="center"/>
          </w:tcPr>
          <w:p>
            <w:pPr>
              <w:jc w:val="center"/>
            </w:pPr>
            <w:r>
              <w:rPr>
                <w:rFonts w:eastAsiaTheme="minorEastAsia"/>
                <w:color w:themeColor="text1" w:val="000000"/>
                <w:kern w:val="0"/>
              </w:rPr>
              <w:t>1.49%</w:t>
            </w:r>
          </w:p>
        </w:tc>
        <w:tc>
          <w:tcPr>
            <w:vAlign w:val="center"/>
          </w:tcPr>
          <w:p>
            <w:pPr>
              <w:jc w:val="center"/>
            </w:pPr>
            <w:r>
              <w:rPr>
                <w:rFonts w:eastAsiaTheme="minorEastAsia"/>
                <w:color w:themeColor="text1" w:val="000000"/>
                <w:kern w:val="0"/>
              </w:rPr>
              <w:t>-2.71%</w:t>
            </w:r>
          </w:p>
        </w:tc>
        <w:tc>
          <w:tcPr>
            <w:vAlign w:val="center"/>
          </w:tcPr>
          <w:p>
            <w:pPr>
              <w:jc w:val="center"/>
            </w:pPr>
            <w:r>
              <w:rPr>
                <w:rFonts w:eastAsiaTheme="minorEastAsia"/>
                <w:color w:themeColor="text1" w:val="000000"/>
                <w:kern w:val="0"/>
              </w:rPr>
              <w:t>0.93%</w:t>
            </w:r>
          </w:p>
        </w:tc>
        <w:tc>
          <w:tcPr>
            <w:vAlign w:val="center"/>
          </w:tcPr>
          <w:p>
            <w:pPr>
              <w:jc w:val="center"/>
            </w:pPr>
            <w:r>
              <w:rPr>
                <w:rFonts w:eastAsiaTheme="minorEastAsia"/>
                <w:color w:themeColor="text1" w:val="000000"/>
                <w:kern w:val="0"/>
              </w:rPr>
              <w:t>15.44%</w:t>
            </w:r>
          </w:p>
        </w:tc>
        <w:tc>
          <w:tcPr>
            <w:vAlign w:val="center"/>
          </w:tcPr>
          <w:p>
            <w:pPr>
              <w:jc w:val="center"/>
            </w:pPr>
            <w:r>
              <w:rPr>
                <w:rFonts w:eastAsiaTheme="minorEastAsia"/>
                <w:color w:themeColor="text1" w:val="000000"/>
                <w:kern w:val="0"/>
              </w:rPr>
              <w:t>0.56%</w:t>
            </w:r>
          </w:p>
        </w:tc>
      </w:tr>
      <w:tr>
        <w:tc>
          <w:tcPr>
            <w:vAlign w:val="center"/>
          </w:tcPr>
          <w:p>
            <w:pPr>
              <w:jc w:val="left"/>
            </w:pPr>
            <w:r>
              <w:rPr>
                <w:rFonts w:eastAsiaTheme="minorEastAsia"/>
                <w:color w:themeColor="text1" w:val="000000"/>
                <w:kern w:val="0"/>
              </w:rPr>
              <w:t>过去一年</w:t>
            </w:r>
          </w:p>
        </w:tc>
        <w:tc>
          <w:tcPr>
            <w:vAlign w:val="center"/>
          </w:tcPr>
          <w:p>
            <w:pPr>
              <w:jc w:val="center"/>
            </w:pPr>
            <w:r>
              <w:rPr>
                <w:rFonts w:eastAsiaTheme="minorEastAsia"/>
                <w:color w:themeColor="text1" w:val="000000"/>
                <w:kern w:val="0"/>
              </w:rPr>
              <w:t>27.72%</w:t>
            </w:r>
          </w:p>
        </w:tc>
        <w:tc>
          <w:tcPr>
            <w:vAlign w:val="center"/>
          </w:tcPr>
          <w:p>
            <w:pPr>
              <w:jc w:val="center"/>
            </w:pPr>
            <w:r>
              <w:rPr>
                <w:rFonts w:eastAsiaTheme="minorEastAsia"/>
                <w:color w:themeColor="text1" w:val="000000"/>
                <w:kern w:val="0"/>
              </w:rPr>
              <w:t>1.44%</w:t>
            </w:r>
          </w:p>
        </w:tc>
        <w:tc>
          <w:tcPr>
            <w:vAlign w:val="center"/>
          </w:tcPr>
          <w:p>
            <w:pPr>
              <w:jc w:val="center"/>
            </w:pPr>
            <w:r>
              <w:rPr>
                <w:rFonts w:eastAsiaTheme="minorEastAsia"/>
                <w:color w:themeColor="text1" w:val="000000"/>
                <w:kern w:val="0"/>
              </w:rPr>
              <w:t>5.71%</w:t>
            </w:r>
          </w:p>
        </w:tc>
        <w:tc>
          <w:tcPr>
            <w:vAlign w:val="center"/>
          </w:tcPr>
          <w:p>
            <w:pPr>
              <w:jc w:val="center"/>
            </w:pPr>
            <w:r>
              <w:rPr>
                <w:rFonts w:eastAsiaTheme="minorEastAsia"/>
                <w:color w:themeColor="text1" w:val="000000"/>
                <w:kern w:val="0"/>
              </w:rPr>
              <w:t>1.03%</w:t>
            </w:r>
          </w:p>
        </w:tc>
        <w:tc>
          <w:tcPr>
            <w:vAlign w:val="center"/>
          </w:tcPr>
          <w:p>
            <w:pPr>
              <w:jc w:val="center"/>
            </w:pPr>
            <w:r>
              <w:rPr>
                <w:rFonts w:eastAsiaTheme="minorEastAsia"/>
                <w:color w:themeColor="text1" w:val="000000"/>
                <w:kern w:val="0"/>
              </w:rPr>
              <w:t>22.01%</w:t>
            </w:r>
          </w:p>
        </w:tc>
        <w:tc>
          <w:tcPr>
            <w:vAlign w:val="center"/>
          </w:tcPr>
          <w:p>
            <w:pPr>
              <w:jc w:val="center"/>
            </w:pPr>
            <w:r>
              <w:rPr>
                <w:rFonts w:eastAsiaTheme="minorEastAsia"/>
                <w:color w:themeColor="text1" w:val="000000"/>
                <w:kern w:val="0"/>
              </w:rPr>
              <w:t>0.41%</w:t>
            </w:r>
          </w:p>
        </w:tc>
      </w:tr>
      <w:tr>
        <w:tc>
          <w:tcPr>
            <w:vAlign w:val="center"/>
          </w:tcPr>
          <w:p>
            <w:pPr>
              <w:jc w:val="left"/>
            </w:pPr>
            <w:r>
              <w:rPr>
                <w:rFonts w:eastAsiaTheme="minorEastAsia"/>
                <w:color w:themeColor="text1" w:val="000000"/>
                <w:kern w:val="0"/>
              </w:rPr>
              <w:t>过去三年</w:t>
            </w:r>
          </w:p>
        </w:tc>
        <w:tc>
          <w:tcPr>
            <w:vAlign w:val="center"/>
          </w:tcPr>
          <w:p>
            <w:pPr>
              <w:jc w:val="center"/>
            </w:pPr>
            <w:r>
              <w:rPr>
                <w:rFonts w:eastAsiaTheme="minorEastAsia"/>
                <w:color w:themeColor="text1" w:val="000000"/>
                <w:kern w:val="0"/>
              </w:rPr>
              <w:t>127.82%</w:t>
            </w:r>
          </w:p>
        </w:tc>
        <w:tc>
          <w:tcPr>
            <w:vAlign w:val="center"/>
          </w:tcPr>
          <w:p>
            <w:pPr>
              <w:jc w:val="center"/>
            </w:pPr>
            <w:r>
              <w:rPr>
                <w:rFonts w:eastAsiaTheme="minorEastAsia"/>
                <w:color w:themeColor="text1" w:val="000000"/>
                <w:kern w:val="0"/>
              </w:rPr>
              <w:t>1.41%</w:t>
            </w:r>
          </w:p>
        </w:tc>
        <w:tc>
          <w:tcPr>
            <w:vAlign w:val="center"/>
          </w:tcPr>
          <w:p>
            <w:pPr>
              <w:jc w:val="center"/>
            </w:pPr>
            <w:r>
              <w:rPr>
                <w:rFonts w:eastAsiaTheme="minorEastAsia"/>
                <w:color w:themeColor="text1" w:val="000000"/>
                <w:kern w:val="0"/>
              </w:rPr>
              <w:t>37.32%</w:t>
            </w:r>
          </w:p>
        </w:tc>
        <w:tc>
          <w:tcPr>
            <w:vAlign w:val="center"/>
          </w:tcPr>
          <w:p>
            <w:pPr>
              <w:jc w:val="center"/>
            </w:pPr>
            <w:r>
              <w:rPr>
                <w:rFonts w:eastAsiaTheme="minorEastAsia"/>
                <w:color w:themeColor="text1" w:val="000000"/>
                <w:kern w:val="0"/>
              </w:rPr>
              <w:t>1.15%</w:t>
            </w:r>
          </w:p>
        </w:tc>
        <w:tc>
          <w:tcPr>
            <w:vAlign w:val="center"/>
          </w:tcPr>
          <w:p>
            <w:pPr>
              <w:jc w:val="center"/>
            </w:pPr>
            <w:r>
              <w:rPr>
                <w:rFonts w:eastAsiaTheme="minorEastAsia"/>
                <w:color w:themeColor="text1" w:val="000000"/>
                <w:kern w:val="0"/>
              </w:rPr>
              <w:t>90.50%</w:t>
            </w:r>
          </w:p>
        </w:tc>
        <w:tc>
          <w:tcPr>
            <w:vAlign w:val="center"/>
          </w:tcPr>
          <w:p>
            <w:pPr>
              <w:jc w:val="center"/>
            </w:pPr>
            <w:r>
              <w:rPr>
                <w:rFonts w:eastAsiaTheme="minorEastAsia"/>
                <w:color w:themeColor="text1" w:val="000000"/>
                <w:kern w:val="0"/>
              </w:rPr>
              <w:t>0.26%</w:t>
            </w:r>
          </w:p>
        </w:tc>
      </w:tr>
      <w:tr>
        <w:tc>
          <w:tcPr>
            <w:vAlign w:val="center"/>
          </w:tcPr>
          <w:p>
            <w:pPr>
              <w:jc w:val="left"/>
            </w:pPr>
            <w:r>
              <w:rPr>
                <w:rFonts w:eastAsiaTheme="minorEastAsia"/>
                <w:color w:themeColor="text1" w:val="000000"/>
                <w:kern w:val="0"/>
              </w:rPr>
              <w:t>过去五年</w:t>
            </w:r>
          </w:p>
        </w:tc>
        <w:tc>
          <w:tcPr>
            <w:vAlign w:val="center"/>
          </w:tcPr>
          <w:p>
            <w:pPr>
              <w:jc w:val="center"/>
            </w:pPr>
            <w:r>
              <w:rPr>
                <w:rFonts w:eastAsiaTheme="minorEastAsia"/>
                <w:color w:themeColor="text1" w:val="000000"/>
                <w:kern w:val="0"/>
              </w:rPr>
              <w:t>156.22%</w:t>
            </w:r>
          </w:p>
        </w:tc>
        <w:tc>
          <w:tcPr>
            <w:vAlign w:val="center"/>
          </w:tcPr>
          <w:p>
            <w:pPr>
              <w:jc w:val="center"/>
            </w:pPr>
            <w:r>
              <w:rPr>
                <w:rFonts w:eastAsiaTheme="minorEastAsia"/>
                <w:color w:themeColor="text1" w:val="000000"/>
                <w:kern w:val="0"/>
              </w:rPr>
              <w:t>1.33%</w:t>
            </w:r>
          </w:p>
        </w:tc>
        <w:tc>
          <w:tcPr>
            <w:vAlign w:val="center"/>
          </w:tcPr>
          <w:p>
            <w:pPr>
              <w:jc w:val="center"/>
            </w:pPr>
            <w:r>
              <w:rPr>
                <w:rFonts w:eastAsiaTheme="minorEastAsia"/>
                <w:color w:themeColor="text1" w:val="000000"/>
                <w:kern w:val="0"/>
              </w:rPr>
              <w:t>44.95%</w:t>
            </w:r>
          </w:p>
        </w:tc>
        <w:tc>
          <w:tcPr>
            <w:vAlign w:val="center"/>
          </w:tcPr>
          <w:p>
            <w:pPr>
              <w:jc w:val="center"/>
            </w:pPr>
            <w:r>
              <w:rPr>
                <w:rFonts w:eastAsiaTheme="minorEastAsia"/>
                <w:color w:themeColor="text1" w:val="000000"/>
                <w:kern w:val="0"/>
              </w:rPr>
              <w:t>1.02%</w:t>
            </w:r>
          </w:p>
        </w:tc>
        <w:tc>
          <w:tcPr>
            <w:vAlign w:val="center"/>
          </w:tcPr>
          <w:p>
            <w:pPr>
              <w:jc w:val="center"/>
            </w:pPr>
            <w:r>
              <w:rPr>
                <w:rFonts w:eastAsiaTheme="minorEastAsia"/>
                <w:color w:themeColor="text1" w:val="000000"/>
                <w:kern w:val="0"/>
              </w:rPr>
              <w:t>111.27%</w:t>
            </w:r>
          </w:p>
        </w:tc>
        <w:tc>
          <w:tcPr>
            <w:vAlign w:val="center"/>
          </w:tcPr>
          <w:p>
            <w:pPr>
              <w:jc w:val="center"/>
            </w:pPr>
            <w:r>
              <w:rPr>
                <w:rFonts w:eastAsiaTheme="minorEastAsia"/>
                <w:color w:themeColor="text1" w:val="000000"/>
                <w:kern w:val="0"/>
              </w:rPr>
              <w:t>0.31%</w:t>
            </w:r>
          </w:p>
        </w:tc>
      </w:tr>
      <w:tr>
        <w:tc>
          <w:tcPr>
            <w:vAlign w:val="center"/>
          </w:tcPr>
          <w:p>
            <w:pPr>
              <w:jc w:val="left"/>
            </w:pPr>
            <w:r>
              <w:rPr>
                <w:rFonts w:eastAsiaTheme="minorEastAsia"/>
                <w:color w:themeColor="text1" w:val="000000"/>
                <w:kern w:val="0"/>
              </w:rPr>
              <w:t>自基金合同生效起至今</w:t>
            </w:r>
          </w:p>
        </w:tc>
        <w:tc>
          <w:tcPr>
            <w:vAlign w:val="center"/>
          </w:tcPr>
          <w:p>
            <w:pPr>
              <w:jc w:val="center"/>
            </w:pPr>
            <w:r>
              <w:rPr>
                <w:rFonts w:eastAsiaTheme="minorEastAsia"/>
                <w:color w:themeColor="text1" w:val="000000"/>
                <w:kern w:val="0"/>
              </w:rPr>
              <w:t>239.23%</w:t>
            </w:r>
          </w:p>
        </w:tc>
        <w:tc>
          <w:tcPr>
            <w:vAlign w:val="center"/>
          </w:tcPr>
          <w:p>
            <w:pPr>
              <w:jc w:val="center"/>
            </w:pPr>
            <w:r>
              <w:rPr>
                <w:rFonts w:eastAsiaTheme="minorEastAsia"/>
                <w:color w:themeColor="text1" w:val="000000"/>
                <w:kern w:val="0"/>
              </w:rPr>
              <w:t>1.49%</w:t>
            </w:r>
          </w:p>
        </w:tc>
        <w:tc>
          <w:tcPr>
            <w:vAlign w:val="center"/>
          </w:tcPr>
          <w:p>
            <w:pPr>
              <w:jc w:val="center"/>
            </w:pPr>
            <w:r>
              <w:rPr>
                <w:rFonts w:eastAsiaTheme="minorEastAsia"/>
                <w:color w:themeColor="text1" w:val="000000"/>
                <w:kern w:val="0"/>
              </w:rPr>
              <w:t>50.75%</w:t>
            </w:r>
          </w:p>
        </w:tc>
        <w:tc>
          <w:tcPr>
            <w:vAlign w:val="center"/>
          </w:tcPr>
          <w:p>
            <w:pPr>
              <w:jc w:val="center"/>
            </w:pPr>
            <w:r>
              <w:rPr>
                <w:rFonts w:eastAsiaTheme="minorEastAsia"/>
                <w:color w:themeColor="text1" w:val="000000"/>
                <w:kern w:val="0"/>
              </w:rPr>
              <w:t>1.21%</w:t>
            </w:r>
          </w:p>
        </w:tc>
        <w:tc>
          <w:tcPr>
            <w:vAlign w:val="center"/>
          </w:tcPr>
          <w:p>
            <w:pPr>
              <w:jc w:val="center"/>
            </w:pPr>
            <w:r>
              <w:rPr>
                <w:rFonts w:eastAsiaTheme="minorEastAsia"/>
                <w:color w:themeColor="text1" w:val="000000"/>
                <w:kern w:val="0"/>
              </w:rPr>
              <w:t>188.48%</w:t>
            </w:r>
          </w:p>
        </w:tc>
        <w:tc>
          <w:tcPr>
            <w:vAlign w:val="center"/>
          </w:tcPr>
          <w:p>
            <w:pPr>
              <w:jc w:val="center"/>
            </w:pPr>
            <w:r>
              <w:rPr>
                <w:rFonts w:eastAsiaTheme="minorEastAsia"/>
                <w:color w:themeColor="text1" w:val="000000"/>
                <w:kern w:val="0"/>
              </w:rPr>
              <w:t>0.28%</w:t>
            </w:r>
          </w:p>
        </w:tc>
      </w:tr>
    </w:tbl>
    <w:p w14:paraId="11CC28FB"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604CD2E3"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3.2.2</w:t>
      </w:r>
      <w:r w:rsidRPr="00FF6B9A">
        <w:rPr>
          <w:rStyle w:val="afe"/>
          <w:color w:themeColor="text1" w:val="000000"/>
          <w:sz w:val="24"/>
          <w:szCs w:val="24"/>
          <w:shd w:color="auto" w:fill="FFFFFF" w:val="clear"/>
        </w:rPr>
        <w:t/>
      </w:r>
      <w:proofErr w:type="spellStart"/>
      <w:r w:rsidRPr="00FF6B9A">
        <w:rPr>
          <w:rStyle w:val="afe"/>
          <w:color w:themeColor="text1" w:val="000000"/>
          <w:sz w:val="24"/>
          <w:szCs w:val="24"/>
          <w:shd w:color="auto" w:fill="FFFFFF" w:val="clear"/>
        </w:rPr>
        <w:t/>
      </w:r>
      <w:proofErr w:type="spellEnd"/>
      <w:r w:rsidRPr="00FF6B9A">
        <w:rPr>
          <w:rStyle w:val="afe"/>
          <w:color w:themeColor="text1" w:val="000000"/>
          <w:sz w:val="24"/>
          <w:szCs w:val="24"/>
          <w:shd w:color="auto" w:fill="FFFFFF" w:val="clear"/>
        </w:rPr>
        <w:t>自基金合同生效以来</w:t>
      </w:r>
      <w:r w:rsidRPr="00FF6B9A">
        <w:rPr>
          <w:rFonts w:eastAsiaTheme="minorEastAsia"/>
          <w:b/>
          <w:bCs/>
          <w:color w:themeColor="text1" w:val="000000"/>
          <w:kern w:val="0"/>
          <w:sz w:val="24"/>
          <w:szCs w:val="24"/>
        </w:rPr>
        <w:t>基金累计净值增长率变动及其与同期业绩比较基准收益率变动的比较</w:t>
      </w:r>
    </w:p>
    <w:p w14:paraId="7E434705" w14:textId="77777777" w:rsidR="00D06738" w:rsidRDefault="00454D20" w:rsidRPr="00FF6B9A">
      <w:pPr>
        <w:spacing w:line="360" w:lineRule="auto"/>
        <w:jc w:val="center"/>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上投摩根大盘蓝筹股票型证券投资基金</w:t>
      </w:r>
    </w:p>
    <w:p w14:paraId="760894FB" w14:textId="77777777" w:rsidR="00D06738" w:rsidRDefault="00454D20" w:rsidRPr="00FF6B9A">
      <w:pPr>
        <w:pStyle w:val="ae"/>
        <w:snapToGrid w:val="0"/>
        <w:spacing w:line="360" w:lineRule="auto"/>
        <w:jc w:val="center"/>
        <w:rPr>
          <w:rFonts w:ascii="Times New Roman" w:cs="Times New Roman" w:eastAsiaTheme="minorEastAsia" w:hAnsi="Times New Roman"/>
          <w:color w:themeColor="text1" w:val="000000"/>
        </w:rPr>
      </w:pPr>
      <w:r w:rsidRPr="00FF6B9A">
        <w:rPr>
          <w:rFonts w:ascii="Times New Roman" w:cs="Times New Roman" w:eastAsiaTheme="minorEastAsia" w:hAnsi="Times New Roman"/>
          <w:color w:themeColor="text1" w:val="000000"/>
        </w:rPr>
        <w:t>累计净值增长率与业绩比较基准收益率历史走势对比图</w:t>
      </w:r>
    </w:p>
    <w:p w14:paraId="42485F4A" w14:textId="77777777" w:rsidR="00D06738" w:rsidRDefault="00454D20" w:rsidRPr="00FF6B9A">
      <w:pPr>
        <w:pStyle w:val="ae"/>
        <w:snapToGrid w:val="0"/>
        <w:spacing w:line="360" w:lineRule="auto"/>
        <w:ind w:firstLine="480"/>
        <w:jc w:val="center"/>
        <w:rPr>
          <w:rFonts w:ascii="Times New Roman" w:cs="Times New Roman" w:eastAsiaTheme="minorEastAsia" w:hAnsi="Times New Roman"/>
          <w:color w:themeColor="text1" w:val="000000"/>
          <w:sz w:val="24"/>
          <w:szCs w:val="24"/>
        </w:rPr>
      </w:pPr>
      <w:r w:rsidRPr="00FF6B9A">
        <w:rPr>
          <w:rFonts w:ascii="Times New Roman" w:cs="Times New Roman" w:eastAsiaTheme="minorEastAsia" w:hAnsi="Times New Roman"/>
          <w:color w:themeColor="text1" w:val="000000"/>
        </w:rPr>
        <w:t>(</w:t>
      </w:r>
      <w:proofErr w:type="spellStart"/>
      <w:r w:rsidRPr="00FF6B9A">
        <w:rPr>
          <w:rFonts w:ascii="Times New Roman" w:cs="Times New Roman" w:eastAsiaTheme="minorEastAsia" w:hAnsi="Times New Roman"/>
          <w:color w:themeColor="text1" w:val="000000"/>
        </w:rPr>
        <w:t/>
      </w:r>
      <w:proofErr w:type="spellEnd"/>
      <w:r w:rsidRPr="00FF6B9A">
        <w:rPr>
          <w:rFonts w:ascii="Times New Roman" w:cs="Times New Roman" w:eastAsiaTheme="minorEastAsia" w:hAnsi="Times New Roman"/>
          <w:color w:themeColor="text1" w:val="000000"/>
        </w:rPr>
        <w:t>2010年12月20日</w:t>
      </w:r>
      <w:r w:rsidRPr="00FF6B9A">
        <w:rPr>
          <w:rFonts w:ascii="Times New Roman" w:cs="Times New Roman" w:eastAsiaTheme="minorEastAsia" w:hAnsi="Times New Roman"/>
          <w:color w:themeColor="text1" w:val="000000"/>
        </w:rPr>
        <w:t>至</w:t>
      </w:r>
      <w:r w:rsidRPr="00FF6B9A">
        <w:rPr>
          <w:rFonts w:ascii="Times New Roman" w:cs="Times New Roman" w:eastAsiaTheme="minorEastAsia" w:hAnsi="Times New Roman"/>
          <w:color w:themeColor="text1" w:val="000000"/>
        </w:rPr>
        <w:t/>
      </w:r>
      <w:proofErr w:type="spellStart"/>
      <w:r w:rsidRPr="00FF6B9A">
        <w:rPr>
          <w:rFonts w:ascii="Times New Roman" w:cs="Times New Roman" w:eastAsiaTheme="minorEastAsia" w:hAnsi="Times New Roman"/>
          <w:color w:themeColor="text1" w:val="000000"/>
        </w:rPr>
        <w:t/>
      </w:r>
      <w:proofErr w:type="spellEnd"/>
      <w:r w:rsidRPr="00FF6B9A">
        <w:rPr>
          <w:rFonts w:ascii="Times New Roman" w:cs="Times New Roman" w:eastAsiaTheme="minorEastAsia" w:hAnsi="Times New Roman"/>
          <w:color w:themeColor="text1" w:val="000000"/>
        </w:rPr>
        <w:t>2021年9月30日)</w:t>
      </w:r>
    </w:p>
    <w:p w14:paraId="6D7C6855" w14:textId="77777777" w:rsidR="00D06738" w:rsidRDefault="00454D20" w:rsidRPr="00FF6B9A">
      <w:pPr>
        <w:pStyle w:val="ae"/>
        <w:snapToGrid w:val="0"/>
        <w:spacing w:before="120" w:line="360" w:lineRule="auto"/>
        <w:jc w:val="center"/>
        <w:rPr>
          <w:rFonts w:ascii="Times New Roman" w:cs="Times New Roman" w:eastAsiaTheme="minorEastAsia" w:hAnsi="Times New Roman"/>
          <w:color w:themeColor="text1" w:val="000000"/>
          <w:sz w:val="24"/>
          <w:szCs w:val="24"/>
        </w:rPr>
      </w:pPr>
      <w:r w:rsidRPr="00FF6B9A">
        <w:rPr>
          <w:rFonts w:ascii="Times New Roman" w:cs="Times New Roman" w:eastAsiaTheme="minorEastAsia" w:hAnsi="Times New Roman"/>
          <w:noProof/>
          <w:color w:themeColor="text1" w:val="000000"/>
          <w:sz w:val="24"/>
          <w:szCs w:val="24"/>
        </w:rPr>
        <w:drawing>
          <wp:inline distB="0" distL="0" distR="0" distT="0" wp14:anchorId="41E8FF0D" wp14:editId="228D69F2">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1" name="图片 1"/>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eastAsiaTheme="minorEastAsia"/>
          <w:color w:themeColor="text1" w:val="000000"/>
        </w:rPr>
      </w:pPr>
      <w:r>
        <w:rPr>
          <w:rFonts w:eastAsiaTheme="minorEastAsia"/>
          <w:color w:themeColor="text1" w:val="000000"/>
        </w:rPr>
        <w:t>注：本基金合同生效日为2010年12月20日，图示的时间段为合同生效日至本报告期末。</w:t>
      </w:r>
    </w:p>
    <w:p w14:paraId="58BB6589"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本基金建仓期为本基金合同生效日起 6 个月，建仓期结束时资产配置比例符合本基金基金合同规定。</w:t>
      </w:r>
    </w:p>
    <w:p w14:paraId="28331EE6" w14:textId="77777777" w:rsidR="00D06738" w:rsidRDefault="00D06738" w:rsidRPr="00FF6B9A">
      <w:pPr>
        <w:tabs>
          <w:tab w:pos="1800" w:val="left"/>
        </w:tabs>
        <w:spacing w:line="360" w:lineRule="auto"/>
        <w:rPr>
          <w:rFonts w:eastAsiaTheme="minorEastAsia"/>
          <w:color w:themeColor="text1" w:val="000000"/>
          <w:sz w:val="24"/>
          <w:szCs w:val="24"/>
        </w:rPr>
      </w:pPr>
    </w:p>
    <w:p w14:paraId="6B938858" w14:textId="77777777" w:rsidR="00D06738" w:rsidRDefault="00D06738" w:rsidRPr="00FF6B9A">
      <w:pPr>
        <w:tabs>
          <w:tab w:pos="1800" w:val="left"/>
        </w:tabs>
        <w:spacing w:line="288" w:lineRule="auto"/>
        <w:rPr>
          <w:rFonts w:eastAsiaTheme="minorEastAsia"/>
          <w:color w:themeColor="text1" w:val="000000"/>
          <w:sz w:val="24"/>
          <w:szCs w:val="24"/>
        </w:rPr>
      </w:pPr>
    </w:p>
    <w:p w14:paraId="0B771B4D" w14:textId="77777777" w:rsidR="00D06738" w:rsidRDefault="00454D20" w:rsidRPr="00FF6B9A">
      <w:pPr>
        <w:pStyle w:val="1"/>
        <w:spacing w:after="312" w:afterLines="100" w:before="312" w:beforeLines="100" w:line="360" w:lineRule="auto"/>
        <w:jc w:val="center"/>
        <w:rPr>
          <w:rFonts w:eastAsiaTheme="minorEastAsia"/>
          <w:color w:themeColor="text1" w:val="000000"/>
          <w:kern w:val="0"/>
          <w:sz w:val="24"/>
          <w:szCs w:val="24"/>
        </w:rPr>
      </w:pPr>
      <w:r w:rsidRPr="00FF6B9A">
        <w:rPr>
          <w:rFonts w:eastAsiaTheme="minorEastAsia"/>
          <w:color w:themeColor="text1" w:val="000000"/>
          <w:kern w:val="0"/>
          <w:sz w:val="24"/>
          <w:szCs w:val="24"/>
        </w:rPr>
        <w:t xml:space="preserve">§4  </w:t>
      </w:r>
      <w:r w:rsidRPr="00FF6B9A">
        <w:rPr>
          <w:rFonts w:eastAsiaTheme="minorEastAsia"/>
          <w:color w:themeColor="text1" w:val="000000"/>
          <w:kern w:val="0"/>
          <w:sz w:val="24"/>
          <w:szCs w:val="24"/>
        </w:rPr>
        <w:t>管理人报告</w:t>
      </w:r>
    </w:p>
    <w:p w14:paraId="735F051A"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4.1 </w:t>
      </w:r>
      <w:r w:rsidRPr="00FF6B9A">
        <w:rPr>
          <w:rFonts w:eastAsiaTheme="minorEastAsia"/>
          <w:b/>
          <w:bCs/>
          <w:color w:themeColor="text1" w:val="000000"/>
          <w:kern w:val="0"/>
          <w:sz w:val="24"/>
          <w:szCs w:val="24"/>
        </w:rPr>
        <w:t>基金经理</w:t>
      </w:r>
      <w:r w:rsidRPr="00FF6B9A">
        <w:rPr>
          <w:rFonts w:eastAsiaTheme="minorEastAsia"/>
          <w:b/>
          <w:bCs/>
          <w:color w:themeColor="text1" w:val="000000"/>
          <w:kern w:val="0"/>
          <w:sz w:val="24"/>
          <w:szCs w:val="24"/>
        </w:rPr>
        <w:t>(</w:t>
      </w:r>
      <w:r w:rsidRPr="00FF6B9A">
        <w:rPr>
          <w:rFonts w:eastAsiaTheme="minorEastAsia"/>
          <w:b/>
          <w:bCs/>
          <w:color w:themeColor="text1" w:val="000000"/>
          <w:kern w:val="0"/>
          <w:sz w:val="24"/>
          <w:szCs w:val="24"/>
        </w:rPr>
        <w:t>或基金经理小组</w:t>
      </w:r>
      <w:r w:rsidRPr="00FF6B9A">
        <w:rPr>
          <w:rFonts w:eastAsiaTheme="minorEastAsia"/>
          <w:b/>
          <w:bCs/>
          <w:color w:themeColor="text1" w:val="000000"/>
          <w:kern w:val="0"/>
          <w:sz w:val="24"/>
          <w:szCs w:val="24"/>
        </w:rPr>
        <w:t>)</w:t>
      </w:r>
      <w:r w:rsidRPr="00FF6B9A">
        <w:rPr>
          <w:rFonts w:eastAsiaTheme="minorEastAsia"/>
          <w:b/>
          <w:bCs/>
          <w:color w:themeColor="text1" w:val="000000"/>
          <w:kern w:val="0"/>
          <w:sz w:val="24"/>
          <w:szCs w:val="24"/>
        </w:rPr>
        <w:t>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1"/>
        <w:gridCol w:w="850"/>
        <w:gridCol w:w="1560"/>
        <w:gridCol w:w="1559"/>
        <w:gridCol w:w="1417"/>
        <w:gridCol w:w="2694"/>
      </w:tblGrid>
      <w:tr w14:paraId="28062057" w14:textId="77777777" w:rsidR="00D06738" w:rsidRPr="00FF6B9A">
        <w:trPr>
          <w:cantSplit/>
          <w:trHeight w:val="292"/>
        </w:trPr>
        <w:tc>
          <w:tcPr>
            <w:tcW w:type="dxa" w:w="851"/>
            <w:vMerge w:val="restart"/>
            <w:vAlign w:val="center"/>
          </w:tcPr>
          <w:p w14:paraId="1F53B620" w14:textId="77777777" w:rsidR="00D06738" w:rsidRDefault="00454D20" w:rsidRPr="00FF6B9A">
            <w:pPr>
              <w:widowControl/>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姓名</w:t>
            </w:r>
          </w:p>
        </w:tc>
        <w:tc>
          <w:tcPr>
            <w:tcW w:type="dxa" w:w="850"/>
            <w:vMerge w:val="restart"/>
            <w:vAlign w:val="center"/>
          </w:tcPr>
          <w:p w14:paraId="697EB0E1" w14:textId="77777777" w:rsidR="00D06738" w:rsidRDefault="00454D20" w:rsidRPr="00FF6B9A">
            <w:pPr>
              <w:widowControl/>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职务</w:t>
            </w:r>
          </w:p>
        </w:tc>
        <w:tc>
          <w:tcPr>
            <w:tcW w:type="dxa" w:w="3119"/>
            <w:gridSpan w:val="2"/>
            <w:vAlign w:val="center"/>
          </w:tcPr>
          <w:p w14:paraId="3C549DFA"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proofErr w:type="gramStart"/>
            <w:r w:rsidRPr="00FF6B9A">
              <w:rPr>
                <w:rFonts w:eastAsiaTheme="minorEastAsia"/>
                <w:color w:themeColor="text1" w:val="000000"/>
                <w:kern w:val="0"/>
              </w:rPr>
              <w:t>任本基金</w:t>
            </w:r>
            <w:proofErr w:type="gramEnd"/>
            <w:r w:rsidRPr="00FF6B9A">
              <w:rPr>
                <w:rFonts w:eastAsiaTheme="minorEastAsia"/>
                <w:color w:themeColor="text1" w:val="000000"/>
                <w:kern w:val="0"/>
              </w:rPr>
              <w:t>的基金经理期限</w:t>
            </w:r>
          </w:p>
        </w:tc>
        <w:tc>
          <w:tcPr>
            <w:tcW w:type="dxa" w:w="1417"/>
            <w:vMerge w:val="restart"/>
            <w:vAlign w:val="center"/>
          </w:tcPr>
          <w:p w14:paraId="153D4B6D"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证券从业年限</w:t>
            </w:r>
          </w:p>
        </w:tc>
        <w:tc>
          <w:tcPr>
            <w:tcW w:type="dxa" w:w="2694"/>
            <w:vMerge w:val="restart"/>
            <w:vAlign w:val="center"/>
          </w:tcPr>
          <w:p w14:paraId="6B8352A3" w14:textId="77777777" w:rsidR="00D06738" w:rsidRDefault="00454D20" w:rsidRPr="00FF6B9A">
            <w:pPr>
              <w:widowControl/>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说明</w:t>
            </w:r>
          </w:p>
        </w:tc>
      </w:tr>
      <w:tr w14:paraId="12458907" w14:textId="77777777" w:rsidR="00D06738" w:rsidRPr="00FF6B9A">
        <w:trPr>
          <w:cantSplit/>
        </w:trPr>
        <w:tc>
          <w:tcPr>
            <w:tcW w:type="dxa" w:w="851"/>
            <w:vMerge/>
            <w:vAlign w:val="center"/>
          </w:tcPr>
          <w:p w14:paraId="0E137D74" w14:textId="77777777" w:rsidR="00D06738" w:rsidRDefault="00D06738" w:rsidRPr="00FF6B9A">
            <w:pPr>
              <w:widowControl/>
              <w:spacing w:line="360" w:lineRule="auto"/>
              <w:jc w:val="left"/>
              <w:rPr>
                <w:rFonts w:eastAsiaTheme="minorEastAsia"/>
                <w:color w:themeColor="text1" w:val="000000"/>
                <w:kern w:val="0"/>
              </w:rPr>
            </w:pPr>
          </w:p>
        </w:tc>
        <w:tc>
          <w:tcPr>
            <w:tcW w:type="dxa" w:w="850"/>
            <w:vMerge/>
            <w:vAlign w:val="center"/>
          </w:tcPr>
          <w:p w14:paraId="1CC0886F" w14:textId="77777777" w:rsidR="00D06738" w:rsidRDefault="00D06738" w:rsidRPr="00FF6B9A">
            <w:pPr>
              <w:widowControl/>
              <w:spacing w:line="360" w:lineRule="auto"/>
              <w:jc w:val="left"/>
              <w:rPr>
                <w:rFonts w:eastAsiaTheme="minorEastAsia"/>
                <w:color w:themeColor="text1" w:val="000000"/>
                <w:kern w:val="0"/>
              </w:rPr>
            </w:pPr>
          </w:p>
        </w:tc>
        <w:tc>
          <w:tcPr>
            <w:tcW w:type="dxa" w:w="1560"/>
            <w:vAlign w:val="center"/>
          </w:tcPr>
          <w:p w14:paraId="213ED421"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任职日期</w:t>
            </w:r>
          </w:p>
        </w:tc>
        <w:tc>
          <w:tcPr>
            <w:tcW w:type="dxa" w:w="1559"/>
            <w:vAlign w:val="center"/>
          </w:tcPr>
          <w:p w14:paraId="025CCC9C"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离任日期</w:t>
            </w:r>
          </w:p>
        </w:tc>
        <w:tc>
          <w:tcPr>
            <w:tcW w:type="dxa" w:w="1417"/>
            <w:vMerge/>
            <w:vAlign w:val="center"/>
          </w:tcPr>
          <w:p w14:paraId="3D222F40" w14:textId="77777777" w:rsidR="00D06738" w:rsidRDefault="00D06738" w:rsidRPr="00FF6B9A">
            <w:pPr>
              <w:widowControl/>
              <w:spacing w:line="360" w:lineRule="auto"/>
              <w:jc w:val="left"/>
              <w:rPr>
                <w:rFonts w:eastAsiaTheme="minorEastAsia"/>
                <w:color w:themeColor="text1" w:val="000000"/>
                <w:kern w:val="0"/>
              </w:rPr>
            </w:pPr>
          </w:p>
        </w:tc>
        <w:tc>
          <w:tcPr>
            <w:tcW w:type="dxa" w:w="2694"/>
            <w:vMerge/>
            <w:vAlign w:val="center"/>
          </w:tcPr>
          <w:p w14:paraId="637B7507" w14:textId="77777777" w:rsidR="00D06738" w:rsidRDefault="00D06738" w:rsidRPr="00FF6B9A">
            <w:pPr>
              <w:widowControl/>
              <w:spacing w:line="360" w:lineRule="auto"/>
              <w:jc w:val="left"/>
              <w:rPr>
                <w:rFonts w:eastAsiaTheme="minorEastAsia"/>
                <w:color w:themeColor="text1" w:val="000000"/>
                <w:kern w:val="0"/>
              </w:rPr>
            </w:pPr>
          </w:p>
        </w:tc>
      </w:tr>
      <w:tr>
        <w:tc>
          <w:tcPr>
            <w:vAlign w:val="center"/>
          </w:tcPr>
          <w:p>
            <w:pPr>
              <w:jc w:val="center"/>
            </w:pPr>
            <w:r>
              <w:rPr>
                <w:rFonts w:eastAsiaTheme="minorEastAsia"/>
                <w:color w:themeColor="text1" w:val="000000"/>
              </w:rPr>
              <w:t>朱晓龙</w:t>
            </w:r>
          </w:p>
        </w:tc>
        <w:tc>
          <w:tcPr>
            <w:vAlign w:val="center"/>
          </w:tcPr>
          <w:p>
            <w:pPr>
              <w:jc w:val="center"/>
            </w:pPr>
            <w:r>
              <w:rPr>
                <w:rFonts w:eastAsiaTheme="minorEastAsia"/>
                <w:color w:themeColor="text1" w:val="000000"/>
              </w:rPr>
              <w:t>本基金基金经理、研究部总监</w:t>
            </w:r>
          </w:p>
        </w:tc>
        <w:tc>
          <w:tcPr>
            <w:vAlign w:val="center"/>
          </w:tcPr>
          <w:p>
            <w:pPr>
              <w:jc w:val="center"/>
            </w:pPr>
            <w:r>
              <w:rPr>
                <w:rFonts w:eastAsiaTheme="minorEastAsia"/>
                <w:color w:themeColor="text1" w:val="000000"/>
              </w:rPr>
              <w:t>2019-07-19</w:t>
            </w:r>
          </w:p>
        </w:tc>
        <w:tc>
          <w:tcPr>
            <w:vAlign w:val="center"/>
          </w:tcPr>
          <w:p>
            <w:pPr>
              <w:jc w:val="center"/>
            </w:pPr>
            <w:r>
              <w:rPr>
                <w:rFonts w:eastAsiaTheme="minorEastAsia"/>
                <w:color w:themeColor="text1" w:val="000000"/>
              </w:rPr>
              <w:t>-</w:t>
            </w:r>
          </w:p>
        </w:tc>
        <w:tc>
          <w:tcPr>
            <w:vAlign w:val="center"/>
          </w:tcPr>
          <w:p>
            <w:pPr>
              <w:jc w:val="center"/>
            </w:pPr>
            <w:r>
              <w:rPr>
                <w:rFonts w:eastAsiaTheme="minorEastAsia"/>
                <w:color w:themeColor="text1" w:val="000000"/>
              </w:rPr>
              <w:t>14年</w:t>
            </w:r>
          </w:p>
        </w:tc>
        <w:tc>
          <w:tcPr>
            <w:vAlign w:val="center"/>
          </w:tcPr>
          <w:p>
            <w:pPr>
              <w:jc w:val="both"/>
            </w:pPr>
            <w:r>
              <w:rPr>
                <w:rFonts w:eastAsiaTheme="minorEastAsia"/>
                <w:color w:themeColor="text1" w:val="000000"/>
              </w:rPr>
              <w:t>朱晓龙先生，自2007年7月至2011年8月在平安资产管理有限责任公司担任研究员；自2011年8月起加入上投摩根基金管理有限公司，历任行业专家、研究部副总监兼基金经理助理，现任研究部总监兼基金经理。自2018年11月起担任上投摩根策略精选灵活配置混合型证券投资基金基金经理，自2019年7月起同时担任上投摩根大盘蓝筹股票型证券投资基金基金经理，2019年8月至2020年12月同时担任上投摩根成长先锋混合型证券投资基金基金经理，自2020年6月起同时担任上投摩根研究驱动股票型证券投资基金基金经理。</w:t>
            </w:r>
          </w:p>
        </w:tc>
      </w:tr>
    </w:tbl>
    <w:p>
      <w:pPr>
        <w:autoSpaceDE w:val="0"/>
        <w:autoSpaceDN w:val="0"/>
        <w:adjustRightInd w:val="0"/>
        <w:spacing w:line="360" w:lineRule="auto"/>
        <w:jc w:val="left"/>
        <w:rPr>
          <w:rFonts w:eastAsiaTheme="minorEastAsia"/>
          <w:color w:themeColor="text1" w:val="000000"/>
        </w:rPr>
      </w:pPr>
      <w:r>
        <w:rPr>
          <w:rFonts w:eastAsiaTheme="minorEastAsia"/>
          <w:color w:themeColor="text1" w:val="000000"/>
        </w:rPr>
        <w:t>注：1. 任职日期和离任日期均指根据公司决定确定的聘任日期和解聘日期。</w:t>
      </w:r>
    </w:p>
    <w:p w14:paraId="617FFBB9"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gramStart"/>
      <w:r w:rsidRPr="00FF6B9A">
        <w:rPr>
          <w:rFonts w:eastAsiaTheme="minorEastAsia"/>
          <w:color w:themeColor="text1" w:val="000000"/>
        </w:rPr>
        <w:t/>
      </w:r>
      <w:proofErr w:type="gramEnd"/>
      <w:r w:rsidRPr="00FF6B9A">
        <w:rPr>
          <w:rFonts w:eastAsiaTheme="minorEastAsia"/>
          <w:color w:themeColor="text1" w:val="000000"/>
        </w:rPr>
        <w:t>2.证券从业的含义遵从行业协会《证券业从业人员资格管理办法》的相关规定。</w:t>
      </w:r>
    </w:p>
    <w:p w14:paraId="4FBEFD21"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4.2 </w:t>
      </w:r>
      <w:r w:rsidRPr="00FF6B9A">
        <w:rPr>
          <w:rFonts w:eastAsiaTheme="minorEastAsia"/>
          <w:b/>
          <w:bCs/>
          <w:color w:themeColor="text1" w:val="000000"/>
          <w:kern w:val="0"/>
          <w:sz w:val="24"/>
          <w:szCs w:val="24"/>
        </w:rPr>
        <w:t>管理人对报告期内本基金运作遵规守信情况的说明</w:t>
      </w:r>
    </w:p>
    <w:p w14:paraId="6D01CD8D"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在本报告期内，基金管理人不存在损害基金份额持有人利益的行为，勤勉尽责地为基金份额持有人谋求利益。基金管理人遵守了《证券投资基金法》及其他有关法律法规、《上投摩根大盘蓝筹股票型证券投资基金基金合同》的规定。基金经理对个股和投资组合的比例遵循了投资决策委员会的授权限制，基金投资比例符合基金合同和法律法规的要求。</w:t>
      </w:r>
    </w:p>
    <w:p w14:paraId="79379002"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639C8B3E"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4.3 </w:t>
      </w:r>
      <w:r w:rsidRPr="00FF6B9A">
        <w:rPr>
          <w:rFonts w:eastAsiaTheme="minorEastAsia"/>
          <w:b/>
          <w:bCs/>
          <w:color w:themeColor="text1" w:val="000000"/>
          <w:kern w:val="0"/>
          <w:sz w:val="24"/>
          <w:szCs w:val="24"/>
        </w:rPr>
        <w:t>公平交易专项说明</w:t>
      </w:r>
    </w:p>
    <w:p w14:paraId="0796C6BB"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color w:themeColor="text1" w:val="000000"/>
          <w:sz w:val="24"/>
          <w:szCs w:val="24"/>
        </w:rPr>
        <w:t xml:space="preserve">4.3.1 </w:t>
      </w:r>
      <w:r w:rsidRPr="00FF6B9A">
        <w:rPr>
          <w:rFonts w:eastAsiaTheme="minorEastAsia"/>
          <w:color w:themeColor="text1" w:val="000000"/>
          <w:sz w:val="24"/>
          <w:szCs w:val="24"/>
        </w:rPr>
        <w:t>公平交易制度的执行情况</w:t>
      </w:r>
    </w:p>
    <w:p>
      <w:pPr>
        <w:spacing w:line="360" w:lineRule="auto"/>
        <w:ind w:firstLine="420" w:firstLineChars="200"/>
        <w:rPr>
          <w:rFonts w:eastAsiaTheme="minorEastAsia"/>
          <w:color w:themeColor="text1" w:val="000000"/>
        </w:rPr>
      </w:pPr>
      <w:r>
        <w:rPr>
          <w:rFonts w:eastAsiaTheme="minorEastAsia"/>
          <w:color w:themeColor="text1" w:val="000000"/>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eastAsiaTheme="minorEastAsia"/>
          <w:color w:themeColor="text1" w:val="000000"/>
        </w:rPr>
      </w:pPr>
      <w:r>
        <w:rPr>
          <w:rFonts w:eastAsiaTheme="minorEastAsia"/>
          <w:color w:themeColor="text1" w:val="000000"/>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14:paraId="3E52BB6A"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报告期内，通过对不同投资组合之间的收益率差异比较、对同向交易和反向交易的交易时机和交易价差监控分析，未发现整体公平交易执行出现异常的情况。</w:t>
      </w:r>
    </w:p>
    <w:p w14:paraId="06ECB64A"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color w:themeColor="text1" w:val="000000"/>
          <w:sz w:val="24"/>
          <w:szCs w:val="24"/>
        </w:rPr>
        <w:t xml:space="preserve">4.3.2 </w:t>
      </w:r>
      <w:r w:rsidRPr="00FF6B9A">
        <w:rPr>
          <w:rFonts w:eastAsiaTheme="minorEastAsia"/>
          <w:color w:themeColor="text1" w:val="000000"/>
          <w:sz w:val="24"/>
          <w:szCs w:val="24"/>
        </w:rPr>
        <w:t>异常交易行为的专项说明</w:t>
      </w:r>
    </w:p>
    <w:p>
      <w:pPr>
        <w:spacing w:line="360" w:lineRule="auto"/>
        <w:ind w:firstLine="420" w:firstLineChars="200"/>
        <w:rPr>
          <w:rFonts w:eastAsiaTheme="minorEastAsia"/>
          <w:color w:themeColor="text1" w:val="000000"/>
        </w:rPr>
      </w:pPr>
      <w:r>
        <w:rPr>
          <w:rFonts w:eastAsiaTheme="minorEastAsia"/>
          <w:color w:themeColor="text1" w:val="000000"/>
        </w:rPr>
        <w:t>报告期内，通过对交易价格、交易时间、交易方向等的分析，未发现有可能导致不公平交易和利益输送的异常交易行为。</w:t>
      </w:r>
    </w:p>
    <w:p w14:paraId="4219F41F"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所有投资组合参与的交易所公开竞价同日反向交易成交较少的单边交易量超过该证券当日成交量的5%的情形：无。</w:t>
      </w:r>
    </w:p>
    <w:p w14:paraId="78B72EC9" w14:textId="77777777" w:rsidR="00D06738" w:rsidRDefault="00D06738" w:rsidRPr="00FF6B9A">
      <w:pPr>
        <w:spacing w:line="360" w:lineRule="auto"/>
        <w:ind w:firstLine="480" w:firstLineChars="200"/>
        <w:rPr>
          <w:rFonts w:eastAsiaTheme="minorEastAsia"/>
          <w:color w:themeColor="text1" w:val="000000"/>
          <w:sz w:val="24"/>
          <w:szCs w:val="24"/>
        </w:rPr>
      </w:pPr>
    </w:p>
    <w:p w14:paraId="268AD9F2"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4.4 </w:t>
      </w:r>
      <w:r w:rsidRPr="00FF6B9A">
        <w:rPr>
          <w:rFonts w:eastAsiaTheme="minorEastAsia"/>
          <w:b/>
          <w:bCs/>
          <w:color w:themeColor="text1" w:val="000000"/>
          <w:kern w:val="0"/>
          <w:sz w:val="24"/>
          <w:szCs w:val="24"/>
        </w:rPr>
        <w:t>报告期内基金的投资策略和业绩表现说明</w:t>
      </w:r>
    </w:p>
    <w:p w14:paraId="37D7D562"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color w:themeColor="text1" w:val="000000"/>
          <w:sz w:val="24"/>
          <w:szCs w:val="24"/>
        </w:rPr>
        <w:t>4.4.1</w:t>
      </w:r>
      <w:r w:rsidRPr="00FF6B9A">
        <w:rPr>
          <w:rFonts w:eastAsiaTheme="minorEastAsia"/>
          <w:color w:themeColor="text1" w:val="000000"/>
          <w:sz w:val="24"/>
          <w:szCs w:val="24"/>
        </w:rPr>
        <w:t>报告期内基金投资策略和运作分析</w:t>
      </w:r>
    </w:p>
    <w:p>
      <w:pPr>
        <w:spacing w:line="360" w:lineRule="auto"/>
        <w:ind w:firstLine="420" w:firstLineChars="200"/>
        <w:rPr>
          <w:rFonts w:eastAsiaTheme="minorEastAsia"/>
          <w:color w:themeColor="text1" w:val="000000"/>
        </w:rPr>
      </w:pPr>
      <w:r>
        <w:rPr>
          <w:rFonts w:eastAsiaTheme="minorEastAsia"/>
          <w:color w:themeColor="text1" w:val="000000"/>
        </w:rPr>
        <w:t>2021年三季度，A股整体呈现震荡走势，从风格表现来看，中小市值整体表现占优；以申万行业分类统计来看，有色、采掘、公用事业、钢铁、化工表现居前；休闲服务、食品饮料、医药生物、农林牧渔、通信表现相对落后。</w:t>
      </w:r>
    </w:p>
    <w:p>
      <w:pPr>
        <w:spacing w:line="360" w:lineRule="auto"/>
        <w:ind w:firstLine="420" w:firstLineChars="200"/>
        <w:rPr>
          <w:rFonts w:eastAsiaTheme="minorEastAsia"/>
          <w:color w:themeColor="text1" w:val="000000"/>
        </w:rPr>
      </w:pPr>
      <w:r>
        <w:rPr>
          <w:rFonts w:eastAsiaTheme="minorEastAsia"/>
          <w:color w:themeColor="text1" w:val="000000"/>
        </w:rPr>
        <w:t>基本面方面，三季度地产投资走弱，基建、制造业投资有所企稳。美欧经济在德尔塔病毒的冲击下缓慢复苏。预计年内出口增速仍有韧性，受益于海外需求持续缓慢复苏。基建和制造业投资可能是年内的相对亮点。</w:t>
      </w:r>
    </w:p>
    <w:p>
      <w:pPr>
        <w:spacing w:line="360" w:lineRule="auto"/>
        <w:ind w:firstLine="420" w:firstLineChars="200"/>
        <w:rPr>
          <w:rFonts w:eastAsiaTheme="minorEastAsia"/>
          <w:color w:themeColor="text1" w:val="000000"/>
        </w:rPr>
      </w:pPr>
      <w:r>
        <w:rPr>
          <w:rFonts w:eastAsiaTheme="minorEastAsia"/>
          <w:color w:themeColor="text1" w:val="000000"/>
        </w:rPr>
        <w:t>资金面方面，由于信用紧缩导致社融增速出现明显下降，货币政策偏向宽松，流动性条件有所改善。海外美联储的缩减量化宽松的节奏相对缓慢，货币环境没有发生显著变化。</w:t>
      </w:r>
    </w:p>
    <w:p>
      <w:pPr>
        <w:spacing w:line="360" w:lineRule="auto"/>
        <w:ind w:firstLine="420" w:firstLineChars="200"/>
        <w:rPr>
          <w:rFonts w:eastAsiaTheme="minorEastAsia"/>
          <w:color w:themeColor="text1" w:val="000000"/>
        </w:rPr>
      </w:pPr>
      <w:r>
        <w:rPr>
          <w:rFonts w:eastAsiaTheme="minorEastAsia"/>
          <w:color w:themeColor="text1" w:val="000000"/>
        </w:rPr>
        <w:t>政策面方面，国内货币、财政政策均偏向积极，美国缩减量化宽松逐步落地，财政逐步加码。由于经济增速有下降压力，降准、专项债加速等政策陆续推出，社融增速可能出现企稳回升。美国中期重心仍在经济发展，货币环境大幅紧缩概率不大，财政发力是接下来对基本面的正面贡献因素。</w:t>
      </w:r>
    </w:p>
    <w:p w14:paraId="6E21DA7A"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关于基金运作，在个股配置方面，未来本基金将加大各行业中成长性与估值相对匹配的公司进行配置。在行业配置上，我们坚持较为均衡的行业配置思路，追求通过选股获取合理的超额收益。</w:t>
      </w:r>
    </w:p>
    <w:p w14:paraId="23C77E45"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color w:themeColor="text1" w:val="000000"/>
          <w:sz w:val="24"/>
          <w:szCs w:val="24"/>
        </w:rPr>
        <w:t>4.4.2</w:t>
      </w:r>
      <w:r w:rsidRPr="00FF6B9A">
        <w:rPr>
          <w:rFonts w:eastAsiaTheme="minorEastAsia"/>
          <w:color w:themeColor="text1" w:val="000000"/>
          <w:sz w:val="24"/>
          <w:szCs w:val="24"/>
        </w:rPr>
        <w:t>报告期内基金的业绩表现</w:t>
      </w:r>
    </w:p>
    <w:p w14:paraId="3743F1F6"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本报告期上投摩根大盘蓝筹股票份额净值增长率为:2.54%，同期业绩比较基准收益率为:-5.60%。</w:t>
      </w:r>
    </w:p>
    <w:p w14:paraId="44A63C7D" w14:textId="77777777" w:rsidR="00D06738" w:rsidRDefault="00D06738" w:rsidRPr="00FF6B9A">
      <w:pPr>
        <w:spacing w:line="360" w:lineRule="auto"/>
        <w:ind w:firstLine="480" w:firstLineChars="200"/>
        <w:rPr>
          <w:rFonts w:eastAsiaTheme="minorEastAsia"/>
          <w:color w:themeColor="text1" w:val="000000"/>
          <w:sz w:val="24"/>
          <w:szCs w:val="24"/>
        </w:rPr>
      </w:pPr>
    </w:p>
    <w:p w14:paraId="7FECA9F5"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b/>
          <w:color w:themeColor="text1" w:val="000000"/>
          <w:kern w:val="0"/>
          <w:sz w:val="24"/>
          <w:szCs w:val="24"/>
        </w:rPr>
        <w:t/>
      </w:r>
      <w:proofErr w:type="spellStart"/>
      <w:r w:rsidRPr="00FF6B9A">
        <w:rPr>
          <w:rFonts w:eastAsiaTheme="minorEastAsia"/>
          <w:b/>
          <w:color w:themeColor="text1" w:val="000000"/>
          <w:kern w:val="0"/>
          <w:sz w:val="24"/>
          <w:szCs w:val="24"/>
        </w:rPr>
        <w:t/>
      </w:r>
      <w:proofErr w:type="spellEnd"/>
      <w:r w:rsidRPr="00FF6B9A">
        <w:rPr>
          <w:rFonts w:eastAsiaTheme="minorEastAsia"/>
          <w:b/>
          <w:color w:themeColor="text1" w:val="000000"/>
          <w:kern w:val="0"/>
          <w:sz w:val="24"/>
          <w:szCs w:val="24"/>
        </w:rPr>
        <w:t>4.5</w:t>
      </w:r>
      <w:r w:rsidRPr="00FF6B9A">
        <w:rPr>
          <w:rFonts w:eastAsiaTheme="minorEastAsia"/>
          <w:b/>
          <w:color w:themeColor="text1" w:val="000000"/>
          <w:kern w:val="0"/>
          <w:sz w:val="24"/>
          <w:szCs w:val="24"/>
        </w:rPr>
        <w:t>报告期内基金持有人数或基金资产净值预警说明</w:t>
      </w:r>
    </w:p>
    <w:p w14:paraId="35411AB5"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kern w:val="0"/>
        </w:rPr>
        <w:t/>
      </w:r>
      <w:r w:rsidRPr="00FF6B9A">
        <w:rPr>
          <w:rFonts w:eastAsiaTheme="minorEastAsia"/>
          <w:color w:themeColor="text1" w:val="000000"/>
        </w:rPr>
        <w:t/>
      </w:r>
      <w:r w:rsidRPr="00FF6B9A">
        <w:rPr>
          <w:rFonts w:eastAsiaTheme="minorEastAsia"/>
          <w:color w:themeColor="text1" w:val="000000"/>
          <w:kern w:val="0"/>
        </w:rPr>
        <w:t>无。</w:t>
      </w:r>
    </w:p>
    <w:p w14:paraId="1DAA7197" w14:textId="77777777" w:rsidR="00D06738" w:rsidRDefault="00454D20" w:rsidRPr="00FF6B9A">
      <w:pPr>
        <w:pStyle w:val="1"/>
        <w:spacing w:after="312" w:afterLines="100" w:before="312" w:beforeLines="100" w:line="360" w:lineRule="auto"/>
        <w:jc w:val="center"/>
        <w:rPr>
          <w:rFonts w:eastAsiaTheme="minorEastAsia"/>
          <w:color w:themeColor="text1" w:val="000000"/>
          <w:kern w:val="0"/>
          <w:sz w:val="24"/>
          <w:szCs w:val="24"/>
        </w:rPr>
      </w:pPr>
      <w:r w:rsidRPr="00FF6B9A">
        <w:rPr>
          <w:rFonts w:eastAsiaTheme="minorEastAsia"/>
          <w:color w:themeColor="text1" w:val="000000"/>
          <w:kern w:val="0"/>
          <w:sz w:val="24"/>
          <w:szCs w:val="24"/>
        </w:rPr>
        <w:lastRenderedPageBreak/>
        <w:t xml:space="preserve">§5  </w:t>
      </w:r>
      <w:r w:rsidRPr="00FF6B9A">
        <w:rPr>
          <w:rFonts w:eastAsiaTheme="minorEastAsia"/>
          <w:color w:themeColor="text1" w:val="000000"/>
          <w:kern w:val="0"/>
          <w:sz w:val="24"/>
          <w:szCs w:val="24"/>
        </w:rPr>
        <w:t>投资组合报告</w:t>
      </w:r>
    </w:p>
    <w:p w14:paraId="2ED46D8C"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5.1 </w:t>
      </w:r>
      <w:r w:rsidRPr="00FF6B9A">
        <w:rPr>
          <w:rFonts w:eastAsiaTheme="minorEastAsia"/>
          <w:b/>
          <w:bCs/>
          <w:color w:themeColor="text1" w:val="000000"/>
          <w:kern w:val="0"/>
          <w:sz w:val="24"/>
          <w:szCs w:val="24"/>
        </w:rPr>
        <w:t>报告期末基金资产组合情况</w:t>
      </w:r>
    </w:p>
    <w:tbl>
      <w:tblPr>
        <w:tblStyle w:val="aff4"/>
        <w:tblW w:type="dxa" w:w="8897"/>
        <w:jc w:val="center"/>
        <w:tblLayout w:type="fixed"/>
        <w:tblLook w:firstColumn="1" w:firstRow="1" w:lastColumn="0" w:lastRow="0" w:noHBand="0" w:noVBand="1" w:val="04A0"/>
      </w:tblPr>
      <w:tblGrid>
        <w:gridCol w:w="720"/>
        <w:gridCol w:w="3357"/>
        <w:gridCol w:w="2977"/>
        <w:gridCol w:w="1843"/>
      </w:tblGrid>
      <w:tr w14:paraId="0557169A" w14:textId="77777777" w:rsidR="00D06738" w:rsidRPr="00FF6B9A">
        <w:trPr>
          <w:jc w:val="center"/>
        </w:trPr>
        <w:tc>
          <w:tcPr>
            <w:tcW w:type="dxa" w:w="720"/>
            <w:vAlign w:val="center"/>
          </w:tcPr>
          <w:p w14:paraId="267B5679"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序号</w:t>
            </w:r>
          </w:p>
        </w:tc>
        <w:tc>
          <w:tcPr>
            <w:tcW w:type="dxa" w:w="3357"/>
            <w:vAlign w:val="center"/>
          </w:tcPr>
          <w:p w14:paraId="64B125CA"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项目</w:t>
            </w:r>
          </w:p>
        </w:tc>
        <w:tc>
          <w:tcPr>
            <w:tcW w:type="dxa" w:w="2977"/>
            <w:vAlign w:val="center"/>
          </w:tcPr>
          <w:p w14:paraId="7B039B4F"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金额</w:t>
            </w:r>
            <w:r w:rsidRPr="00FF6B9A">
              <w:rPr>
                <w:rFonts w:eastAsiaTheme="minorEastAsia"/>
                <w:color w:themeColor="text1" w:val="000000"/>
                <w:kern w:val="0"/>
              </w:rPr>
              <w:t>(</w:t>
            </w:r>
            <w:r w:rsidRPr="00FF6B9A">
              <w:rPr>
                <w:rFonts w:eastAsiaTheme="minorEastAsia"/>
                <w:color w:themeColor="text1" w:val="000000"/>
                <w:kern w:val="0"/>
              </w:rPr>
              <w:t>元</w:t>
            </w:r>
            <w:r w:rsidRPr="00FF6B9A">
              <w:rPr>
                <w:rFonts w:eastAsiaTheme="minorEastAsia"/>
                <w:color w:themeColor="text1" w:val="000000"/>
                <w:kern w:val="0"/>
              </w:rPr>
              <w:t>)</w:t>
            </w:r>
          </w:p>
        </w:tc>
        <w:tc>
          <w:tcPr>
            <w:tcW w:type="dxa" w:w="1843"/>
            <w:vAlign w:val="center"/>
          </w:tcPr>
          <w:p w14:paraId="546A193D"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占基金总资产的比例</w:t>
            </w:r>
            <w:r w:rsidRPr="00FF6B9A">
              <w:rPr>
                <w:rFonts w:eastAsiaTheme="minorEastAsia"/>
                <w:color w:themeColor="text1" w:val="000000"/>
                <w:kern w:val="0"/>
              </w:rPr>
              <w:t>(%)</w:t>
            </w:r>
          </w:p>
        </w:tc>
      </w:tr>
      <w:tr w14:paraId="2C5F8168" w14:textId="77777777" w:rsidR="00D06738" w:rsidRPr="00FF6B9A">
        <w:trPr>
          <w:jc w:val="center"/>
        </w:trPr>
        <w:tc>
          <w:tcPr>
            <w:tcW w:type="dxa" w:w="720"/>
            <w:vAlign w:val="center"/>
          </w:tcPr>
          <w:p w14:paraId="790AB276"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1</w:t>
            </w:r>
          </w:p>
        </w:tc>
        <w:tc>
          <w:tcPr>
            <w:tcW w:type="dxa" w:w="3357"/>
            <w:vAlign w:val="center"/>
          </w:tcPr>
          <w:p w14:paraId="2A6D52A1"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权益投资</w:t>
            </w:r>
          </w:p>
        </w:tc>
        <w:tc>
          <w:tcPr>
            <w:tcW w:type="dxa" w:w="2977"/>
            <w:vAlign w:val="center"/>
          </w:tcPr>
          <w:p w14:paraId="3F07A469"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313,922,568.27</w:t>
            </w:r>
          </w:p>
        </w:tc>
        <w:tc>
          <w:tcPr>
            <w:tcW w:type="dxa" w:w="1843"/>
            <w:vAlign w:val="center"/>
          </w:tcPr>
          <w:p w14:paraId="233B1348"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80.44</w:t>
            </w:r>
          </w:p>
        </w:tc>
      </w:tr>
      <w:tr w14:paraId="2113730F" w14:textId="77777777" w:rsidR="00D06738" w:rsidRPr="00FF6B9A">
        <w:trPr>
          <w:jc w:val="center"/>
        </w:trPr>
        <w:tc>
          <w:tcPr>
            <w:tcW w:type="dxa" w:w="720"/>
            <w:vAlign w:val="center"/>
          </w:tcPr>
          <w:p w14:paraId="66F43ADC" w14:textId="77777777" w:rsidR="00D06738" w:rsidRDefault="00D06738" w:rsidRPr="00FF6B9A">
            <w:pPr>
              <w:spacing w:before="29" w:line="360" w:lineRule="auto"/>
              <w:ind w:left="17"/>
              <w:jc w:val="center"/>
              <w:rPr>
                <w:rFonts w:eastAsiaTheme="minorEastAsia"/>
                <w:color w:themeColor="text1" w:val="000000"/>
                <w:kern w:val="0"/>
              </w:rPr>
            </w:pPr>
          </w:p>
        </w:tc>
        <w:tc>
          <w:tcPr>
            <w:tcW w:type="dxa" w:w="3357"/>
            <w:vAlign w:val="center"/>
          </w:tcPr>
          <w:p w14:paraId="42830015"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其中：股票</w:t>
            </w:r>
          </w:p>
        </w:tc>
        <w:tc>
          <w:tcPr>
            <w:tcW w:type="dxa" w:w="2977"/>
            <w:vAlign w:val="center"/>
          </w:tcPr>
          <w:p w14:paraId="36A710A1"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313,922,568.27</w:t>
            </w:r>
          </w:p>
        </w:tc>
        <w:tc>
          <w:tcPr>
            <w:tcW w:type="dxa" w:w="1843"/>
            <w:vAlign w:val="center"/>
          </w:tcPr>
          <w:p w14:paraId="4235B2A6"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80.44</w:t>
            </w:r>
          </w:p>
        </w:tc>
      </w:tr>
      <w:tr w14:paraId="7AF15202" w14:textId="77777777" w:rsidR="00D06738" w:rsidRPr="00FF6B9A">
        <w:trPr>
          <w:jc w:val="center"/>
        </w:trPr>
        <w:tc>
          <w:tcPr>
            <w:tcW w:type="dxa" w:w="720"/>
            <w:vAlign w:val="center"/>
          </w:tcPr>
          <w:p w14:paraId="0231B762"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2</w:t>
            </w:r>
          </w:p>
        </w:tc>
        <w:tc>
          <w:tcPr>
            <w:tcW w:type="dxa" w:w="3357"/>
            <w:vAlign w:val="center"/>
          </w:tcPr>
          <w:p w14:paraId="4854CF2B"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固定收益投资</w:t>
            </w:r>
          </w:p>
        </w:tc>
        <w:tc>
          <w:tcPr>
            <w:tcW w:type="dxa" w:w="2977"/>
            <w:vAlign w:val="center"/>
          </w:tcPr>
          <w:p w14:paraId="789C70AC"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843"/>
            <w:vAlign w:val="center"/>
          </w:tcPr>
          <w:p w14:paraId="249B7557"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w:t>
            </w:r>
          </w:p>
        </w:tc>
      </w:tr>
      <w:tr w14:paraId="19D15F90" w14:textId="77777777" w:rsidR="00D06738" w:rsidRPr="00FF6B9A">
        <w:trPr>
          <w:jc w:val="center"/>
        </w:trPr>
        <w:tc>
          <w:tcPr>
            <w:tcW w:type="dxa" w:w="720"/>
            <w:vAlign w:val="center"/>
          </w:tcPr>
          <w:p w14:paraId="16E41AE7" w14:textId="77777777" w:rsidR="00D06738" w:rsidRDefault="00D06738" w:rsidRPr="00FF6B9A">
            <w:pPr>
              <w:spacing w:before="29" w:line="360" w:lineRule="auto"/>
              <w:ind w:left="17"/>
              <w:jc w:val="center"/>
              <w:rPr>
                <w:rFonts w:eastAsiaTheme="minorEastAsia"/>
                <w:color w:themeColor="text1" w:val="000000"/>
                <w:kern w:val="0"/>
              </w:rPr>
            </w:pPr>
          </w:p>
        </w:tc>
        <w:tc>
          <w:tcPr>
            <w:tcW w:type="dxa" w:w="3357"/>
            <w:vAlign w:val="center"/>
          </w:tcPr>
          <w:p w14:paraId="47E8D347"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其中：债券</w:t>
            </w:r>
          </w:p>
        </w:tc>
        <w:tc>
          <w:tcPr>
            <w:tcW w:type="dxa" w:w="2977"/>
            <w:vAlign w:val="center"/>
          </w:tcPr>
          <w:p w14:paraId="49FE2FF2"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843"/>
            <w:vAlign w:val="center"/>
          </w:tcPr>
          <w:p w14:paraId="378238FF"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w:t>
            </w:r>
          </w:p>
        </w:tc>
      </w:tr>
      <w:tr w14:paraId="62562C15" w14:textId="77777777" w:rsidR="00D06738" w:rsidRPr="00FF6B9A">
        <w:trPr>
          <w:jc w:val="center"/>
        </w:trPr>
        <w:tc>
          <w:tcPr>
            <w:tcW w:type="dxa" w:w="720"/>
            <w:vAlign w:val="center"/>
          </w:tcPr>
          <w:p w14:paraId="104BD163" w14:textId="77777777" w:rsidR="00D06738" w:rsidRDefault="00D06738" w:rsidRPr="00FF6B9A">
            <w:pPr>
              <w:spacing w:before="29" w:line="360" w:lineRule="auto"/>
              <w:ind w:left="17"/>
              <w:jc w:val="center"/>
              <w:rPr>
                <w:rFonts w:eastAsiaTheme="minorEastAsia"/>
                <w:color w:themeColor="text1" w:val="000000"/>
                <w:kern w:val="0"/>
              </w:rPr>
            </w:pPr>
          </w:p>
        </w:tc>
        <w:tc>
          <w:tcPr>
            <w:tcW w:type="dxa" w:w="3357"/>
            <w:vAlign w:val="center"/>
          </w:tcPr>
          <w:p w14:paraId="47AC6DAD" w14:textId="77777777" w:rsidR="00D06738" w:rsidRDefault="00454D20" w:rsidRPr="00FF6B9A">
            <w:pPr>
              <w:autoSpaceDE w:val="0"/>
              <w:autoSpaceDN w:val="0"/>
              <w:adjustRightInd w:val="0"/>
              <w:spacing w:before="29" w:line="360" w:lineRule="auto"/>
              <w:ind w:firstLine="525" w:firstLineChars="250" w:left="17"/>
              <w:jc w:val="left"/>
              <w:rPr>
                <w:rFonts w:eastAsiaTheme="minorEastAsia"/>
                <w:color w:themeColor="text1" w:val="000000"/>
                <w:kern w:val="0"/>
              </w:rPr>
            </w:pPr>
            <w:r w:rsidRPr="00FF6B9A">
              <w:rPr>
                <w:rFonts w:eastAsiaTheme="minorEastAsia"/>
                <w:color w:themeColor="text1" w:val="000000"/>
                <w:kern w:val="0"/>
              </w:rPr>
              <w:t>资产支持证券</w:t>
            </w:r>
          </w:p>
        </w:tc>
        <w:tc>
          <w:tcPr>
            <w:tcW w:type="dxa" w:w="2977"/>
            <w:vAlign w:val="center"/>
          </w:tcPr>
          <w:p w14:paraId="3CF84DDB"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843"/>
            <w:vAlign w:val="center"/>
          </w:tcPr>
          <w:p w14:paraId="1CCF9364"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r w:rsidRPr="00FF6B9A">
              <w:rPr>
                <w:rFonts w:eastAsiaTheme="minorEastAsia"/>
                <w:color w:themeColor="text1" w:val="000000"/>
                <w:kern w:val="0"/>
              </w:rPr>
              <w:lastRenderedPageBreak/>
              <w:t>-</w:t>
            </w:r>
          </w:p>
        </w:tc>
      </w:tr>
      <w:tr w14:paraId="3F449325" w14:textId="77777777" w:rsidR="00D06738" w:rsidRPr="00FF6B9A">
        <w:trPr>
          <w:jc w:val="center"/>
        </w:trPr>
        <w:tc>
          <w:tcPr>
            <w:tcW w:type="dxa" w:w="720"/>
          </w:tcPr>
          <w:p w14:paraId="1EE609C8"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lastRenderedPageBreak/>
              <w:t>3</w:t>
            </w:r>
          </w:p>
        </w:tc>
        <w:tc>
          <w:tcPr>
            <w:tcW w:type="dxa" w:w="3357"/>
          </w:tcPr>
          <w:p w14:paraId="7A120390" w14:textId="77777777" w:rsidR="00D06738" w:rsidRDefault="00454D20" w:rsidRPr="00FF6B9A">
            <w:pPr>
              <w:spacing w:before="29" w:line="360" w:lineRule="auto"/>
              <w:ind w:left="105" w:leftChars="50"/>
              <w:rPr>
                <w:rFonts w:eastAsiaTheme="minorEastAsia"/>
                <w:color w:themeColor="text1" w:val="000000"/>
                <w:kern w:val="0"/>
              </w:rPr>
            </w:pPr>
            <w:r w:rsidRPr="00FF6B9A">
              <w:rPr>
                <w:rFonts w:eastAsiaTheme="minorEastAsia"/>
                <w:color w:themeColor="text1" w:val="000000"/>
                <w:kern w:val="0"/>
              </w:rPr>
              <w:t>贵金属投资</w:t>
            </w:r>
          </w:p>
        </w:tc>
        <w:tc>
          <w:tcPr>
            <w:tcW w:type="dxa" w:w="2977"/>
            <w:vAlign w:val="center"/>
          </w:tcPr>
          <w:p w14:paraId="201F9736"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843"/>
            <w:vAlign w:val="center"/>
          </w:tcPr>
          <w:p w14:paraId="76F8BBAB"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40209BD0" w14:textId="77777777" w:rsidR="00D06738" w:rsidRPr="00FF6B9A">
        <w:trPr>
          <w:jc w:val="center"/>
        </w:trPr>
        <w:tc>
          <w:tcPr>
            <w:tcW w:type="dxa" w:w="720"/>
            <w:vAlign w:val="center"/>
          </w:tcPr>
          <w:p w14:paraId="44CDCE61"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4</w:t>
            </w:r>
          </w:p>
        </w:tc>
        <w:tc>
          <w:tcPr>
            <w:tcW w:type="dxa" w:w="3357"/>
            <w:vAlign w:val="center"/>
          </w:tcPr>
          <w:p w14:paraId="26733435"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金融衍生</w:t>
            </w:r>
            <w:proofErr w:type="gramStart"/>
            <w:r w:rsidRPr="00FF6B9A">
              <w:rPr>
                <w:rFonts w:eastAsiaTheme="minorEastAsia"/>
                <w:color w:themeColor="text1" w:val="000000"/>
                <w:kern w:val="0"/>
              </w:rPr>
              <w:t>品投资</w:t>
            </w:r>
            <w:proofErr w:type="gramEnd"/>
          </w:p>
        </w:tc>
        <w:tc>
          <w:tcPr>
            <w:tcW w:type="dxa" w:w="2977"/>
            <w:vAlign w:val="center"/>
          </w:tcPr>
          <w:p w14:paraId="2CA6AE58"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843"/>
            <w:vAlign w:val="center"/>
          </w:tcPr>
          <w:p w14:paraId="117B3EB0"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w:t>
            </w:r>
          </w:p>
        </w:tc>
      </w:tr>
      <w:tr w14:paraId="69083124" w14:textId="77777777" w:rsidR="00D06738" w:rsidRPr="00FF6B9A">
        <w:trPr>
          <w:jc w:val="center"/>
        </w:trPr>
        <w:tc>
          <w:tcPr>
            <w:tcW w:type="dxa" w:w="720"/>
            <w:vAlign w:val="center"/>
          </w:tcPr>
          <w:p w14:paraId="3E06450B"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5</w:t>
            </w:r>
          </w:p>
        </w:tc>
        <w:tc>
          <w:tcPr>
            <w:tcW w:type="dxa" w:w="3357"/>
            <w:vAlign w:val="center"/>
          </w:tcPr>
          <w:p w14:paraId="11937F9B"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买入返售金融资产</w:t>
            </w:r>
          </w:p>
        </w:tc>
        <w:tc>
          <w:tcPr>
            <w:tcW w:type="dxa" w:w="2977"/>
            <w:vAlign w:val="center"/>
          </w:tcPr>
          <w:p w14:paraId="62931128"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843"/>
            <w:vAlign w:val="center"/>
          </w:tcPr>
          <w:p w14:paraId="3F06200C"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w:t>
            </w:r>
          </w:p>
        </w:tc>
      </w:tr>
      <w:tr w14:paraId="5EFCF5A8" w14:textId="77777777" w:rsidR="00D06738" w:rsidRPr="00FF6B9A">
        <w:trPr>
          <w:jc w:val="center"/>
        </w:trPr>
        <w:tc>
          <w:tcPr>
            <w:tcW w:type="dxa" w:w="720"/>
            <w:vAlign w:val="center"/>
          </w:tcPr>
          <w:p w14:paraId="7A522889" w14:textId="77777777" w:rsidR="00D06738" w:rsidRDefault="00D06738" w:rsidRPr="00FF6B9A">
            <w:pPr>
              <w:spacing w:before="29" w:line="360" w:lineRule="auto"/>
              <w:ind w:left="17"/>
              <w:jc w:val="center"/>
              <w:rPr>
                <w:rFonts w:eastAsiaTheme="minorEastAsia"/>
                <w:color w:themeColor="text1" w:val="000000"/>
                <w:kern w:val="0"/>
              </w:rPr>
            </w:pPr>
          </w:p>
        </w:tc>
        <w:tc>
          <w:tcPr>
            <w:tcW w:type="dxa" w:w="3357"/>
            <w:vAlign w:val="center"/>
          </w:tcPr>
          <w:p w14:paraId="3CEA16A4"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其中：买断式回购的买入返售金融资产</w:t>
            </w:r>
          </w:p>
        </w:tc>
        <w:tc>
          <w:tcPr>
            <w:tcW w:type="dxa" w:w="2977"/>
            <w:vAlign w:val="center"/>
          </w:tcPr>
          <w:p w14:paraId="7B73699E"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w:t>
            </w:r>
          </w:p>
        </w:tc>
        <w:tc>
          <w:tcPr>
            <w:tcW w:type="dxa" w:w="1843"/>
            <w:vAlign w:val="center"/>
          </w:tcPr>
          <w:p w14:paraId="15A7BCA6"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w:t>
            </w:r>
          </w:p>
        </w:tc>
      </w:tr>
      <w:tr w14:paraId="786251D7" w14:textId="77777777" w:rsidR="00D06738" w:rsidRPr="00FF6B9A">
        <w:trPr>
          <w:jc w:val="center"/>
        </w:trPr>
        <w:tc>
          <w:tcPr>
            <w:tcW w:type="dxa" w:w="720"/>
            <w:vAlign w:val="center"/>
          </w:tcPr>
          <w:p w14:paraId="29692791"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6</w:t>
            </w:r>
          </w:p>
        </w:tc>
        <w:tc>
          <w:tcPr>
            <w:tcW w:type="dxa" w:w="3357"/>
            <w:vAlign w:val="center"/>
          </w:tcPr>
          <w:p w14:paraId="421FB0FB" w14:textId="77777777" w:rsidR="00D06738" w:rsidRDefault="00454D20" w:rsidRPr="00FF6B9A">
            <w:pPr>
              <w:spacing w:before="29" w:line="360" w:lineRule="auto"/>
              <w:ind w:left="17"/>
              <w:jc w:val="left"/>
              <w:rPr>
                <w:rFonts w:eastAsiaTheme="minorEastAsia"/>
                <w:color w:themeColor="text1" w:val="000000"/>
                <w:kern w:val="0"/>
              </w:rPr>
            </w:pPr>
            <w:r w:rsidRPr="00FF6B9A">
              <w:rPr>
                <w:rFonts w:eastAsiaTheme="minorEastAsia"/>
                <w:color w:themeColor="text1" w:val="000000"/>
                <w:kern w:val="0"/>
              </w:rPr>
              <w:t>银行存款和结算备付金合计</w:t>
            </w:r>
          </w:p>
        </w:tc>
        <w:tc>
          <w:tcPr>
            <w:tcW w:type="dxa" w:w="2977"/>
            <w:vAlign w:val="center"/>
          </w:tcPr>
          <w:p w14:paraId="54D555B7"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75,687,546.52</w:t>
            </w:r>
          </w:p>
        </w:tc>
        <w:tc>
          <w:tcPr>
            <w:tcW w:type="dxa" w:w="1843"/>
            <w:vAlign w:val="center"/>
          </w:tcPr>
          <w:p w14:paraId="174620BB" w14:textId="77777777" w:rsidR="00D06738" w:rsidRDefault="00454D20" w:rsidRPr="00FF6B9A">
            <w:pPr>
              <w:spacing w:before="29" w:line="360" w:lineRule="auto"/>
              <w:ind w:left="17"/>
              <w:jc w:val="right"/>
              <w:rPr>
                <w:rFonts w:eastAsiaTheme="minorEastAsia"/>
                <w:color w:themeColor="text1" w:val="000000"/>
                <w:kern w:val="0"/>
              </w:rPr>
            </w:pPr>
            <w:r w:rsidRPr="00FF6B9A">
              <w:rPr>
                <w:rFonts w:eastAsiaTheme="minorEastAsia"/>
                <w:color w:themeColor="text1" w:val="000000"/>
                <w:kern w:val="0"/>
              </w:rPr>
              <w:t/>
            </w:r>
            <w:r w:rsidRPr="00FF6B9A">
              <w:rPr>
                <w:rFonts w:eastAsiaTheme="minorEastAsia"/>
                <w:color w:themeColor="text1" w:val="000000"/>
                <w:kern w:val="0"/>
              </w:rPr>
              <w:lastRenderedPageBreak/>
              <w:t>19.39</w:t>
            </w:r>
          </w:p>
        </w:tc>
      </w:tr>
      <w:tr w14:paraId="42ECF5E1" w14:textId="77777777" w:rsidR="00D06738" w:rsidRPr="00FF6B9A">
        <w:trPr>
          <w:jc w:val="center"/>
        </w:trPr>
        <w:tc>
          <w:tcPr>
            <w:tcW w:type="dxa" w:w="720"/>
            <w:vAlign w:val="center"/>
          </w:tcPr>
          <w:p w14:paraId="59AA2BC1"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7</w:t>
            </w:r>
          </w:p>
        </w:tc>
        <w:tc>
          <w:tcPr>
            <w:tcW w:type="dxa" w:w="3357"/>
            <w:vAlign w:val="center"/>
          </w:tcPr>
          <w:p w14:paraId="705D6B78" w14:textId="77777777" w:rsidR="00D06738" w:rsidRDefault="00454D20" w:rsidRPr="00FF6B9A">
            <w:pPr>
              <w:jc w:val="left"/>
              <w:rPr>
                <w:rFonts w:eastAsiaTheme="minorEastAsia"/>
                <w:color w:themeColor="text1" w:val="000000"/>
                <w:kern w:val="0"/>
              </w:rPr>
            </w:pPr>
            <w:r w:rsidRPr="00FF6B9A">
              <w:rPr>
                <w:rFonts w:eastAsiaTheme="minorEastAsia"/>
                <w:color w:themeColor="text1" w:val="000000"/>
                <w:kern w:val="0"/>
              </w:rPr>
              <w:t>其他各项资产</w:t>
            </w:r>
          </w:p>
        </w:tc>
        <w:tc>
          <w:tcPr>
            <w:tcW w:type="dxa" w:w="2977"/>
            <w:vAlign w:val="center"/>
          </w:tcPr>
          <w:p w14:paraId="4AF0CB10"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669,833.54</w:t>
            </w:r>
          </w:p>
        </w:tc>
        <w:tc>
          <w:tcPr>
            <w:tcW w:type="dxa" w:w="1843"/>
            <w:vAlign w:val="center"/>
          </w:tcPr>
          <w:p w14:paraId="12AAF105"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0.17</w:t>
            </w:r>
          </w:p>
        </w:tc>
      </w:tr>
      <w:tr w14:paraId="4D6FFA71" w14:textId="77777777" w:rsidR="00D06738" w:rsidRPr="00FF6B9A">
        <w:trPr>
          <w:jc w:val="center"/>
        </w:trPr>
        <w:tc>
          <w:tcPr>
            <w:tcW w:type="dxa" w:w="720"/>
            <w:vAlign w:val="center"/>
          </w:tcPr>
          <w:p w14:paraId="17A180E6" w14:textId="77777777" w:rsidR="00D06738" w:rsidRDefault="00454D20" w:rsidRPr="00FF6B9A">
            <w:pPr>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8</w:t>
            </w:r>
          </w:p>
        </w:tc>
        <w:tc>
          <w:tcPr>
            <w:tcW w:type="dxa" w:w="3357"/>
            <w:vAlign w:val="center"/>
          </w:tcPr>
          <w:p w14:paraId="29DAA7F6" w14:textId="77777777" w:rsidR="00D06738" w:rsidRDefault="00454D20" w:rsidRPr="00FF6B9A">
            <w:pPr>
              <w:jc w:val="left"/>
              <w:rPr>
                <w:rFonts w:eastAsiaTheme="minorEastAsia"/>
                <w:color w:themeColor="text1" w:val="000000"/>
                <w:kern w:val="0"/>
              </w:rPr>
            </w:pPr>
            <w:r w:rsidRPr="00FF6B9A">
              <w:rPr>
                <w:rFonts w:eastAsiaTheme="minorEastAsia"/>
                <w:color w:themeColor="text1" w:val="000000"/>
                <w:kern w:val="0"/>
              </w:rPr>
              <w:t>合计</w:t>
            </w:r>
          </w:p>
        </w:tc>
        <w:tc>
          <w:tcPr>
            <w:tcW w:type="dxa" w:w="2977"/>
            <w:vAlign w:val="center"/>
          </w:tcPr>
          <w:p w14:paraId="446A48E1"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390,279,948.33</w:t>
            </w:r>
          </w:p>
        </w:tc>
        <w:tc>
          <w:tcPr>
            <w:tcW w:type="dxa" w:w="1843"/>
            <w:vAlign w:val="center"/>
          </w:tcPr>
          <w:p w14:paraId="3C7AC8A3"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100.00</w:t>
            </w:r>
          </w:p>
        </w:tc>
      </w:tr>
    </w:tbl>
    <w:p w14:paraId="6175743F" w14:textId="77777777" w:rsidR="00D06738" w:rsidRDefault="00D06738" w:rsidRPr="00FF6B9A">
      <w:pPr>
        <w:autoSpaceDE w:val="0"/>
        <w:autoSpaceDN w:val="0"/>
        <w:adjustRightInd w:val="0"/>
        <w:spacing w:line="360" w:lineRule="auto"/>
        <w:jc w:val="left"/>
        <w:rPr>
          <w:rFonts w:eastAsiaTheme="minorEastAsia"/>
          <w:color w:themeColor="text1" w:val="000000"/>
          <w:sz w:val="24"/>
          <w:szCs w:val="24"/>
        </w:rPr>
      </w:pPr>
    </w:p>
    <w:p w14:paraId="71F975B1"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5.2 </w:t>
      </w:r>
      <w:r w:rsidRPr="00FF6B9A">
        <w:rPr>
          <w:rFonts w:eastAsiaTheme="minorEastAsia"/>
          <w:b/>
          <w:bCs/>
          <w:color w:themeColor="text1" w:val="000000"/>
          <w:kern w:val="0"/>
          <w:sz w:val="24"/>
          <w:szCs w:val="24"/>
        </w:rPr>
        <w:t>报告期末按行业分类的股票投资组合</w:t>
      </w:r>
    </w:p>
    <w:p w14:paraId="0A24FB38" w14:textId="77777777" w:rsidR="00D06738" w:rsidRDefault="00454D20" w:rsidRPr="00FF6B9A">
      <w:pPr>
        <w:rPr>
          <w:b/>
        </w:rPr>
      </w:pPr>
      <w:r w:rsidRPr="00FF6B9A">
        <w:rPr>
          <w:b/>
          <w:color w:themeColor="text1" w:val="000000"/>
        </w:rPr>
        <w:t/>
      </w:r>
      <w:proofErr w:type="spellStart"/>
      <w:r w:rsidRPr="00FF6B9A">
        <w:rPr>
          <w:b/>
          <w:color w:themeColor="text1" w:val="000000"/>
        </w:rPr>
        <w:t/>
      </w:r>
      <w:proofErr w:type="spellEnd"/>
      <w:r w:rsidRPr="00FF6B9A">
        <w:rPr>
          <w:b/>
          <w:color w:themeColor="text1" w:val="000000"/>
        </w:rPr>
        <w:t/>
      </w:r>
      <w:r w:rsidRPr="00FF6B9A">
        <w:rPr>
          <w:rFonts w:eastAsiaTheme="minorEastAsia"/>
          <w:b/>
          <w:color w:themeColor="text1" w:val="000000"/>
          <w:kern w:val="0"/>
        </w:rPr>
        <w:t>5.2.1</w:t>
      </w:r>
      <w:r w:rsidRPr="00FF6B9A">
        <w:rPr>
          <w:rFonts w:eastAsiaTheme="minorEastAsia"/>
          <w:b/>
          <w:color w:themeColor="text1" w:val="000000"/>
          <w:kern w:val="0"/>
        </w:rPr>
        <w:t>报告期末按行业分类的境内股票投资组合</w:t>
      </w:r>
    </w:p>
    <w:tbl>
      <w:tblPr>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Look w:firstColumn="1" w:firstRow="1" w:lastColumn="0" w:lastRow="0" w:noHBand="0" w:noVBand="1" w:val="04A0"/>
      </w:tblPr>
      <w:tblGrid>
        <w:gridCol w:w="540"/>
        <w:gridCol w:w="3691"/>
        <w:gridCol w:w="2852"/>
        <w:gridCol w:w="1648"/>
      </w:tblGrid>
      <w:tr w14:paraId="72F29E24" w14:textId="77777777" w:rsidR="00D06738" w:rsidRPr="00FF6B9A">
        <w:trPr>
          <w:trHeight w:val="390"/>
        </w:trPr>
        <w:tc>
          <w:tcPr>
            <w:tcW w:type="dxa" w:w="540"/>
            <w:tcBorders>
              <w:top w:color="000000" w:space="0" w:sz="4" w:val="single"/>
              <w:left w:color="000000" w:space="0" w:sz="4" w:val="single"/>
              <w:bottom w:color="000000" w:space="0" w:sz="4" w:val="single"/>
              <w:right w:color="000000" w:space="0" w:sz="4" w:val="single"/>
            </w:tcBorders>
            <w:vAlign w:val="center"/>
          </w:tcPr>
          <w:p w14:paraId="47C646D2"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代码</w:t>
            </w: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C97B7F7"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14:paraId="037931C3"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B76ADB3"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占基金资产净值比例（％）</w:t>
            </w:r>
          </w:p>
        </w:tc>
      </w:tr>
      <w:tr w14:paraId="651FF96F"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0A9BD6B"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AD492E7"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14:paraId="78148A5F"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5,459,531.00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70D526D"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1.45</w:t>
            </w:r>
          </w:p>
        </w:tc>
      </w:tr>
      <w:tr w14:paraId="2B8EF369"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6B10F5D"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1A715D0"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14:paraId="21FC9ACA"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5,655,060.00</w:t>
            </w:r>
          </w:p>
          <w:p w14:paraId="72CB0322" w14:textId="77777777" w:rsidR="00D06738" w:rsidRDefault="00D06738" w:rsidRPr="00FF6B9A">
            <w:pPr>
              <w:jc w:val="right"/>
              <w:rPr>
                <w:rFonts w:eastAsiaTheme="minorEastAsia"/>
                <w:color w:themeColor="text1" w:val="000000"/>
                <w:kern w:val="0"/>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14421B1"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1.50</w:t>
            </w:r>
          </w:p>
          <w:p w14:paraId="5DCD6455" w14:textId="77777777" w:rsidR="00D06738" w:rsidRDefault="00D06738" w:rsidRPr="00FF6B9A">
            <w:pPr>
              <w:jc w:val="right"/>
              <w:rPr>
                <w:rFonts w:eastAsiaTheme="minorEastAsia"/>
                <w:color w:themeColor="text1" w:val="000000"/>
                <w:kern w:val="0"/>
              </w:rPr>
            </w:pPr>
          </w:p>
        </w:tc>
      </w:tr>
      <w:tr w14:paraId="3470B292"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61CD784"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B84AAA9"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14:paraId="6B93E8B6"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208,548,127.18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4538DB9"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55.39</w:t>
            </w:r>
          </w:p>
        </w:tc>
      </w:tr>
      <w:tr w14:paraId="53F8CFEC"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7F6600"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C78FB78"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14:paraId="585412E5"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9,738,304.40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C65AF0A"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2.59</w:t>
            </w:r>
          </w:p>
        </w:tc>
      </w:tr>
      <w:tr w14:paraId="1B8429AC"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B4D80E8"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lastRenderedPageBreak/>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756F489"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14:paraId="1DF004B6"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20,183.39</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BF184E6"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0.01</w:t>
            </w:r>
          </w:p>
        </w:tc>
      </w:tr>
      <w:tr w14:paraId="25A56BDE"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83F7537"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5808EA0"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FEC938C"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26,453.25</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E552C8"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0.01</w:t>
            </w:r>
          </w:p>
        </w:tc>
      </w:tr>
      <w:tr w14:paraId="68AD7C4C"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627F9BD"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A4BC8C"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14:paraId="08E22E7D"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9,994,104.00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81E2CE7"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2.65</w:t>
            </w:r>
          </w:p>
        </w:tc>
      </w:tr>
      <w:tr w14:paraId="545862F1"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865C67"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793D1BB"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CE1C581"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3,345.12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C62C625"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0.00</w:t>
            </w:r>
          </w:p>
        </w:tc>
      </w:tr>
      <w:tr w14:paraId="4EB68E1B"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D887CC"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DE8B8D"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329C9663"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14,058,030.13</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C42189A"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3.73</w:t>
            </w:r>
          </w:p>
        </w:tc>
      </w:tr>
      <w:tr w14:paraId="379675A7"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768A8F"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AAE673D"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14:paraId="0FBB8074"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60,386,988.45</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73BAE32"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16.04</w:t>
            </w:r>
          </w:p>
        </w:tc>
      </w:tr>
      <w:tr w14:paraId="3FE1377D"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22C5811"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3B5A32"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14:paraId="71FFF7B8"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F3998"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66630310"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E1A83E3"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426E43"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018CCF2B"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F45B66"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07EC249A"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F796C31"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0388132"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2C13C7F"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19,443.64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A3AAC2E"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0.01</w:t>
            </w:r>
          </w:p>
        </w:tc>
      </w:tr>
      <w:tr w14:paraId="69D921F3"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944CACA"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F246C9E"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14:paraId="2367BCF2"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9,072.49</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C857B2"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0.00</w:t>
            </w:r>
          </w:p>
        </w:tc>
      </w:tr>
      <w:tr w14:paraId="090E46DF"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9F862C2"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8F19380"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6B48C56"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7789C3B"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r w:rsidRPr="00FF6B9A">
              <w:rPr>
                <w:rFonts w:eastAsiaTheme="minorEastAsia"/>
                <w:color w:themeColor="text1" w:val="000000"/>
                <w:kern w:val="0"/>
              </w:rPr>
              <w:lastRenderedPageBreak/>
              <w:t/>
            </w:r>
            <w:proofErr w:type="spellEnd"/>
            <w:r w:rsidRPr="00FF6B9A">
              <w:rPr>
                <w:rFonts w:eastAsiaTheme="minorEastAsia"/>
                <w:color w:themeColor="text1" w:val="000000"/>
                <w:kern w:val="0"/>
              </w:rPr>
              <w:t>-</w:t>
            </w:r>
          </w:p>
        </w:tc>
      </w:tr>
      <w:tr w14:paraId="684B91C8"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19EC6"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lastRenderedPageBreak/>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5F4C987"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14:paraId="0AE41158"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A7A1384"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58A809B6"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62495E6"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4977624"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14:paraId="319C17E6"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4D9DB5"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0C10CFD7"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189669B"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F3219D4"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14:paraId="5015CBD5"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3,925.22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F3980D8"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0.00</w:t>
            </w:r>
          </w:p>
        </w:tc>
      </w:tr>
      <w:tr w14:paraId="78F46200"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C0217D6" w14:textId="77777777" w:rsidR="00D06738" w:rsidRDefault="00454D20" w:rsidRPr="00FF6B9A">
            <w:pPr>
              <w:adjustRightInd w:val="0"/>
              <w:snapToGrid w:val="0"/>
              <w:spacing w:line="400" w:lineRule="exact"/>
              <w:jc w:val="center"/>
              <w:rPr>
                <w:rFonts w:eastAsiaTheme="minorEastAsia"/>
                <w:color w:themeColor="text1" w:val="000000"/>
                <w:kern w:val="0"/>
              </w:rPr>
            </w:pPr>
            <w:r w:rsidRPr="00FF6B9A">
              <w:rPr>
                <w:rFonts w:eastAsiaTheme="minorEastAsia"/>
                <w:color w:themeColor="text1" w:val="000000"/>
                <w:kern w:val="0"/>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7595770"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14:paraId="397C56B4"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2170A55"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5AD397BD" w14:textId="77777777" w:rsidR="00D06738" w:rsidRPr="00FF6B9A">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2609568" w14:textId="77777777" w:rsidR="00D06738" w:rsidRDefault="00D06738" w:rsidRPr="00FF6B9A">
            <w:pPr>
              <w:adjustRightInd w:val="0"/>
              <w:snapToGrid w:val="0"/>
              <w:spacing w:line="400" w:lineRule="exact"/>
              <w:jc w:val="center"/>
              <w:rPr>
                <w:rFonts w:eastAsiaTheme="minorEastAsia"/>
                <w:color w:themeColor="text1" w:val="000000"/>
                <w:kern w:val="0"/>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E5096EA" w14:textId="77777777" w:rsidR="00D06738" w:rsidRDefault="00454D20" w:rsidRPr="00FF6B9A">
            <w:pPr>
              <w:adjustRightInd w:val="0"/>
              <w:snapToGrid w:val="0"/>
              <w:spacing w:line="400" w:lineRule="exact"/>
              <w:rPr>
                <w:rFonts w:eastAsiaTheme="minorEastAsia"/>
                <w:color w:themeColor="text1" w:val="000000"/>
                <w:kern w:val="0"/>
              </w:rPr>
            </w:pPr>
            <w:r w:rsidRPr="00FF6B9A">
              <w:rPr>
                <w:rFonts w:eastAsiaTheme="minorEastAsia"/>
                <w:color w:themeColor="text1" w:val="000000"/>
                <w:kern w:val="0"/>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14:paraId="54BA6A92"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313,922,568.27</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E973B88" w14:textId="77777777" w:rsidR="00D06738" w:rsidRDefault="00454D20" w:rsidRPr="00FF6B9A">
            <w:pPr>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83.38</w:t>
            </w:r>
          </w:p>
        </w:tc>
      </w:tr>
    </w:tbl>
    <w:p w14:paraId="0F45C821"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40B00694" w14:textId="77777777" w:rsidP="00FF6B9A" w:rsidR="00FF6B9A" w:rsidRDefault="00FF6B9A" w:rsidRPr="00FF6B9A">
      <w:pPr>
        <w:spacing w:line="360" w:lineRule="auto"/>
        <w:rPr>
          <w:rFonts w:eastAsiaTheme="minorEastAsia"/>
          <w:sz w:val="24"/>
          <w:szCs w:val="24"/>
        </w:rPr>
      </w:pPr>
      <w:bookmarkStart w:id="3"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type="auto" w:w="0"/>
        <w:tblLayout w:type="fixed"/>
        <w:tblLook w:firstColumn="1" w:firstRow="1" w:lastColumn="0" w:lastRow="0" w:noHBand="0" w:noVBand="1" w:val="04A0"/>
      </w:tblPr>
      <w:tblGrid>
        <w:gridCol w:w="817"/>
        <w:gridCol w:w="1276"/>
        <w:gridCol w:w="1701"/>
        <w:gridCol w:w="1276"/>
        <w:gridCol w:w="1842"/>
        <w:gridCol w:w="1616"/>
      </w:tblGrid>
      <w:tr w14:paraId="6EFFF3EB" w14:textId="77777777" w:rsidR="00FF6B9A" w:rsidRPr="00FF6B9A" w:rsidTr="00D913A1">
        <w:tc>
          <w:tcPr>
            <w:tcW w:type="dxa" w:w="817"/>
            <w:vAlign w:val="center"/>
          </w:tcPr>
          <w:p w14:paraId="3BF93561" w14:textId="77777777" w:rsidP="00D913A1" w:rsidR="00FF6B9A" w:rsidRDefault="00FF6B9A" w:rsidRPr="00FF6B9A">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type="dxa" w:w="1276"/>
            <w:vAlign w:val="center"/>
          </w:tcPr>
          <w:p w14:paraId="6281AD5E" w14:textId="77777777" w:rsidP="00D913A1" w:rsidR="00FF6B9A" w:rsidRDefault="00FF6B9A" w:rsidRPr="00FF6B9A">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type="dxa" w:w="1701"/>
            <w:vAlign w:val="center"/>
          </w:tcPr>
          <w:p w14:paraId="23E4D4E7" w14:textId="77777777" w:rsidP="00D913A1" w:rsidR="00FF6B9A" w:rsidRDefault="00FF6B9A" w:rsidRPr="00FF6B9A">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type="dxa" w:w="1276"/>
            <w:vAlign w:val="center"/>
          </w:tcPr>
          <w:p w14:paraId="1CC86F06" w14:textId="77777777" w:rsidP="00D913A1" w:rsidR="00FF6B9A" w:rsidRDefault="00FF6B9A" w:rsidRPr="00FF6B9A">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type="dxa" w:w="1842"/>
            <w:vAlign w:val="center"/>
          </w:tcPr>
          <w:p w14:paraId="5057E922" w14:textId="77777777" w:rsidP="00D913A1" w:rsidR="00FF6B9A" w:rsidRDefault="00FF6B9A" w:rsidRPr="00FF6B9A">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type="dxa" w:w="1616"/>
            <w:vAlign w:val="center"/>
          </w:tcPr>
          <w:p w14:paraId="5797A0C8" w14:textId="77777777" w:rsidP="00D913A1" w:rsidR="00FF6B9A" w:rsidRDefault="00FF6B9A" w:rsidRPr="00FF6B9A">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tc>
          <w:tcPr>
            <w:vAlign w:val="center"/>
          </w:tcPr>
          <w:p>
            <w:pPr>
              <w:jc w:val="center"/>
            </w:pPr>
            <w:r>
              <w:rPr>
                <w:rFonts w:eastAsiaTheme="minorEastAsia"/>
                <w:kern w:val="0"/>
                <w:sz w:val="24"/>
                <w:szCs w:val="24"/>
              </w:rPr>
              <w:t>1</w:t>
            </w:r>
          </w:p>
        </w:tc>
        <w:tc>
          <w:tcPr>
            <w:vAlign w:val="center"/>
          </w:tcPr>
          <w:p>
            <w:pPr>
              <w:jc w:val="center"/>
            </w:pPr>
            <w:r>
              <w:rPr>
                <w:rFonts w:eastAsiaTheme="minorEastAsia"/>
                <w:kern w:val="0"/>
                <w:sz w:val="24"/>
                <w:szCs w:val="24"/>
              </w:rPr>
              <w:t>300772</w:t>
            </w:r>
          </w:p>
        </w:tc>
        <w:tc>
          <w:tcPr>
            <w:vAlign w:val="center"/>
          </w:tcPr>
          <w:p>
            <w:pPr>
              <w:jc w:val="center"/>
            </w:pPr>
            <w:r>
              <w:rPr>
                <w:rFonts w:eastAsiaTheme="minorEastAsia"/>
                <w:kern w:val="0"/>
                <w:sz w:val="24"/>
                <w:szCs w:val="24"/>
              </w:rPr>
              <w:t>运达股份</w:t>
            </w:r>
          </w:p>
        </w:tc>
        <w:tc>
          <w:tcPr>
            <w:vAlign w:val="center"/>
          </w:tcPr>
          <w:p>
            <w:pPr>
              <w:jc w:val="right"/>
            </w:pPr>
            <w:r>
              <w:rPr>
                <w:rFonts w:eastAsiaTheme="minorEastAsia"/>
                <w:kern w:val="0"/>
                <w:sz w:val="24"/>
                <w:szCs w:val="24"/>
              </w:rPr>
              <w:t>320,900</w:t>
            </w:r>
          </w:p>
        </w:tc>
        <w:tc>
          <w:tcPr>
            <w:vAlign w:val="center"/>
          </w:tcPr>
          <w:p>
            <w:pPr>
              <w:jc w:val="right"/>
            </w:pPr>
            <w:r>
              <w:rPr>
                <w:rFonts w:eastAsiaTheme="minorEastAsia"/>
                <w:kern w:val="0"/>
                <w:sz w:val="24"/>
                <w:szCs w:val="24"/>
              </w:rPr>
              <w:t>16,783,070.00</w:t>
            </w:r>
          </w:p>
        </w:tc>
        <w:tc>
          <w:tcPr>
            <w:vAlign w:val="center"/>
          </w:tcPr>
          <w:p>
            <w:pPr>
              <w:jc w:val="right"/>
            </w:pPr>
            <w:r>
              <w:rPr>
                <w:rFonts w:eastAsiaTheme="minorEastAsia"/>
                <w:kern w:val="0"/>
                <w:sz w:val="24"/>
                <w:szCs w:val="24"/>
              </w:rPr>
              <w:t>4.46</w:t>
            </w:r>
          </w:p>
        </w:tc>
      </w:tr>
      <w:tr>
        <w:tc>
          <w:tcPr>
            <w:vAlign w:val="center"/>
          </w:tcPr>
          <w:p>
            <w:pPr>
              <w:jc w:val="center"/>
            </w:pPr>
            <w:r>
              <w:rPr>
                <w:rFonts w:eastAsiaTheme="minorEastAsia"/>
                <w:kern w:val="0"/>
                <w:sz w:val="24"/>
                <w:szCs w:val="24"/>
              </w:rPr>
              <w:t>2</w:t>
            </w:r>
          </w:p>
        </w:tc>
        <w:tc>
          <w:tcPr>
            <w:vAlign w:val="center"/>
          </w:tcPr>
          <w:p>
            <w:pPr>
              <w:jc w:val="center"/>
            </w:pPr>
            <w:r>
              <w:rPr>
                <w:rFonts w:eastAsiaTheme="minorEastAsia"/>
                <w:kern w:val="0"/>
                <w:sz w:val="24"/>
                <w:szCs w:val="24"/>
              </w:rPr>
              <w:t>300037</w:t>
            </w:r>
          </w:p>
        </w:tc>
        <w:tc>
          <w:tcPr>
            <w:vAlign w:val="center"/>
          </w:tcPr>
          <w:p>
            <w:pPr>
              <w:jc w:val="center"/>
            </w:pPr>
            <w:r>
              <w:rPr>
                <w:rFonts w:eastAsiaTheme="minorEastAsia"/>
                <w:kern w:val="0"/>
                <w:sz w:val="24"/>
                <w:szCs w:val="24"/>
              </w:rPr>
              <w:t>新宙邦</w:t>
            </w:r>
          </w:p>
        </w:tc>
        <w:tc>
          <w:tcPr>
            <w:vAlign w:val="center"/>
          </w:tcPr>
          <w:p>
            <w:pPr>
              <w:jc w:val="right"/>
            </w:pPr>
            <w:r>
              <w:rPr>
                <w:rFonts w:eastAsiaTheme="minorEastAsia"/>
                <w:kern w:val="0"/>
                <w:sz w:val="24"/>
                <w:szCs w:val="24"/>
              </w:rPr>
              <w:t>94,208</w:t>
            </w:r>
          </w:p>
        </w:tc>
        <w:tc>
          <w:tcPr>
            <w:vAlign w:val="center"/>
          </w:tcPr>
          <w:p>
            <w:pPr>
              <w:jc w:val="right"/>
            </w:pPr>
            <w:r>
              <w:rPr>
                <w:rFonts w:eastAsiaTheme="minorEastAsia"/>
                <w:kern w:val="0"/>
                <w:sz w:val="24"/>
                <w:szCs w:val="24"/>
              </w:rPr>
              <w:t>14,602,240.00</w:t>
            </w:r>
          </w:p>
        </w:tc>
        <w:tc>
          <w:tcPr>
            <w:vAlign w:val="center"/>
          </w:tcPr>
          <w:p>
            <w:pPr>
              <w:jc w:val="right"/>
            </w:pPr>
            <w:r>
              <w:rPr>
                <w:rFonts w:eastAsiaTheme="minorEastAsia"/>
                <w:kern w:val="0"/>
                <w:sz w:val="24"/>
                <w:szCs w:val="24"/>
              </w:rPr>
              <w:t>3.88</w:t>
            </w:r>
          </w:p>
        </w:tc>
      </w:tr>
      <w:tr>
        <w:tc>
          <w:tcPr>
            <w:vAlign w:val="center"/>
          </w:tcPr>
          <w:p>
            <w:pPr>
              <w:jc w:val="center"/>
            </w:pPr>
            <w:r>
              <w:rPr>
                <w:rFonts w:eastAsiaTheme="minorEastAsia"/>
                <w:kern w:val="0"/>
                <w:sz w:val="24"/>
                <w:szCs w:val="24"/>
              </w:rPr>
              <w:t>3</w:t>
            </w:r>
          </w:p>
        </w:tc>
        <w:tc>
          <w:tcPr>
            <w:vAlign w:val="center"/>
          </w:tcPr>
          <w:p>
            <w:pPr>
              <w:jc w:val="center"/>
            </w:pPr>
            <w:r>
              <w:rPr>
                <w:rFonts w:eastAsiaTheme="minorEastAsia"/>
                <w:kern w:val="0"/>
                <w:sz w:val="24"/>
                <w:szCs w:val="24"/>
              </w:rPr>
              <w:t>688188</w:t>
            </w:r>
          </w:p>
        </w:tc>
        <w:tc>
          <w:tcPr>
            <w:vAlign w:val="center"/>
          </w:tcPr>
          <w:p>
            <w:pPr>
              <w:jc w:val="center"/>
            </w:pPr>
            <w:r>
              <w:rPr>
                <w:rFonts w:eastAsiaTheme="minorEastAsia"/>
                <w:kern w:val="0"/>
                <w:sz w:val="24"/>
                <w:szCs w:val="24"/>
              </w:rPr>
              <w:t>柏楚电子</w:t>
            </w:r>
          </w:p>
        </w:tc>
        <w:tc>
          <w:tcPr>
            <w:vAlign w:val="center"/>
          </w:tcPr>
          <w:p>
            <w:pPr>
              <w:jc w:val="right"/>
            </w:pPr>
            <w:r>
              <w:rPr>
                <w:rFonts w:eastAsiaTheme="minorEastAsia"/>
                <w:kern w:val="0"/>
                <w:sz w:val="24"/>
                <w:szCs w:val="24"/>
              </w:rPr>
              <w:t>32,026</w:t>
            </w:r>
          </w:p>
        </w:tc>
        <w:tc>
          <w:tcPr>
            <w:vAlign w:val="center"/>
          </w:tcPr>
          <w:p>
            <w:pPr>
              <w:jc w:val="right"/>
            </w:pPr>
            <w:r>
              <w:rPr>
                <w:rFonts w:eastAsiaTheme="minorEastAsia"/>
                <w:kern w:val="0"/>
                <w:sz w:val="24"/>
                <w:szCs w:val="24"/>
              </w:rPr>
              <w:t>14,049,165.68</w:t>
            </w:r>
          </w:p>
        </w:tc>
        <w:tc>
          <w:tcPr>
            <w:vAlign w:val="center"/>
          </w:tcPr>
          <w:p>
            <w:pPr>
              <w:jc w:val="right"/>
            </w:pPr>
            <w:r>
              <w:rPr>
                <w:rFonts w:eastAsiaTheme="minorEastAsia"/>
                <w:kern w:val="0"/>
                <w:sz w:val="24"/>
                <w:szCs w:val="24"/>
              </w:rPr>
              <w:t>3.73</w:t>
            </w:r>
          </w:p>
        </w:tc>
      </w:tr>
      <w:tr>
        <w:tc>
          <w:tcPr>
            <w:vAlign w:val="center"/>
          </w:tcPr>
          <w:p>
            <w:pPr>
              <w:jc w:val="center"/>
            </w:pPr>
            <w:r>
              <w:rPr>
                <w:rFonts w:eastAsiaTheme="minorEastAsia"/>
                <w:kern w:val="0"/>
                <w:sz w:val="24"/>
                <w:szCs w:val="24"/>
              </w:rPr>
              <w:t>4</w:t>
            </w:r>
          </w:p>
        </w:tc>
        <w:tc>
          <w:tcPr>
            <w:vAlign w:val="center"/>
          </w:tcPr>
          <w:p>
            <w:pPr>
              <w:jc w:val="center"/>
            </w:pPr>
            <w:r>
              <w:rPr>
                <w:rFonts w:eastAsiaTheme="minorEastAsia"/>
                <w:kern w:val="0"/>
                <w:sz w:val="24"/>
                <w:szCs w:val="24"/>
              </w:rPr>
              <w:t>600036</w:t>
            </w:r>
          </w:p>
        </w:tc>
        <w:tc>
          <w:tcPr>
            <w:vAlign w:val="center"/>
          </w:tcPr>
          <w:p>
            <w:pPr>
              <w:jc w:val="center"/>
            </w:pPr>
            <w:r>
              <w:rPr>
                <w:rFonts w:eastAsiaTheme="minorEastAsia"/>
                <w:kern w:val="0"/>
                <w:sz w:val="24"/>
                <w:szCs w:val="24"/>
              </w:rPr>
              <w:t>招商银行</w:t>
            </w:r>
          </w:p>
        </w:tc>
        <w:tc>
          <w:tcPr>
            <w:vAlign w:val="center"/>
          </w:tcPr>
          <w:p>
            <w:pPr>
              <w:jc w:val="right"/>
            </w:pPr>
            <w:r>
              <w:rPr>
                <w:rFonts w:eastAsiaTheme="minorEastAsia"/>
                <w:kern w:val="0"/>
                <w:sz w:val="24"/>
                <w:szCs w:val="24"/>
              </w:rPr>
              <w:t>269,221</w:t>
            </w:r>
          </w:p>
        </w:tc>
        <w:tc>
          <w:tcPr>
            <w:vAlign w:val="center"/>
          </w:tcPr>
          <w:p>
            <w:pPr>
              <w:jc w:val="right"/>
            </w:pPr>
            <w:r>
              <w:rPr>
                <w:rFonts w:eastAsiaTheme="minorEastAsia"/>
                <w:kern w:val="0"/>
                <w:sz w:val="24"/>
                <w:szCs w:val="24"/>
              </w:rPr>
              <w:t>13,582,199.45</w:t>
            </w:r>
          </w:p>
        </w:tc>
        <w:tc>
          <w:tcPr>
            <w:vAlign w:val="center"/>
          </w:tcPr>
          <w:p>
            <w:pPr>
              <w:jc w:val="right"/>
            </w:pPr>
            <w:r>
              <w:rPr>
                <w:rFonts w:eastAsiaTheme="minorEastAsia"/>
                <w:kern w:val="0"/>
                <w:sz w:val="24"/>
                <w:szCs w:val="24"/>
              </w:rPr>
              <w:t>3.61</w:t>
            </w:r>
          </w:p>
        </w:tc>
      </w:tr>
      <w:tr>
        <w:tc>
          <w:tcPr>
            <w:vAlign w:val="center"/>
          </w:tcPr>
          <w:p>
            <w:pPr>
              <w:jc w:val="center"/>
            </w:pPr>
            <w:r>
              <w:rPr>
                <w:rFonts w:eastAsiaTheme="minorEastAsia"/>
                <w:kern w:val="0"/>
                <w:sz w:val="24"/>
                <w:szCs w:val="24"/>
              </w:rPr>
              <w:t>5</w:t>
            </w:r>
          </w:p>
        </w:tc>
        <w:tc>
          <w:tcPr>
            <w:vAlign w:val="center"/>
          </w:tcPr>
          <w:p>
            <w:pPr>
              <w:jc w:val="center"/>
            </w:pPr>
            <w:r>
              <w:rPr>
                <w:rFonts w:eastAsiaTheme="minorEastAsia"/>
                <w:kern w:val="0"/>
                <w:sz w:val="24"/>
                <w:szCs w:val="24"/>
              </w:rPr>
              <w:t>000301</w:t>
            </w:r>
          </w:p>
        </w:tc>
        <w:tc>
          <w:tcPr>
            <w:vAlign w:val="center"/>
          </w:tcPr>
          <w:p>
            <w:pPr>
              <w:jc w:val="center"/>
            </w:pPr>
            <w:r>
              <w:rPr>
                <w:rFonts w:eastAsiaTheme="minorEastAsia"/>
                <w:kern w:val="0"/>
                <w:sz w:val="24"/>
                <w:szCs w:val="24"/>
              </w:rPr>
              <w:t>东方盛虹</w:t>
            </w:r>
          </w:p>
        </w:tc>
        <w:tc>
          <w:tcPr>
            <w:vAlign w:val="center"/>
          </w:tcPr>
          <w:p>
            <w:pPr>
              <w:jc w:val="right"/>
            </w:pPr>
            <w:r>
              <w:rPr>
                <w:rFonts w:eastAsiaTheme="minorEastAsia"/>
                <w:kern w:val="0"/>
                <w:sz w:val="24"/>
                <w:szCs w:val="24"/>
              </w:rPr>
              <w:t>434,816</w:t>
            </w:r>
          </w:p>
        </w:tc>
        <w:tc>
          <w:tcPr>
            <w:vAlign w:val="center"/>
          </w:tcPr>
          <w:p>
            <w:pPr>
              <w:jc w:val="right"/>
            </w:pPr>
            <w:r>
              <w:rPr>
                <w:rFonts w:eastAsiaTheme="minorEastAsia"/>
                <w:kern w:val="0"/>
                <w:sz w:val="24"/>
                <w:szCs w:val="24"/>
              </w:rPr>
              <w:t>12,227,025.92</w:t>
            </w:r>
          </w:p>
        </w:tc>
        <w:tc>
          <w:tcPr>
            <w:vAlign w:val="center"/>
          </w:tcPr>
          <w:p>
            <w:pPr>
              <w:jc w:val="right"/>
            </w:pPr>
            <w:r>
              <w:rPr>
                <w:rFonts w:eastAsiaTheme="minorEastAsia"/>
                <w:kern w:val="0"/>
                <w:sz w:val="24"/>
                <w:szCs w:val="24"/>
              </w:rPr>
              <w:t>3.25</w:t>
            </w:r>
          </w:p>
        </w:tc>
      </w:tr>
      <w:tr>
        <w:tc>
          <w:tcPr>
            <w:vAlign w:val="center"/>
          </w:tcPr>
          <w:p>
            <w:pPr>
              <w:jc w:val="center"/>
            </w:pPr>
            <w:r>
              <w:rPr>
                <w:rFonts w:eastAsiaTheme="minorEastAsia"/>
                <w:kern w:val="0"/>
                <w:sz w:val="24"/>
                <w:szCs w:val="24"/>
              </w:rPr>
              <w:t>6</w:t>
            </w:r>
          </w:p>
        </w:tc>
        <w:tc>
          <w:tcPr>
            <w:vAlign w:val="center"/>
          </w:tcPr>
          <w:p>
            <w:pPr>
              <w:jc w:val="center"/>
            </w:pPr>
            <w:r>
              <w:rPr>
                <w:rFonts w:eastAsiaTheme="minorEastAsia"/>
                <w:kern w:val="0"/>
                <w:sz w:val="24"/>
                <w:szCs w:val="24"/>
              </w:rPr>
              <w:t>600958</w:t>
            </w:r>
          </w:p>
        </w:tc>
        <w:tc>
          <w:tcPr>
            <w:vAlign w:val="center"/>
          </w:tcPr>
          <w:p>
            <w:pPr>
              <w:jc w:val="center"/>
            </w:pPr>
            <w:r>
              <w:rPr>
                <w:rFonts w:eastAsiaTheme="minorEastAsia"/>
                <w:kern w:val="0"/>
                <w:sz w:val="24"/>
                <w:szCs w:val="24"/>
              </w:rPr>
              <w:t>东方证券</w:t>
            </w:r>
          </w:p>
        </w:tc>
        <w:tc>
          <w:tcPr>
            <w:vAlign w:val="center"/>
          </w:tcPr>
          <w:p>
            <w:pPr>
              <w:jc w:val="right"/>
            </w:pPr>
            <w:r>
              <w:rPr>
                <w:rFonts w:eastAsiaTheme="minorEastAsia"/>
                <w:kern w:val="0"/>
                <w:sz w:val="24"/>
                <w:szCs w:val="24"/>
              </w:rPr>
              <w:t>792,000</w:t>
            </w:r>
          </w:p>
        </w:tc>
        <w:tc>
          <w:tcPr>
            <w:vAlign w:val="center"/>
          </w:tcPr>
          <w:p>
            <w:pPr>
              <w:jc w:val="right"/>
            </w:pPr>
            <w:r>
              <w:rPr>
                <w:rFonts w:eastAsiaTheme="minorEastAsia"/>
                <w:kern w:val="0"/>
                <w:sz w:val="24"/>
                <w:szCs w:val="24"/>
              </w:rPr>
              <w:t>11,982,960.00</w:t>
            </w:r>
          </w:p>
        </w:tc>
        <w:tc>
          <w:tcPr>
            <w:vAlign w:val="center"/>
          </w:tcPr>
          <w:p>
            <w:pPr>
              <w:jc w:val="right"/>
            </w:pPr>
            <w:r>
              <w:rPr>
                <w:rFonts w:eastAsiaTheme="minorEastAsia"/>
                <w:kern w:val="0"/>
                <w:sz w:val="24"/>
                <w:szCs w:val="24"/>
              </w:rPr>
              <w:t>3.18</w:t>
            </w:r>
          </w:p>
        </w:tc>
      </w:tr>
      <w:tr>
        <w:tc>
          <w:tcPr>
            <w:vAlign w:val="center"/>
          </w:tcPr>
          <w:p>
            <w:pPr>
              <w:jc w:val="center"/>
            </w:pPr>
            <w:r>
              <w:rPr>
                <w:rFonts w:eastAsiaTheme="minorEastAsia"/>
                <w:kern w:val="0"/>
                <w:sz w:val="24"/>
                <w:szCs w:val="24"/>
              </w:rPr>
              <w:t>7</w:t>
            </w:r>
          </w:p>
        </w:tc>
        <w:tc>
          <w:tcPr>
            <w:vAlign w:val="center"/>
          </w:tcPr>
          <w:p>
            <w:pPr>
              <w:jc w:val="center"/>
            </w:pPr>
            <w:r>
              <w:rPr>
                <w:rFonts w:eastAsiaTheme="minorEastAsia"/>
                <w:kern w:val="0"/>
                <w:sz w:val="24"/>
                <w:szCs w:val="24"/>
              </w:rPr>
              <w:t>600438</w:t>
            </w:r>
          </w:p>
        </w:tc>
        <w:tc>
          <w:tcPr>
            <w:vAlign w:val="center"/>
          </w:tcPr>
          <w:p>
            <w:pPr>
              <w:jc w:val="center"/>
            </w:pPr>
            <w:r>
              <w:rPr>
                <w:rFonts w:eastAsiaTheme="minorEastAsia"/>
                <w:kern w:val="0"/>
                <w:sz w:val="24"/>
                <w:szCs w:val="24"/>
              </w:rPr>
              <w:t>通威股份</w:t>
            </w:r>
          </w:p>
        </w:tc>
        <w:tc>
          <w:tcPr>
            <w:vAlign w:val="center"/>
          </w:tcPr>
          <w:p>
            <w:pPr>
              <w:jc w:val="right"/>
            </w:pPr>
            <w:r>
              <w:rPr>
                <w:rFonts w:eastAsiaTheme="minorEastAsia"/>
                <w:kern w:val="0"/>
                <w:sz w:val="24"/>
                <w:szCs w:val="24"/>
              </w:rPr>
              <w:t>234,500</w:t>
            </w:r>
          </w:p>
        </w:tc>
        <w:tc>
          <w:tcPr>
            <w:vAlign w:val="center"/>
          </w:tcPr>
          <w:p>
            <w:pPr>
              <w:jc w:val="right"/>
            </w:pPr>
            <w:r>
              <w:rPr>
                <w:rFonts w:eastAsiaTheme="minorEastAsia"/>
                <w:kern w:val="0"/>
                <w:sz w:val="24"/>
                <w:szCs w:val="24"/>
              </w:rPr>
              <w:t>11,945,430.00</w:t>
            </w:r>
          </w:p>
        </w:tc>
        <w:tc>
          <w:tcPr>
            <w:vAlign w:val="center"/>
          </w:tcPr>
          <w:p>
            <w:pPr>
              <w:jc w:val="right"/>
            </w:pPr>
            <w:r>
              <w:rPr>
                <w:rFonts w:eastAsiaTheme="minorEastAsia"/>
                <w:kern w:val="0"/>
                <w:sz w:val="24"/>
                <w:szCs w:val="24"/>
              </w:rPr>
              <w:t>3.17</w:t>
            </w:r>
          </w:p>
        </w:tc>
      </w:tr>
      <w:tr>
        <w:tc>
          <w:tcPr>
            <w:vAlign w:val="center"/>
          </w:tcPr>
          <w:p>
            <w:pPr>
              <w:jc w:val="center"/>
            </w:pPr>
            <w:r>
              <w:rPr>
                <w:rFonts w:eastAsiaTheme="minorEastAsia"/>
                <w:kern w:val="0"/>
                <w:sz w:val="24"/>
                <w:szCs w:val="24"/>
              </w:rPr>
              <w:t>8</w:t>
            </w:r>
          </w:p>
        </w:tc>
        <w:tc>
          <w:tcPr>
            <w:vAlign w:val="center"/>
          </w:tcPr>
          <w:p>
            <w:pPr>
              <w:jc w:val="center"/>
            </w:pPr>
            <w:r>
              <w:rPr>
                <w:rFonts w:eastAsiaTheme="minorEastAsia"/>
                <w:kern w:val="0"/>
                <w:sz w:val="24"/>
                <w:szCs w:val="24"/>
              </w:rPr>
              <w:t>603323</w:t>
            </w:r>
          </w:p>
        </w:tc>
        <w:tc>
          <w:tcPr>
            <w:vAlign w:val="center"/>
          </w:tcPr>
          <w:p>
            <w:pPr>
              <w:jc w:val="center"/>
            </w:pPr>
            <w:r>
              <w:rPr>
                <w:rFonts w:eastAsiaTheme="minorEastAsia"/>
                <w:kern w:val="0"/>
                <w:sz w:val="24"/>
                <w:szCs w:val="24"/>
              </w:rPr>
              <w:t>苏农银行</w:t>
            </w:r>
          </w:p>
        </w:tc>
        <w:tc>
          <w:tcPr>
            <w:vAlign w:val="center"/>
          </w:tcPr>
          <w:p>
            <w:pPr>
              <w:jc w:val="right"/>
            </w:pPr>
            <w:r>
              <w:rPr>
                <w:rFonts w:eastAsiaTheme="minorEastAsia"/>
                <w:kern w:val="0"/>
                <w:sz w:val="24"/>
                <w:szCs w:val="24"/>
              </w:rPr>
              <w:t>2,288,800</w:t>
            </w:r>
          </w:p>
        </w:tc>
        <w:tc>
          <w:tcPr>
            <w:vAlign w:val="center"/>
          </w:tcPr>
          <w:p>
            <w:pPr>
              <w:jc w:val="right"/>
            </w:pPr>
            <w:r>
              <w:rPr>
                <w:rFonts w:eastAsiaTheme="minorEastAsia"/>
                <w:kern w:val="0"/>
                <w:sz w:val="24"/>
                <w:szCs w:val="24"/>
              </w:rPr>
              <w:t>11,901,760.00</w:t>
            </w:r>
          </w:p>
        </w:tc>
        <w:tc>
          <w:tcPr>
            <w:vAlign w:val="center"/>
          </w:tcPr>
          <w:p>
            <w:pPr>
              <w:jc w:val="right"/>
            </w:pPr>
            <w:r>
              <w:rPr>
                <w:rFonts w:eastAsiaTheme="minorEastAsia"/>
                <w:kern w:val="0"/>
                <w:sz w:val="24"/>
                <w:szCs w:val="24"/>
              </w:rPr>
              <w:t>3.16</w:t>
            </w:r>
          </w:p>
        </w:tc>
      </w:tr>
      <w:tr>
        <w:tc>
          <w:tcPr>
            <w:vAlign w:val="center"/>
          </w:tcPr>
          <w:p>
            <w:pPr>
              <w:jc w:val="center"/>
            </w:pPr>
            <w:r>
              <w:rPr>
                <w:rFonts w:eastAsiaTheme="minorEastAsia"/>
                <w:kern w:val="0"/>
                <w:sz w:val="24"/>
                <w:szCs w:val="24"/>
              </w:rPr>
              <w:t>9</w:t>
            </w:r>
          </w:p>
        </w:tc>
        <w:tc>
          <w:tcPr>
            <w:vAlign w:val="center"/>
          </w:tcPr>
          <w:p>
            <w:pPr>
              <w:jc w:val="center"/>
            </w:pPr>
            <w:r>
              <w:rPr>
                <w:rFonts w:eastAsiaTheme="minorEastAsia"/>
                <w:kern w:val="0"/>
                <w:sz w:val="24"/>
                <w:szCs w:val="24"/>
              </w:rPr>
              <w:t>300059</w:t>
            </w:r>
          </w:p>
        </w:tc>
        <w:tc>
          <w:tcPr>
            <w:vAlign w:val="center"/>
          </w:tcPr>
          <w:p>
            <w:pPr>
              <w:jc w:val="center"/>
            </w:pPr>
            <w:r>
              <w:rPr>
                <w:rFonts w:eastAsiaTheme="minorEastAsia"/>
                <w:kern w:val="0"/>
                <w:sz w:val="24"/>
                <w:szCs w:val="24"/>
              </w:rPr>
              <w:t>东方财富</w:t>
            </w:r>
          </w:p>
        </w:tc>
        <w:tc>
          <w:tcPr>
            <w:vAlign w:val="center"/>
          </w:tcPr>
          <w:p>
            <w:pPr>
              <w:jc w:val="right"/>
            </w:pPr>
            <w:r>
              <w:rPr>
                <w:rFonts w:eastAsiaTheme="minorEastAsia"/>
                <w:kern w:val="0"/>
                <w:sz w:val="24"/>
                <w:szCs w:val="24"/>
              </w:rPr>
              <w:t>335,900</w:t>
            </w:r>
          </w:p>
        </w:tc>
        <w:tc>
          <w:tcPr>
            <w:vAlign w:val="center"/>
          </w:tcPr>
          <w:p>
            <w:pPr>
              <w:jc w:val="right"/>
            </w:pPr>
            <w:r>
              <w:rPr>
                <w:rFonts w:eastAsiaTheme="minorEastAsia"/>
                <w:kern w:val="0"/>
                <w:sz w:val="24"/>
                <w:szCs w:val="24"/>
              </w:rPr>
              <w:t>11,544,883.00</w:t>
            </w:r>
          </w:p>
        </w:tc>
        <w:tc>
          <w:tcPr>
            <w:vAlign w:val="center"/>
          </w:tcPr>
          <w:p>
            <w:pPr>
              <w:jc w:val="right"/>
            </w:pPr>
            <w:r>
              <w:rPr>
                <w:rFonts w:eastAsiaTheme="minorEastAsia"/>
                <w:kern w:val="0"/>
                <w:sz w:val="24"/>
                <w:szCs w:val="24"/>
              </w:rPr>
              <w:t>3.07</w:t>
            </w:r>
          </w:p>
        </w:tc>
      </w:tr>
      <w:tr>
        <w:tc>
          <w:tcPr>
            <w:vAlign w:val="center"/>
          </w:tcPr>
          <w:p>
            <w:pPr>
              <w:jc w:val="center"/>
            </w:pPr>
            <w:r>
              <w:rPr>
                <w:rFonts w:eastAsiaTheme="minorEastAsia"/>
                <w:kern w:val="0"/>
                <w:sz w:val="24"/>
                <w:szCs w:val="24"/>
              </w:rPr>
              <w:t>10</w:t>
            </w:r>
          </w:p>
        </w:tc>
        <w:tc>
          <w:tcPr>
            <w:vAlign w:val="center"/>
          </w:tcPr>
          <w:p>
            <w:pPr>
              <w:jc w:val="center"/>
            </w:pPr>
            <w:r>
              <w:rPr>
                <w:rFonts w:eastAsiaTheme="minorEastAsia"/>
                <w:kern w:val="0"/>
                <w:sz w:val="24"/>
                <w:szCs w:val="24"/>
              </w:rPr>
              <w:t>601128</w:t>
            </w:r>
          </w:p>
        </w:tc>
        <w:tc>
          <w:tcPr>
            <w:vAlign w:val="center"/>
          </w:tcPr>
          <w:p>
            <w:pPr>
              <w:jc w:val="center"/>
            </w:pPr>
            <w:r>
              <w:rPr>
                <w:rFonts w:eastAsiaTheme="minorEastAsia"/>
                <w:kern w:val="0"/>
                <w:sz w:val="24"/>
                <w:szCs w:val="24"/>
              </w:rPr>
              <w:t>常熟银行</w:t>
            </w:r>
          </w:p>
        </w:tc>
        <w:tc>
          <w:tcPr>
            <w:vAlign w:val="center"/>
          </w:tcPr>
          <w:p>
            <w:pPr>
              <w:jc w:val="right"/>
            </w:pPr>
            <w:r>
              <w:rPr>
                <w:rFonts w:eastAsiaTheme="minorEastAsia"/>
                <w:kern w:val="0"/>
                <w:sz w:val="24"/>
                <w:szCs w:val="24"/>
              </w:rPr>
              <w:t>1,774,600</w:t>
            </w:r>
          </w:p>
        </w:tc>
        <w:tc>
          <w:tcPr>
            <w:vAlign w:val="center"/>
          </w:tcPr>
          <w:p>
            <w:pPr>
              <w:jc w:val="right"/>
            </w:pPr>
            <w:r>
              <w:rPr>
                <w:rFonts w:eastAsiaTheme="minorEastAsia"/>
                <w:kern w:val="0"/>
                <w:sz w:val="24"/>
                <w:szCs w:val="24"/>
              </w:rPr>
              <w:t>11,375,186.00</w:t>
            </w:r>
          </w:p>
        </w:tc>
        <w:tc>
          <w:tcPr>
            <w:vAlign w:val="center"/>
          </w:tcPr>
          <w:p>
            <w:pPr>
              <w:jc w:val="right"/>
            </w:pPr>
            <w:r>
              <w:rPr>
                <w:rFonts w:eastAsiaTheme="minorEastAsia"/>
                <w:kern w:val="0"/>
                <w:sz w:val="24"/>
                <w:szCs w:val="24"/>
              </w:rPr>
              <w:t>3.02</w:t>
            </w:r>
          </w:p>
        </w:tc>
      </w:tr>
    </w:tbl>
    <w:bookmarkEnd w:id="3"/>
    <w:p w14:paraId="5DBD10B5" w14:textId="77777777" w:rsidR="00D06738" w:rsidRDefault="00D06738" w:rsidRPr="00FF6B9A">
      <w:pPr>
        <w:autoSpaceDE w:val="0"/>
        <w:autoSpaceDN w:val="0"/>
        <w:adjustRightInd w:val="0"/>
        <w:spacing w:line="360" w:lineRule="auto"/>
        <w:jc w:val="left"/>
        <w:rPr>
          <w:rFonts w:eastAsiaTheme="minorEastAsia"/>
          <w:b/>
          <w:bCs/>
          <w:color w:themeColor="text1" w:val="000000"/>
          <w:kern w:val="0"/>
          <w:sz w:val="24"/>
          <w:szCs w:val="24"/>
        </w:rPr>
      </w:pPr>
    </w:p>
    <w:p w14:paraId="3936D236"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5.4 </w:t>
      </w:r>
      <w:r w:rsidRPr="00FF6B9A">
        <w:rPr>
          <w:rFonts w:eastAsiaTheme="minorEastAsia"/>
          <w:b/>
          <w:bCs/>
          <w:color w:themeColor="text1" w:val="000000"/>
          <w:kern w:val="0"/>
          <w:sz w:val="24"/>
          <w:szCs w:val="24"/>
        </w:rPr>
        <w:t>报告期末按债券品种分类的债券投资组合</w:t>
      </w:r>
    </w:p>
    <w:p w14:paraId="19B23906"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本基金本报告期末未持有债券。</w:t>
      </w:r>
    </w:p>
    <w:p w14:paraId="65425732"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3D1805F6"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5.5 </w:t>
      </w:r>
      <w:r w:rsidRPr="00FF6B9A">
        <w:rPr>
          <w:rFonts w:eastAsiaTheme="minorEastAsia"/>
          <w:b/>
          <w:bCs/>
          <w:color w:themeColor="text1" w:val="000000"/>
          <w:kern w:val="0"/>
          <w:sz w:val="24"/>
          <w:szCs w:val="24"/>
        </w:rPr>
        <w:t>报告期末按公允价值占基金资产净值比例大小排序的前五名债券投资明细</w:t>
      </w:r>
    </w:p>
    <w:p w14:paraId="06FBBA06"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本基金本报告期末未持有债券。</w:t>
      </w:r>
    </w:p>
    <w:p w14:paraId="021C2896" w14:textId="77777777" w:rsidR="00D06738" w:rsidRDefault="00D06738" w:rsidRPr="00FF6B9A">
      <w:pPr>
        <w:autoSpaceDE w:val="0"/>
        <w:autoSpaceDN w:val="0"/>
        <w:adjustRightInd w:val="0"/>
        <w:spacing w:line="360" w:lineRule="auto"/>
        <w:jc w:val="left"/>
        <w:rPr>
          <w:rFonts w:eastAsiaTheme="minorEastAsia"/>
          <w:b/>
          <w:bCs/>
          <w:color w:themeColor="text1" w:val="000000"/>
          <w:kern w:val="0"/>
          <w:sz w:val="24"/>
          <w:szCs w:val="24"/>
        </w:rPr>
      </w:pPr>
    </w:p>
    <w:p w14:paraId="0D4DC302"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xml:space="preserve">5.6 </w:t>
      </w:r>
      <w:r w:rsidRPr="00FF6B9A">
        <w:rPr>
          <w:rFonts w:eastAsiaTheme="minorEastAsia"/>
          <w:b/>
          <w:bCs/>
          <w:color w:themeColor="text1" w:val="000000"/>
          <w:kern w:val="0"/>
          <w:sz w:val="24"/>
          <w:szCs w:val="24"/>
        </w:rPr>
        <w:t>报告期末按公允价值占基金资产净值比例大小排序的前十名资产支持证券投资明细</w:t>
      </w:r>
    </w:p>
    <w:p w14:paraId="5BA223BB"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lastRenderedPageBreak/>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本基金本报告期末未持有资产支持证券。</w:t>
      </w:r>
    </w:p>
    <w:p w14:paraId="7641962C" w14:textId="77777777" w:rsidR="00D06738" w:rsidRDefault="00D06738" w:rsidRPr="00FF6B9A">
      <w:pPr>
        <w:autoSpaceDE w:val="0"/>
        <w:autoSpaceDN w:val="0"/>
        <w:adjustRightInd w:val="0"/>
        <w:spacing w:line="360" w:lineRule="auto"/>
        <w:jc w:val="left"/>
        <w:rPr>
          <w:rFonts w:eastAsiaTheme="minorEastAsia"/>
          <w:color w:themeColor="text1" w:val="000000"/>
          <w:sz w:val="24"/>
          <w:szCs w:val="24"/>
        </w:rPr>
      </w:pPr>
    </w:p>
    <w:p w14:paraId="4D2AFCA3"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5.</w:t>
      </w:r>
      <w:proofErr w:type="gramEnd"/>
      <w:r w:rsidRPr="00FF6B9A">
        <w:rPr>
          <w:rFonts w:eastAsiaTheme="minorEastAsia"/>
          <w:b/>
          <w:bCs/>
          <w:color w:themeColor="text1" w:val="000000"/>
          <w:kern w:val="0"/>
          <w:sz w:val="24"/>
          <w:szCs w:val="24"/>
        </w:rPr>
        <w:t xml:space="preserve">7 </w:t>
      </w:r>
      <w:r w:rsidRPr="00FF6B9A">
        <w:rPr>
          <w:rFonts w:eastAsiaTheme="minorEastAsia"/>
          <w:b/>
          <w:bCs/>
          <w:color w:themeColor="text1" w:val="000000"/>
          <w:kern w:val="0"/>
          <w:sz w:val="24"/>
          <w:szCs w:val="24"/>
        </w:rPr>
        <w:t>报告期末按公允价值占基金资产净值比例大小排序的前五名贵金属投资明细</w:t>
      </w:r>
    </w:p>
    <w:p w14:paraId="5072D892" w14:textId="77777777" w:rsidR="00D06738" w:rsidRDefault="00454D20" w:rsidRPr="00FF6B9A">
      <w:pPr>
        <w:widowControl/>
        <w:spacing w:line="360" w:lineRule="auto"/>
        <w:jc w:val="left"/>
        <w:rPr>
          <w:color w:themeColor="text1" w:val="000000"/>
        </w:rPr>
      </w:pPr>
      <w:r w:rsidRPr="00FF6B9A">
        <w:rPr>
          <w:color w:themeColor="text1" w:val="000000"/>
        </w:rPr>
        <w:t/>
      </w:r>
      <w:proofErr w:type="spellStart"/>
      <w:r w:rsidRPr="00FF6B9A">
        <w:rPr>
          <w:color w:themeColor="text1" w:val="000000"/>
        </w:rPr>
        <w:t/>
      </w:r>
      <w:proofErr w:type="gramStart"/>
      <w:r w:rsidRPr="00FF6B9A">
        <w:rPr>
          <w:color w:themeColor="text1" w:val="000000"/>
        </w:rPr>
        <w:t/>
      </w:r>
      <w:proofErr w:type="spellEnd"/>
      <w:r w:rsidRPr="00FF6B9A">
        <w:rPr>
          <w:color w:themeColor="text1" w:val="000000"/>
        </w:rPr>
        <w:t/>
      </w:r>
      <w:proofErr w:type="spellStart"/>
      <w:proofErr w:type="gramEnd"/>
      <w:r w:rsidRPr="00FF6B9A">
        <w:rPr>
          <w:color w:themeColor="text1" w:val="000000"/>
        </w:rPr>
        <w:t/>
      </w:r>
      <w:proofErr w:type="spellEnd"/>
      <w:r w:rsidRPr="00FF6B9A">
        <w:rPr>
          <w:color w:themeColor="text1" w:val="000000"/>
        </w:rPr>
        <w:t>本基金本报告期末未持有贵金属。</w:t>
      </w:r>
    </w:p>
    <w:p w14:paraId="60EB37E6"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3ACC4ABF"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5.</w:t>
      </w:r>
      <w:proofErr w:type="gramEnd"/>
      <w:r w:rsidRPr="00FF6B9A">
        <w:rPr>
          <w:rFonts w:eastAsiaTheme="minorEastAsia"/>
          <w:b/>
          <w:bCs/>
          <w:color w:themeColor="text1" w:val="000000"/>
          <w:kern w:val="0"/>
          <w:sz w:val="24"/>
          <w:szCs w:val="24"/>
        </w:rPr>
        <w:t xml:space="preserve">8 </w:t>
      </w:r>
      <w:r w:rsidRPr="00FF6B9A">
        <w:rPr>
          <w:rFonts w:eastAsiaTheme="minorEastAsia"/>
          <w:b/>
          <w:bCs/>
          <w:color w:themeColor="text1" w:val="000000"/>
          <w:kern w:val="0"/>
          <w:sz w:val="24"/>
          <w:szCs w:val="24"/>
        </w:rPr>
        <w:t>报告期末按公允价值占基金资产净值比例大小排序的前五名权证投资明细</w:t>
      </w:r>
    </w:p>
    <w:p w14:paraId="5CD73A7B"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lastRenderedPageBreak/>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本基金本报告期末未持有权证。</w:t>
      </w:r>
    </w:p>
    <w:p w14:paraId="47EB757F"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szCs w:val="24"/>
        </w:rPr>
      </w:pPr>
    </w:p>
    <w:p w14:paraId="2F0769CC"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spellStart"/>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
      </w:r>
      <w:proofErr w:type="spellEnd"/>
      <w:r w:rsidRPr="00FF6B9A">
        <w:rPr>
          <w:rFonts w:eastAsiaTheme="minorEastAsia"/>
          <w:b/>
          <w:bCs/>
          <w:color w:themeColor="text1" w:val="000000"/>
          <w:kern w:val="0"/>
          <w:sz w:val="24"/>
          <w:szCs w:val="24"/>
        </w:rPr>
        <w:t/>
      </w:r>
      <w:proofErr w:type="gramEnd"/>
      <w:r w:rsidRPr="00FF6B9A">
        <w:rPr>
          <w:rFonts w:eastAsiaTheme="minorEastAsia"/>
          <w:b/>
          <w:bCs/>
          <w:color w:themeColor="text1" w:val="000000"/>
          <w:kern w:val="0"/>
          <w:sz w:val="24"/>
          <w:szCs w:val="24"/>
        </w:rPr>
        <w:t xml:space="preserve">5.9 </w:t>
      </w:r>
      <w:r w:rsidRPr="00FF6B9A">
        <w:rPr>
          <w:rFonts w:eastAsiaTheme="minorEastAsia"/>
          <w:b/>
          <w:bCs/>
          <w:color w:themeColor="text1" w:val="000000"/>
          <w:kern w:val="0"/>
          <w:sz w:val="24"/>
          <w:szCs w:val="24"/>
        </w:rPr>
        <w:t>报告期末本基金投资的股指期货交易情况说明</w:t>
      </w:r>
    </w:p>
    <w:p w14:paraId="73A71E08"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本基金本报告期末未持有股指期货。</w:t>
      </w:r>
    </w:p>
    <w:p w14:paraId="6D381369" w14:textId="77777777" w:rsidR="00D06738" w:rsidRDefault="00D06738" w:rsidRPr="00FF6B9A">
      <w:pPr>
        <w:adjustRightInd w:val="0"/>
        <w:snapToGrid w:val="0"/>
        <w:spacing w:line="360" w:lineRule="exact"/>
        <w:rPr>
          <w:rFonts w:eastAsiaTheme="minorEastAsia"/>
          <w:color w:themeColor="text1" w:val="000000"/>
          <w:sz w:val="24"/>
          <w:szCs w:val="24"/>
        </w:rPr>
      </w:pPr>
    </w:p>
    <w:p w14:paraId="288DDC9C"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lastRenderedPageBreak/>
        <w:t/>
      </w:r>
      <w:proofErr w:type="spellStart"/>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
      </w:r>
      <w:proofErr w:type="spellEnd"/>
      <w:r w:rsidRPr="00FF6B9A">
        <w:rPr>
          <w:rFonts w:eastAsiaTheme="minorEastAsia"/>
          <w:b/>
          <w:bCs/>
          <w:color w:themeColor="text1" w:val="000000"/>
          <w:kern w:val="0"/>
          <w:sz w:val="24"/>
          <w:szCs w:val="24"/>
        </w:rPr>
        <w:t/>
      </w:r>
      <w:proofErr w:type="gramEnd"/>
      <w:r w:rsidRPr="00FF6B9A">
        <w:rPr>
          <w:rFonts w:eastAsiaTheme="minorEastAsia"/>
          <w:b/>
          <w:bCs/>
          <w:color w:themeColor="text1" w:val="000000"/>
          <w:kern w:val="0"/>
          <w:sz w:val="24"/>
          <w:szCs w:val="24"/>
        </w:rPr>
        <w:t>5.10</w:t>
      </w:r>
      <w:r w:rsidRPr="00FF6B9A">
        <w:rPr>
          <w:rFonts w:eastAsiaTheme="minorEastAsia"/>
          <w:b/>
          <w:bCs/>
          <w:color w:themeColor="text1" w:val="000000"/>
          <w:kern w:val="0"/>
          <w:sz w:val="24"/>
          <w:szCs w:val="24"/>
        </w:rPr>
        <w:t>报告期末本基金投资的国债期货交易情况说明</w:t>
      </w:r>
    </w:p>
    <w:p w14:paraId="5490A7F4" w14:textId="77777777" w:rsidR="00D06738" w:rsidRDefault="00454D20" w:rsidRPr="00FF6B9A">
      <w:pPr>
        <w:autoSpaceDE w:val="0"/>
        <w:autoSpaceDN w:val="0"/>
        <w:adjustRightInd w:val="0"/>
        <w:spacing w:line="360" w:lineRule="auto"/>
        <w:jc w:val="left"/>
        <w:rPr>
          <w:rFonts w:eastAsiaTheme="minorEastAsia"/>
          <w:color w:themeColor="text1" w:val="000000"/>
          <w:sz w:val="24"/>
          <w:szCs w:val="24"/>
        </w:rPr>
      </w:pPr>
      <w:r w:rsidRPr="00FF6B9A">
        <w:rPr>
          <w:rFonts w:eastAsiaTheme="minorEastAsia"/>
          <w:color w:themeColor="text1" w:val="000000"/>
          <w:sz w:val="24"/>
          <w:szCs w:val="24"/>
        </w:rPr>
        <w:t/>
      </w:r>
      <w:proofErr w:type="spellStart"/>
      <w:r w:rsidRPr="00FF6B9A">
        <w:rPr>
          <w:rFonts w:eastAsiaTheme="minorEastAsia"/>
          <w:color w:themeColor="text1" w:val="000000"/>
          <w:sz w:val="24"/>
          <w:szCs w:val="24"/>
        </w:rPr>
        <w:t/>
      </w:r>
      <w:proofErr w:type="gramStart"/>
      <w:r w:rsidRPr="00FF6B9A">
        <w:rPr>
          <w:rFonts w:eastAsiaTheme="minorEastAsia"/>
          <w:color w:themeColor="text1" w:val="000000"/>
          <w:sz w:val="24"/>
          <w:szCs w:val="24"/>
        </w:rPr>
        <w:t/>
      </w:r>
      <w:proofErr w:type="spellEnd"/>
      <w:r w:rsidRPr="00FF6B9A">
        <w:rPr>
          <w:rFonts w:eastAsiaTheme="minorEastAsia"/>
          <w:color w:themeColor="text1" w:val="000000"/>
          <w:sz w:val="24"/>
          <w:szCs w:val="24"/>
        </w:rPr>
        <w:t/>
      </w:r>
      <w:proofErr w:type="spellStart"/>
      <w:proofErr w:type="gramEnd"/>
      <w:r w:rsidRPr="00FF6B9A">
        <w:rPr>
          <w:rFonts w:eastAsiaTheme="minorEastAsia"/>
          <w:color w:themeColor="text1" w:val="000000"/>
          <w:sz w:val="24"/>
          <w:szCs w:val="24"/>
        </w:rPr>
        <w:t/>
      </w:r>
      <w:proofErr w:type="spellEnd"/>
      <w:r w:rsidRPr="00FF6B9A">
        <w:rPr>
          <w:rFonts w:eastAsiaTheme="minorEastAsia"/>
          <w:color w:themeColor="text1" w:val="000000"/>
          <w:sz w:val="24"/>
          <w:szCs w:val="24"/>
        </w:rPr>
        <w:t>本基金本报告期末未持有国债期货。</w:t>
      </w:r>
    </w:p>
    <w:p w14:paraId="0AD515B3"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5.</w:t>
      </w:r>
      <w:proofErr w:type="gramEnd"/>
      <w:r w:rsidRPr="00FF6B9A">
        <w:rPr>
          <w:rFonts w:eastAsiaTheme="minorEastAsia"/>
          <w:b/>
          <w:bCs/>
          <w:color w:themeColor="text1" w:val="000000"/>
          <w:kern w:val="0"/>
          <w:sz w:val="24"/>
          <w:szCs w:val="24"/>
        </w:rPr>
        <w:t xml:space="preserve">11 </w:t>
      </w:r>
      <w:r w:rsidRPr="00FF6B9A">
        <w:rPr>
          <w:rFonts w:eastAsiaTheme="minorEastAsia"/>
          <w:b/>
          <w:bCs/>
          <w:color w:themeColor="text1" w:val="000000"/>
          <w:kern w:val="0"/>
          <w:sz w:val="24"/>
          <w:szCs w:val="24"/>
        </w:rPr>
        <w:t>投资组合报告附注</w:t>
      </w:r>
    </w:p>
    <w:p w14:paraId="2BAE184B"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color w:themeColor="text1" w:val="000000"/>
          <w:sz w:val="24"/>
          <w:szCs w:val="24"/>
        </w:rPr>
        <w:t/>
      </w:r>
      <w:proofErr w:type="gramStart"/>
      <w:r w:rsidRPr="00FF6B9A">
        <w:rPr>
          <w:rFonts w:eastAsiaTheme="minorEastAsia"/>
          <w:color w:themeColor="text1" w:val="000000"/>
          <w:sz w:val="24"/>
          <w:szCs w:val="24"/>
        </w:rPr>
        <w:t>5.</w:t>
      </w:r>
      <w:proofErr w:type="gramEnd"/>
      <w:r w:rsidRPr="00FF6B9A">
        <w:rPr>
          <w:rFonts w:eastAsiaTheme="minorEastAsia"/>
          <w:color w:themeColor="text1" w:val="000000"/>
          <w:sz w:val="24"/>
          <w:szCs w:val="24"/>
        </w:rPr>
        <w:t>11.1报告期内本基金投资的前十名证券的发行主体本期没有出现被监管部门立案调查，或在报告编制日前一年内受到公开谴责、处罚的情形。</w:t>
      </w:r>
    </w:p>
    <w:p w14:paraId="50E6CBCA" w14:textId="77777777" w:rsidR="00D06738" w:rsidRDefault="00454D20" w:rsidRPr="00FF6B9A">
      <w:pPr>
        <w:spacing w:line="360" w:lineRule="auto"/>
        <w:rPr>
          <w:rFonts w:eastAsiaTheme="minorEastAsia"/>
          <w:color w:themeColor="text1" w:val="000000"/>
          <w:sz w:val="24"/>
          <w:szCs w:val="24"/>
        </w:rPr>
      </w:pPr>
      <w:r w:rsidRPr="00FF6B9A">
        <w:rPr>
          <w:rFonts w:eastAsiaTheme="minorEastAsia"/>
          <w:color w:themeColor="text1" w:val="000000"/>
          <w:sz w:val="24"/>
          <w:szCs w:val="24"/>
        </w:rPr>
        <w:t/>
      </w:r>
      <w:proofErr w:type="gramStart"/>
      <w:r w:rsidRPr="00FF6B9A">
        <w:rPr>
          <w:rFonts w:eastAsiaTheme="minorEastAsia"/>
          <w:color w:themeColor="text1" w:val="000000"/>
          <w:sz w:val="24"/>
          <w:szCs w:val="24"/>
        </w:rPr>
        <w:t>5.</w:t>
      </w:r>
      <w:proofErr w:type="gramEnd"/>
      <w:r w:rsidRPr="00FF6B9A">
        <w:rPr>
          <w:rFonts w:eastAsiaTheme="minorEastAsia"/>
          <w:color w:themeColor="text1" w:val="000000"/>
          <w:sz w:val="24"/>
          <w:szCs w:val="24"/>
        </w:rPr>
        <w:t>11.2报告期内本基金投资的前十名股票中没有在基金合同规定备选股票库之外的股票。</w:t>
      </w:r>
    </w:p>
    <w:p w14:paraId="4124D65B"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5.</w:t>
      </w:r>
      <w:proofErr w:type="gramEnd"/>
      <w:r w:rsidRPr="00FF6B9A">
        <w:rPr>
          <w:rFonts w:eastAsiaTheme="minorEastAsia"/>
          <w:b/>
          <w:bCs/>
          <w:color w:themeColor="text1" w:val="000000"/>
          <w:kern w:val="0"/>
          <w:sz w:val="24"/>
          <w:szCs w:val="24"/>
        </w:rPr>
        <w:t xml:space="preserve">11.3 </w:t>
      </w:r>
      <w:r w:rsidRPr="00FF6B9A">
        <w:rPr>
          <w:rFonts w:eastAsiaTheme="minorEastAsia"/>
          <w:b/>
          <w:bCs/>
          <w:color w:themeColor="text1" w:val="000000"/>
          <w:kern w:val="0"/>
          <w:sz w:val="24"/>
          <w:szCs w:val="24"/>
        </w:rPr>
        <w:t>其他资产构成</w:t>
      </w:r>
    </w:p>
    <w:tbl>
      <w:tblPr>
        <w:tblStyle w:val="aff4"/>
        <w:tblW w:type="dxa" w:w="8513"/>
        <w:tblInd w:type="dxa" w:w="15"/>
        <w:tblLayout w:type="fixed"/>
        <w:tblLook w:firstColumn="1" w:firstRow="1" w:lastColumn="0" w:lastRow="0" w:noHBand="0" w:noVBand="1" w:val="04A0"/>
      </w:tblPr>
      <w:tblGrid>
        <w:gridCol w:w="1235"/>
        <w:gridCol w:w="2470"/>
        <w:gridCol w:w="4808"/>
      </w:tblGrid>
      <w:tr w14:paraId="287E547D" w14:textId="77777777" w:rsidR="00D06738" w:rsidRPr="00FF6B9A">
        <w:tc>
          <w:tcPr>
            <w:tcW w:type="dxa" w:w="1235"/>
            <w:vAlign w:val="center"/>
          </w:tcPr>
          <w:p w14:paraId="3D402FF5"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序号</w:t>
            </w:r>
          </w:p>
        </w:tc>
        <w:tc>
          <w:tcPr>
            <w:tcW w:type="dxa" w:w="2470"/>
            <w:vAlign w:val="center"/>
          </w:tcPr>
          <w:p w14:paraId="627CAE1B"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名称</w:t>
            </w:r>
          </w:p>
        </w:tc>
        <w:tc>
          <w:tcPr>
            <w:tcW w:type="dxa" w:w="4808"/>
            <w:vAlign w:val="center"/>
          </w:tcPr>
          <w:p w14:paraId="6430356C" w14:textId="77777777" w:rsidR="00D06738" w:rsidRDefault="00454D20" w:rsidRPr="00FF6B9A">
            <w:pPr>
              <w:autoSpaceDE w:val="0"/>
              <w:autoSpaceDN w:val="0"/>
              <w:adjustRightInd w:val="0"/>
              <w:spacing w:before="29" w:line="360" w:lineRule="auto"/>
              <w:ind w:left="17"/>
              <w:jc w:val="center"/>
              <w:rPr>
                <w:rFonts w:eastAsiaTheme="minorEastAsia"/>
                <w:color w:themeColor="text1" w:val="000000"/>
                <w:kern w:val="0"/>
              </w:rPr>
            </w:pPr>
            <w:r w:rsidRPr="00FF6B9A">
              <w:rPr>
                <w:rFonts w:eastAsiaTheme="minorEastAsia"/>
                <w:color w:themeColor="text1" w:val="000000"/>
                <w:kern w:val="0"/>
              </w:rPr>
              <w:t>金额</w:t>
            </w:r>
            <w:r w:rsidRPr="00FF6B9A">
              <w:rPr>
                <w:rFonts w:eastAsiaTheme="minorEastAsia"/>
                <w:color w:themeColor="text1" w:val="000000"/>
                <w:kern w:val="0"/>
              </w:rPr>
              <w:t>(</w:t>
            </w:r>
            <w:r w:rsidRPr="00FF6B9A">
              <w:rPr>
                <w:rFonts w:eastAsiaTheme="minorEastAsia"/>
                <w:color w:themeColor="text1" w:val="000000"/>
                <w:kern w:val="0"/>
              </w:rPr>
              <w:t>元</w:t>
            </w:r>
            <w:r w:rsidRPr="00FF6B9A">
              <w:rPr>
                <w:rFonts w:eastAsiaTheme="minorEastAsia"/>
                <w:color w:themeColor="text1" w:val="000000"/>
                <w:kern w:val="0"/>
              </w:rPr>
              <w:t>)</w:t>
            </w:r>
          </w:p>
        </w:tc>
      </w:tr>
      <w:tr w14:paraId="2C715D80" w14:textId="77777777" w:rsidR="00D06738" w:rsidRPr="00FF6B9A">
        <w:tc>
          <w:tcPr>
            <w:tcW w:type="dxa" w:w="1235"/>
            <w:vAlign w:val="center"/>
          </w:tcPr>
          <w:p w14:paraId="117C1A9A"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1</w:t>
            </w:r>
          </w:p>
        </w:tc>
        <w:tc>
          <w:tcPr>
            <w:tcW w:type="dxa" w:w="2470"/>
            <w:vAlign w:val="center"/>
          </w:tcPr>
          <w:p w14:paraId="61153B98"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存出保证金</w:t>
            </w:r>
          </w:p>
        </w:tc>
        <w:tc>
          <w:tcPr>
            <w:tcW w:type="dxa" w:w="4808"/>
            <w:vAlign w:val="center"/>
          </w:tcPr>
          <w:p w14:paraId="069C1229"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177,483.95</w:t>
            </w:r>
          </w:p>
        </w:tc>
      </w:tr>
      <w:tr w14:paraId="3C032846" w14:textId="77777777" w:rsidR="00D06738" w:rsidRPr="00FF6B9A">
        <w:tc>
          <w:tcPr>
            <w:tcW w:type="dxa" w:w="1235"/>
            <w:vAlign w:val="center"/>
          </w:tcPr>
          <w:p w14:paraId="141CD098"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2</w:t>
            </w:r>
          </w:p>
        </w:tc>
        <w:tc>
          <w:tcPr>
            <w:tcW w:type="dxa" w:w="2470"/>
            <w:vAlign w:val="center"/>
          </w:tcPr>
          <w:p w14:paraId="307B0992"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应收证券清算款</w:t>
            </w:r>
          </w:p>
        </w:tc>
        <w:tc>
          <w:tcPr>
            <w:tcW w:type="dxa" w:w="4808"/>
            <w:vAlign w:val="center"/>
          </w:tcPr>
          <w:p w14:paraId="7B2B0246"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176311B8" w14:textId="77777777" w:rsidR="00D06738" w:rsidRPr="00FF6B9A">
        <w:tc>
          <w:tcPr>
            <w:tcW w:type="dxa" w:w="1235"/>
            <w:vAlign w:val="center"/>
          </w:tcPr>
          <w:p w14:paraId="602CCE2F"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3</w:t>
            </w:r>
          </w:p>
        </w:tc>
        <w:tc>
          <w:tcPr>
            <w:tcW w:type="dxa" w:w="2470"/>
            <w:vAlign w:val="center"/>
          </w:tcPr>
          <w:p w14:paraId="31EEC93A"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应收股利</w:t>
            </w:r>
          </w:p>
        </w:tc>
        <w:tc>
          <w:tcPr>
            <w:tcW w:type="dxa" w:w="4808"/>
            <w:vAlign w:val="center"/>
          </w:tcPr>
          <w:p w14:paraId="30AA7BFB"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6C0EC699" w14:textId="77777777" w:rsidR="00D06738" w:rsidRPr="00FF6B9A">
        <w:tc>
          <w:tcPr>
            <w:tcW w:type="dxa" w:w="1235"/>
            <w:vAlign w:val="center"/>
          </w:tcPr>
          <w:p w14:paraId="4EAB88E6"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4</w:t>
            </w:r>
          </w:p>
        </w:tc>
        <w:tc>
          <w:tcPr>
            <w:tcW w:type="dxa" w:w="2470"/>
            <w:vAlign w:val="center"/>
          </w:tcPr>
          <w:p w14:paraId="25AFBD38"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应收利息</w:t>
            </w:r>
          </w:p>
        </w:tc>
        <w:tc>
          <w:tcPr>
            <w:tcW w:type="dxa" w:w="4808"/>
            <w:vAlign w:val="center"/>
          </w:tcPr>
          <w:p w14:paraId="61FAC2C4"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6,889.19</w:t>
            </w:r>
          </w:p>
        </w:tc>
      </w:tr>
      <w:tr w14:paraId="617FE4E0" w14:textId="77777777" w:rsidR="00D06738" w:rsidRPr="00FF6B9A">
        <w:tc>
          <w:tcPr>
            <w:tcW w:type="dxa" w:w="1235"/>
            <w:vAlign w:val="center"/>
          </w:tcPr>
          <w:p w14:paraId="0DE5BCEB"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5</w:t>
            </w:r>
          </w:p>
        </w:tc>
        <w:tc>
          <w:tcPr>
            <w:tcW w:type="dxa" w:w="2470"/>
            <w:vAlign w:val="center"/>
          </w:tcPr>
          <w:p w14:paraId="418D350C"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应收申购款</w:t>
            </w:r>
          </w:p>
        </w:tc>
        <w:tc>
          <w:tcPr>
            <w:tcW w:type="dxa" w:w="4808"/>
            <w:vAlign w:val="center"/>
          </w:tcPr>
          <w:p w14:paraId="6138F79B"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485,460.40</w:t>
            </w:r>
          </w:p>
        </w:tc>
      </w:tr>
      <w:tr w14:paraId="2FF8C6CF" w14:textId="77777777" w:rsidR="00D06738" w:rsidRPr="00FF6B9A">
        <w:tc>
          <w:tcPr>
            <w:tcW w:type="dxa" w:w="1235"/>
            <w:vAlign w:val="center"/>
          </w:tcPr>
          <w:p w14:paraId="027C50FA"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6</w:t>
            </w:r>
          </w:p>
        </w:tc>
        <w:tc>
          <w:tcPr>
            <w:tcW w:type="dxa" w:w="2470"/>
            <w:vAlign w:val="center"/>
          </w:tcPr>
          <w:p w14:paraId="763B3400"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其他应收款</w:t>
            </w:r>
          </w:p>
        </w:tc>
        <w:tc>
          <w:tcPr>
            <w:tcW w:type="dxa" w:w="4808"/>
            <w:vAlign w:val="center"/>
          </w:tcPr>
          <w:p w14:paraId="5846D225"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472C6A37" w14:textId="77777777" w:rsidR="00D06738" w:rsidRPr="00FF6B9A">
        <w:tc>
          <w:tcPr>
            <w:tcW w:type="dxa" w:w="1235"/>
            <w:vAlign w:val="center"/>
          </w:tcPr>
          <w:p w14:paraId="75EFC638"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7</w:t>
            </w:r>
          </w:p>
        </w:tc>
        <w:tc>
          <w:tcPr>
            <w:tcW w:type="dxa" w:w="2470"/>
            <w:vAlign w:val="center"/>
          </w:tcPr>
          <w:p w14:paraId="0A943614"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待摊费用</w:t>
            </w:r>
          </w:p>
        </w:tc>
        <w:tc>
          <w:tcPr>
            <w:tcW w:type="dxa" w:w="4808"/>
            <w:vAlign w:val="center"/>
          </w:tcPr>
          <w:p w14:paraId="72EB47BF"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1EB71240" w14:textId="77777777" w:rsidR="00D06738" w:rsidRPr="00FF6B9A">
        <w:tc>
          <w:tcPr>
            <w:tcW w:type="dxa" w:w="1235"/>
            <w:vAlign w:val="center"/>
          </w:tcPr>
          <w:p w14:paraId="4CA5E701"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lastRenderedPageBreak/>
              <w:t>8</w:t>
            </w:r>
          </w:p>
        </w:tc>
        <w:tc>
          <w:tcPr>
            <w:tcW w:type="dxa" w:w="2470"/>
            <w:vAlign w:val="center"/>
          </w:tcPr>
          <w:p w14:paraId="139BE609"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其他</w:t>
            </w:r>
          </w:p>
        </w:tc>
        <w:tc>
          <w:tcPr>
            <w:tcW w:type="dxa" w:w="4808"/>
            <w:vAlign w:val="center"/>
          </w:tcPr>
          <w:p w14:paraId="5ED4A47C"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w:t>
            </w:r>
          </w:p>
        </w:tc>
      </w:tr>
      <w:tr w14:paraId="3A99357C" w14:textId="77777777" w:rsidR="00D06738" w:rsidRPr="00FF6B9A">
        <w:tc>
          <w:tcPr>
            <w:tcW w:type="dxa" w:w="1235"/>
            <w:vAlign w:val="center"/>
          </w:tcPr>
          <w:p w14:paraId="7043D59F" w14:textId="77777777" w:rsidR="00D06738" w:rsidRDefault="00454D20" w:rsidRPr="00FF6B9A">
            <w:pPr>
              <w:autoSpaceDE w:val="0"/>
              <w:autoSpaceDN w:val="0"/>
              <w:adjustRightInd w:val="0"/>
              <w:spacing w:before="29" w:line="360" w:lineRule="auto"/>
              <w:ind w:left="15"/>
              <w:jc w:val="center"/>
              <w:rPr>
                <w:rFonts w:eastAsiaTheme="minorEastAsia"/>
                <w:color w:themeColor="text1" w:val="000000"/>
                <w:kern w:val="0"/>
              </w:rPr>
            </w:pPr>
            <w:r w:rsidRPr="00FF6B9A">
              <w:rPr>
                <w:rFonts w:eastAsiaTheme="minorEastAsia"/>
                <w:color w:themeColor="text1" w:val="000000"/>
                <w:kern w:val="0"/>
              </w:rPr>
              <w:t>9</w:t>
            </w:r>
          </w:p>
        </w:tc>
        <w:tc>
          <w:tcPr>
            <w:tcW w:type="dxa" w:w="2470"/>
            <w:vAlign w:val="center"/>
          </w:tcPr>
          <w:p w14:paraId="756733B0" w14:textId="77777777" w:rsidR="00D06738" w:rsidRDefault="00454D20" w:rsidRPr="00FF6B9A">
            <w:pPr>
              <w:autoSpaceDE w:val="0"/>
              <w:autoSpaceDN w:val="0"/>
              <w:adjustRightInd w:val="0"/>
              <w:spacing w:before="29" w:line="360" w:lineRule="auto"/>
              <w:ind w:left="15"/>
              <w:rPr>
                <w:rFonts w:eastAsiaTheme="minorEastAsia"/>
                <w:color w:themeColor="text1" w:val="000000"/>
                <w:kern w:val="0"/>
              </w:rPr>
            </w:pPr>
            <w:r w:rsidRPr="00FF6B9A">
              <w:rPr>
                <w:rFonts w:eastAsiaTheme="minorEastAsia"/>
                <w:color w:themeColor="text1" w:val="000000"/>
                <w:kern w:val="0"/>
              </w:rPr>
              <w:t>合计</w:t>
            </w:r>
          </w:p>
        </w:tc>
        <w:tc>
          <w:tcPr>
            <w:tcW w:type="dxa" w:w="4808"/>
            <w:vAlign w:val="center"/>
          </w:tcPr>
          <w:p w14:paraId="1336DBC1"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proofErr w:type="spellEnd"/>
            <w:r w:rsidRPr="00FF6B9A">
              <w:rPr>
                <w:rFonts w:eastAsiaTheme="minorEastAsia"/>
                <w:color w:themeColor="text1" w:val="000000"/>
                <w:kern w:val="0"/>
              </w:rPr>
              <w:t>669,833.54</w:t>
            </w:r>
          </w:p>
        </w:tc>
      </w:tr>
    </w:tbl>
    <w:p w14:paraId="4676AA60" w14:textId="77777777" w:rsidR="00D06738" w:rsidRDefault="00D06738" w:rsidRPr="00FF6B9A">
      <w:pPr>
        <w:autoSpaceDE w:val="0"/>
        <w:autoSpaceDN w:val="0"/>
        <w:adjustRightInd w:val="0"/>
        <w:spacing w:line="360" w:lineRule="auto"/>
        <w:rPr>
          <w:rFonts w:eastAsiaTheme="minorEastAsia"/>
          <w:color w:themeColor="text1" w:val="000000"/>
          <w:sz w:val="24"/>
          <w:szCs w:val="24"/>
        </w:rPr>
      </w:pPr>
    </w:p>
    <w:p w14:paraId="5172EF34"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5.</w:t>
      </w:r>
      <w:proofErr w:type="gramEnd"/>
      <w:r w:rsidRPr="00FF6B9A">
        <w:rPr>
          <w:rFonts w:eastAsiaTheme="minorEastAsia"/>
          <w:b/>
          <w:bCs/>
          <w:color w:themeColor="text1" w:val="000000"/>
          <w:kern w:val="0"/>
          <w:sz w:val="24"/>
          <w:szCs w:val="24"/>
        </w:rPr>
        <w:t>11.4</w:t>
      </w:r>
      <w:r w:rsidRPr="00FF6B9A">
        <w:rPr>
          <w:rFonts w:eastAsiaTheme="minorEastAsia"/>
          <w:b/>
          <w:bCs/>
          <w:color w:themeColor="text1" w:val="000000"/>
          <w:kern w:val="0"/>
          <w:sz w:val="24"/>
          <w:szCs w:val="24"/>
        </w:rPr>
        <w:t>报告期末持有的处于转股期的可转换债券明细</w:t>
      </w:r>
    </w:p>
    <w:p w14:paraId="0C2B4847"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spellStart"/>
      <w:proofErr w:type="gramEnd"/>
      <w:r w:rsidRPr="00FF6B9A">
        <w:rPr>
          <w:rFonts w:eastAsiaTheme="minorEastAsia"/>
          <w:color w:themeColor="text1" w:val="000000"/>
        </w:rPr>
        <w:t/>
      </w:r>
      <w:proofErr w:type="spellEnd"/>
      <w:r w:rsidRPr="00FF6B9A">
        <w:rPr>
          <w:rFonts w:eastAsiaTheme="minorEastAsia"/>
          <w:color w:themeColor="text1" w:val="000000"/>
        </w:rPr>
        <w:t>本基金本报告期末未持有处于转股期的可转换债券。</w:t>
      </w:r>
    </w:p>
    <w:p w14:paraId="73809093" w14:textId="77777777" w:rsidR="00D06738" w:rsidRDefault="00D06738" w:rsidRPr="00FF6B9A">
      <w:pPr>
        <w:autoSpaceDE w:val="0"/>
        <w:autoSpaceDN w:val="0"/>
        <w:adjustRightInd w:val="0"/>
        <w:spacing w:line="360" w:lineRule="auto"/>
        <w:rPr>
          <w:rFonts w:eastAsiaTheme="minorEastAsia"/>
          <w:color w:themeColor="text1" w:val="000000"/>
          <w:sz w:val="24"/>
          <w:szCs w:val="24"/>
        </w:rPr>
      </w:pPr>
    </w:p>
    <w:p w14:paraId="26374DDE"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5.</w:t>
      </w:r>
      <w:proofErr w:type="gramEnd"/>
      <w:r w:rsidRPr="00FF6B9A">
        <w:rPr>
          <w:rFonts w:eastAsiaTheme="minorEastAsia"/>
          <w:b/>
          <w:bCs/>
          <w:color w:themeColor="text1" w:val="000000"/>
          <w:kern w:val="0"/>
          <w:sz w:val="24"/>
          <w:szCs w:val="24"/>
        </w:rPr>
        <w:t>11.5</w:t>
      </w:r>
      <w:r w:rsidRPr="00FF6B9A">
        <w:rPr>
          <w:rFonts w:eastAsiaTheme="minorEastAsia"/>
          <w:b/>
          <w:bCs/>
          <w:color w:themeColor="text1" w:val="000000"/>
          <w:kern w:val="0"/>
          <w:sz w:val="24"/>
          <w:szCs w:val="24"/>
        </w:rPr>
        <w:t>报告期末前十名股票中存在流通受限情况的说明</w:t>
      </w:r>
    </w:p>
    <w:p w14:paraId="7A502387"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rPr>
        <w:t/>
      </w:r>
      <w:proofErr w:type="gramStart"/>
      <w:r w:rsidRPr="00FF6B9A">
        <w:rPr>
          <w:rFonts w:eastAsiaTheme="minorEastAsia"/>
          <w:color w:themeColor="text1" w:val="000000"/>
        </w:rPr>
        <w:t/>
      </w:r>
      <w:proofErr w:type="gramEnd"/>
      <w:r w:rsidRPr="00FF6B9A">
        <w:rPr>
          <w:rFonts w:eastAsiaTheme="minorEastAsia"/>
          <w:color w:themeColor="text1" w:val="000000"/>
        </w:rPr>
        <w:t>本基金本报告期末前十名股票中不存在流通受限情况。</w:t>
      </w:r>
    </w:p>
    <w:p w14:paraId="6F6FE44E" w14:textId="77777777" w:rsidR="00D06738" w:rsidRDefault="00D06738" w:rsidRPr="00FF6B9A">
      <w:pPr>
        <w:autoSpaceDE w:val="0"/>
        <w:autoSpaceDN w:val="0"/>
        <w:adjustRightInd w:val="0"/>
        <w:spacing w:line="360" w:lineRule="auto"/>
        <w:rPr>
          <w:rFonts w:eastAsiaTheme="minorEastAsia"/>
          <w:color w:themeColor="text1" w:val="000000"/>
          <w:sz w:val="24"/>
          <w:szCs w:val="24"/>
        </w:rPr>
      </w:pPr>
    </w:p>
    <w:p w14:paraId="329684B0"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spellStart"/>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
      </w:r>
      <w:proofErr w:type="spellEnd"/>
      <w:r w:rsidRPr="00FF6B9A">
        <w:rPr>
          <w:rFonts w:eastAsiaTheme="minorEastAsia"/>
          <w:b/>
          <w:bCs/>
          <w:color w:themeColor="text1" w:val="000000"/>
          <w:kern w:val="0"/>
          <w:sz w:val="24"/>
          <w:szCs w:val="24"/>
        </w:rPr>
        <w:t/>
      </w:r>
      <w:proofErr w:type="gramEnd"/>
      <w:r w:rsidRPr="00FF6B9A">
        <w:rPr>
          <w:rFonts w:eastAsiaTheme="minorEastAsia"/>
          <w:b/>
          <w:bCs/>
          <w:color w:themeColor="text1" w:val="000000"/>
          <w:kern w:val="0"/>
          <w:sz w:val="24"/>
          <w:szCs w:val="24"/>
        </w:rPr>
        <w:t>5.11.6</w:t>
      </w:r>
      <w:r w:rsidRPr="00FF6B9A">
        <w:rPr>
          <w:rFonts w:eastAsiaTheme="minorEastAsia"/>
          <w:b/>
          <w:bCs/>
          <w:color w:themeColor="text1" w:val="000000"/>
          <w:kern w:val="0"/>
          <w:sz w:val="24"/>
          <w:szCs w:val="24"/>
        </w:rPr>
        <w:t>投资组合报告附注的其他文字描述部分</w:t>
      </w:r>
    </w:p>
    <w:p w14:paraId="536D339F"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因四舍五入的原因，投资组合报告中分项之和与合计数可能存在尾差。</w:t>
      </w:r>
    </w:p>
    <w:p w14:paraId="1F6232E1" w14:textId="77777777" w:rsidR="00D06738" w:rsidRDefault="00454D20" w:rsidRPr="00FF6B9A">
      <w:pPr>
        <w:pStyle w:val="1"/>
        <w:spacing w:after="312" w:afterLines="100" w:before="312" w:beforeLines="100" w:line="360" w:lineRule="auto"/>
        <w:jc w:val="center"/>
        <w:rPr>
          <w:rFonts w:eastAsiaTheme="minorEastAsia"/>
          <w:color w:themeColor="text1" w:val="000000"/>
          <w:kern w:val="0"/>
          <w:sz w:val="24"/>
          <w:szCs w:val="24"/>
        </w:rPr>
      </w:pPr>
      <w:r w:rsidRPr="00FF6B9A">
        <w:rPr>
          <w:rFonts w:eastAsiaTheme="minorEastAsia"/>
          <w:color w:themeColor="text1" w:val="000000"/>
          <w:kern w:val="0"/>
          <w:sz w:val="24"/>
          <w:szCs w:val="24"/>
        </w:rPr>
        <w:lastRenderedPageBreak/>
        <w:t xml:space="preserve">§6  </w:t>
      </w:r>
      <w:r w:rsidRPr="00FF6B9A">
        <w:rPr>
          <w:rFonts w:eastAsiaTheme="minorEastAsia"/>
          <w:color w:themeColor="text1" w:val="000000"/>
          <w:kern w:val="0"/>
          <w:sz w:val="24"/>
          <w:szCs w:val="24"/>
        </w:rPr>
        <w:t>开放式基金份额变动</w:t>
      </w:r>
    </w:p>
    <w:p w14:paraId="1546AC98" w14:textId="77777777" w:rsidR="00D06738" w:rsidRDefault="00454D20" w:rsidRPr="00FF6B9A">
      <w:pPr>
        <w:autoSpaceDE w:val="0"/>
        <w:autoSpaceDN w:val="0"/>
        <w:adjustRightInd w:val="0"/>
        <w:spacing w:before="29" w:line="360" w:lineRule="auto"/>
        <w:ind w:left="15"/>
        <w:jc w:val="right"/>
        <w:rPr>
          <w:rFonts w:eastAsiaTheme="minorEastAsia"/>
          <w:color w:themeColor="text1" w:val="000000"/>
          <w:kern w:val="0"/>
          <w:sz w:val="24"/>
          <w:szCs w:val="24"/>
        </w:rPr>
      </w:pPr>
      <w:r w:rsidRPr="00FF6B9A">
        <w:rPr>
          <w:rFonts w:eastAsiaTheme="minorEastAsia"/>
          <w:color w:themeColor="text1" w:val="000000"/>
          <w:kern w:val="0"/>
          <w:sz w:val="24"/>
          <w:szCs w:val="24"/>
        </w:rPr>
        <w:t>单位：份</w:t>
      </w:r>
    </w:p>
    <w:tbl>
      <w:tblPr>
        <w:tblW w:type="dxa" w:w="8634"/>
        <w:tblInd w:type="dxa" w:w="-106"/>
        <w:tblLayout w:type="fixed"/>
        <w:tblLook w:firstColumn="1" w:firstRow="1" w:lastColumn="0" w:lastRow="0" w:noHBand="0" w:noVBand="1" w:val="04A0"/>
      </w:tblPr>
      <w:tblGrid>
        <w:gridCol w:w="4609"/>
        <w:gridCol w:w="4025"/>
      </w:tblGrid>
      <w:tr w14:paraId="73D45AAD" w14:textId="77777777" w:rsidR="00D06738" w:rsidRPr="00FF6B9A">
        <w:tc>
          <w:tcPr>
            <w:tcW w:type="dxa" w:w="4609"/>
            <w:tcBorders>
              <w:top w:color="000000" w:space="0" w:sz="8" w:val="single"/>
              <w:left w:color="000000" w:space="0" w:sz="8" w:val="single"/>
              <w:bottom w:color="000000" w:space="0" w:sz="8" w:val="single"/>
              <w:right w:color="000000" w:space="0" w:sz="8" w:val="single"/>
            </w:tcBorders>
            <w:vAlign w:val="center"/>
          </w:tcPr>
          <w:p w14:paraId="6363BCBA" w14:textId="77777777" w:rsidR="00D06738" w:rsidRDefault="00454D20" w:rsidRPr="00FF6B9A">
            <w:pPr>
              <w:autoSpaceDE w:val="0"/>
              <w:autoSpaceDN w:val="0"/>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本报告期期</w:t>
            </w:r>
            <w:proofErr w:type="gramStart"/>
            <w:r w:rsidRPr="00FF6B9A">
              <w:rPr>
                <w:rFonts w:eastAsiaTheme="minorEastAsia"/>
                <w:color w:themeColor="text1" w:val="000000"/>
                <w:kern w:val="0"/>
              </w:rPr>
              <w:t>初基金</w:t>
            </w:r>
            <w:proofErr w:type="gramEnd"/>
            <w:r w:rsidRPr="00FF6B9A">
              <w:rPr>
                <w:rFonts w:eastAsiaTheme="minorEastAsia"/>
                <w:color w:themeColor="text1" w:val="000000"/>
                <w:kern w:val="0"/>
              </w:rPr>
              <w:t>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044C07D0" w14:textId="77777777" w:rsidR="00D06738" w:rsidRDefault="00454D20" w:rsidRPr="00FF6B9A">
            <w:pPr>
              <w:autoSpaceDE w:val="0"/>
              <w:autoSpaceDN w:val="0"/>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gramStart"/>
            <w:r w:rsidRPr="00FF6B9A">
              <w:rPr>
                <w:rFonts w:eastAsiaTheme="minorEastAsia"/>
                <w:color w:themeColor="text1" w:val="000000"/>
              </w:rPr>
              <w:t/>
            </w:r>
            <w:proofErr w:type="spellEnd"/>
            <w:r w:rsidRPr="00FF6B9A">
              <w:rPr>
                <w:rFonts w:eastAsiaTheme="minorEastAsia"/>
                <w:color w:themeColor="text1" w:val="000000"/>
              </w:rPr>
              <w:t/>
            </w:r>
            <w:proofErr w:type="gramEnd"/>
            <w:r w:rsidRPr="00FF6B9A">
              <w:rPr>
                <w:rFonts w:eastAsiaTheme="minorEastAsia"/>
                <w:color w:themeColor="text1" w:val="000000"/>
              </w:rPr>
              <w:t>138,477,592.31</w:t>
            </w:r>
          </w:p>
        </w:tc>
      </w:tr>
      <w:tr w14:paraId="464FC419" w14:textId="77777777" w:rsidR="00D06738" w:rsidRPr="00FF6B9A">
        <w:tc>
          <w:tcPr>
            <w:tcW w:type="dxa" w:w="4609"/>
            <w:tcBorders>
              <w:top w:color="000000" w:space="0" w:sz="8" w:val="single"/>
              <w:left w:color="000000" w:space="0" w:sz="8" w:val="single"/>
              <w:bottom w:color="000000" w:space="0" w:sz="8" w:val="single"/>
              <w:right w:color="000000" w:space="0" w:sz="8" w:val="single"/>
            </w:tcBorders>
            <w:vAlign w:val="center"/>
          </w:tcPr>
          <w:p w14:paraId="34A78DD1" w14:textId="77777777" w:rsidR="00D06738" w:rsidRDefault="00454D20" w:rsidRPr="00FF6B9A">
            <w:pPr>
              <w:autoSpaceDE w:val="0"/>
              <w:autoSpaceDN w:val="0"/>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r w:rsidRPr="00FF6B9A">
              <w:rPr>
                <w:rFonts w:eastAsiaTheme="minorEastAsia"/>
                <w:color w:themeColor="text1" w:val="000000"/>
              </w:rPr>
              <w:t/>
            </w:r>
            <w:proofErr w:type="spellEnd"/>
            <w:r w:rsidRPr="00FF6B9A">
              <w:rPr>
                <w:rFonts w:eastAsiaTheme="minorEastAsia"/>
                <w:color w:themeColor="text1" w:val="000000"/>
                <w:kern w:val="0"/>
              </w:rPr>
              <w:t>报告期期间</w:t>
            </w:r>
            <w:r w:rsidRPr="00FF6B9A">
              <w:rPr>
                <w:rFonts w:eastAsiaTheme="minorEastAsia"/>
                <w:color w:themeColor="text1" w:val="000000"/>
                <w:kern w:val="0"/>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1AF86538" w14:textId="77777777" w:rsidR="00D06738" w:rsidRDefault="00454D20" w:rsidRPr="00FF6B9A">
            <w:pPr>
              <w:autoSpaceDE w:val="0"/>
              <w:autoSpaceDN w:val="0"/>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10,732,605.43</w:t>
            </w:r>
          </w:p>
        </w:tc>
      </w:tr>
      <w:tr w14:paraId="17EE7B14" w14:textId="77777777" w:rsidR="00D06738" w:rsidRPr="00FF6B9A">
        <w:tc>
          <w:tcPr>
            <w:tcW w:type="dxa" w:w="4609"/>
            <w:tcBorders>
              <w:top w:color="000000" w:space="0" w:sz="8" w:val="single"/>
              <w:left w:color="000000" w:space="0" w:sz="8" w:val="single"/>
              <w:bottom w:color="000000" w:space="0" w:sz="8" w:val="single"/>
              <w:right w:color="000000" w:space="0" w:sz="8" w:val="single"/>
            </w:tcBorders>
            <w:vAlign w:val="center"/>
          </w:tcPr>
          <w:p w14:paraId="7D22DA1B" w14:textId="77777777" w:rsidR="00D06738" w:rsidRDefault="00454D20" w:rsidRPr="00FF6B9A">
            <w:pPr>
              <w:autoSpaceDE w:val="0"/>
              <w:autoSpaceDN w:val="0"/>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减：</w:t>
            </w:r>
            <w:r w:rsidRPr="00FF6B9A">
              <w:rPr>
                <w:rFonts w:eastAsiaTheme="minorEastAsia"/>
                <w:color w:themeColor="text1" w:val="000000"/>
                <w:kern w:val="0"/>
              </w:rPr>
              <w:t/>
            </w:r>
            <w:proofErr w:type="spellStart"/>
            <w:r w:rsidRPr="00FF6B9A">
              <w:rPr>
                <w:rFonts w:eastAsiaTheme="minorEastAsia"/>
                <w:color w:themeColor="text1" w:val="000000"/>
                <w:kern w:val="0"/>
              </w:rPr>
              <w:t/>
            </w:r>
            <w:r w:rsidRPr="00FF6B9A">
              <w:rPr>
                <w:rFonts w:eastAsiaTheme="minorEastAsia"/>
                <w:color w:themeColor="text1" w:val="000000"/>
              </w:rPr>
              <w:t/>
            </w:r>
            <w:proofErr w:type="spellEnd"/>
            <w:r w:rsidRPr="00FF6B9A">
              <w:rPr>
                <w:rFonts w:eastAsiaTheme="minorEastAsia"/>
                <w:color w:themeColor="text1" w:val="000000"/>
                <w:kern w:val="0"/>
              </w:rPr>
              <w:t>报告期期间</w:t>
            </w:r>
            <w:r w:rsidRPr="00FF6B9A">
              <w:rPr>
                <w:rFonts w:eastAsiaTheme="minorEastAsia"/>
                <w:color w:themeColor="text1" w:val="000000"/>
                <w:kern w:val="0"/>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3D1634A5" w14:textId="77777777" w:rsidR="00D06738" w:rsidRDefault="00454D20" w:rsidRPr="00FF6B9A">
            <w:pPr>
              <w:autoSpaceDE w:val="0"/>
              <w:autoSpaceDN w:val="0"/>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38,229,230.73</w:t>
            </w:r>
          </w:p>
        </w:tc>
      </w:tr>
      <w:tr w14:paraId="465F9B6E" w14:textId="77777777" w:rsidR="00D06738" w:rsidRPr="00FF6B9A">
        <w:tc>
          <w:tcPr>
            <w:tcW w:type="dxa" w:w="4609"/>
            <w:tcBorders>
              <w:top w:color="000000" w:space="0" w:sz="8" w:val="single"/>
              <w:left w:color="000000" w:space="0" w:sz="8" w:val="single"/>
              <w:bottom w:color="000000" w:space="0" w:sz="8" w:val="single"/>
              <w:right w:color="000000" w:space="0" w:sz="8" w:val="single"/>
            </w:tcBorders>
            <w:vAlign w:val="center"/>
          </w:tcPr>
          <w:p w14:paraId="32F47FA4" w14:textId="77777777" w:rsidR="00D06738" w:rsidRDefault="00454D20" w:rsidRPr="00FF6B9A">
            <w:pPr>
              <w:autoSpaceDE w:val="0"/>
              <w:autoSpaceDN w:val="0"/>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
            </w:r>
            <w:proofErr w:type="spellStart"/>
            <w:r w:rsidRPr="00FF6B9A">
              <w:rPr>
                <w:rFonts w:eastAsiaTheme="minorEastAsia"/>
                <w:color w:themeColor="text1" w:val="000000"/>
                <w:kern w:val="0"/>
              </w:rPr>
              <w:t/>
            </w:r>
            <w:r w:rsidRPr="00FF6B9A">
              <w:rPr>
                <w:rFonts w:eastAsiaTheme="minorEastAsia"/>
                <w:color w:themeColor="text1" w:val="000000"/>
              </w:rPr>
              <w:t/>
            </w:r>
            <w:proofErr w:type="spellEnd"/>
            <w:r w:rsidRPr="00FF6B9A">
              <w:rPr>
                <w:rFonts w:eastAsiaTheme="minorEastAsia"/>
                <w:color w:themeColor="text1" w:val="000000"/>
                <w:kern w:val="0"/>
              </w:rPr>
              <w:t>报告期期间</w:t>
            </w:r>
            <w:r w:rsidRPr="00FF6B9A">
              <w:rPr>
                <w:rFonts w:eastAsiaTheme="minorEastAsia"/>
                <w:color w:themeColor="text1" w:val="000000"/>
                <w:kern w:val="0"/>
              </w:rPr>
              <w:t>基金拆分变动份额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68D17418" w14:textId="77777777" w:rsidR="00D06738" w:rsidRDefault="00454D20" w:rsidRPr="00FF6B9A">
            <w:pPr>
              <w:autoSpaceDE w:val="0"/>
              <w:autoSpaceDN w:val="0"/>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w:t>
            </w:r>
          </w:p>
        </w:tc>
      </w:tr>
      <w:tr w14:paraId="05E84194" w14:textId="77777777" w:rsidR="00D06738" w:rsidRPr="00FF6B9A">
        <w:tc>
          <w:tcPr>
            <w:tcW w:type="dxa" w:w="4609"/>
            <w:tcBorders>
              <w:top w:color="000000" w:space="0" w:sz="8" w:val="single"/>
              <w:left w:color="000000" w:space="0" w:sz="8" w:val="single"/>
              <w:bottom w:color="000000" w:space="0" w:sz="8" w:val="single"/>
              <w:right w:color="000000" w:space="0" w:sz="8" w:val="single"/>
            </w:tcBorders>
            <w:vAlign w:val="center"/>
          </w:tcPr>
          <w:p w14:paraId="5CDA9537" w14:textId="77777777" w:rsidR="00D06738" w:rsidRDefault="00454D20" w:rsidRPr="00FF6B9A">
            <w:pPr>
              <w:autoSpaceDE w:val="0"/>
              <w:autoSpaceDN w:val="0"/>
              <w:adjustRightInd w:val="0"/>
              <w:spacing w:before="29" w:line="360" w:lineRule="auto"/>
              <w:ind w:left="17"/>
              <w:rPr>
                <w:rFonts w:eastAsiaTheme="minorEastAsia"/>
                <w:color w:themeColor="text1" w:val="000000"/>
                <w:kern w:val="0"/>
              </w:rPr>
            </w:pPr>
            <w:r w:rsidRPr="00FF6B9A">
              <w:rPr>
                <w:rFonts w:eastAsiaTheme="minorEastAsia"/>
                <w:color w:themeColor="text1" w:val="000000"/>
                <w:kern w:val="0"/>
              </w:rPr>
              <w:t>本报告期期末基金份额总额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489B390B" w14:textId="77777777" w:rsidR="00D06738" w:rsidRDefault="00454D20" w:rsidRPr="00FF6B9A">
            <w:pPr>
              <w:autoSpaceDE w:val="0"/>
              <w:autoSpaceDN w:val="0"/>
              <w:adjustRightInd w:val="0"/>
              <w:spacing w:before="29" w:line="360" w:lineRule="auto"/>
              <w:ind w:left="17"/>
              <w:jc w:val="right"/>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110,980,967.01</w:t>
            </w:r>
          </w:p>
        </w:tc>
      </w:tr>
    </w:tbl>
    <w:p w14:paraId="3C94584F" w14:textId="77777777" w:rsidR="00D06738" w:rsidRDefault="00454D20" w:rsidRPr="00FF6B9A">
      <w:pPr>
        <w:pStyle w:val="1"/>
        <w:tabs>
          <w:tab w:pos="4156" w:val="center"/>
          <w:tab w:pos="8312" w:val="right"/>
        </w:tabs>
        <w:spacing w:after="312" w:afterLines="100" w:before="312" w:beforeLines="100" w:line="360" w:lineRule="auto"/>
        <w:jc w:val="center"/>
        <w:rPr>
          <w:color w:themeColor="text1" w:val="000000"/>
          <w:sz w:val="24"/>
          <w:szCs w:val="24"/>
        </w:rPr>
      </w:pPr>
      <w:r w:rsidRPr="00FF6B9A">
        <w:rPr>
          <w:rFonts w:eastAsiaTheme="minorEastAsia"/>
          <w:color w:themeColor="text1" w:val="000000"/>
          <w:kern w:val="0"/>
          <w:sz w:val="24"/>
          <w:szCs w:val="24"/>
        </w:rPr>
        <w:t/>
      </w:r>
      <w:proofErr w:type="spellStart"/>
      <w:r w:rsidRPr="00FF6B9A">
        <w:rPr>
          <w:rFonts w:eastAsiaTheme="minorEastAsia"/>
          <w:color w:themeColor="text1" w:val="000000"/>
          <w:kern w:val="0"/>
          <w:sz w:val="24"/>
          <w:szCs w:val="24"/>
        </w:rPr>
        <w:t/>
      </w:r>
      <w:proofErr w:type="spellEnd"/>
      <w:r w:rsidRPr="00FF6B9A">
        <w:rPr>
          <w:rFonts w:eastAsiaTheme="minorEastAsia"/>
          <w:color w:themeColor="text1" w:val="000000"/>
          <w:kern w:val="0"/>
          <w:sz w:val="24"/>
          <w:szCs w:val="24"/>
        </w:rPr>
        <w:t xml:space="preserve">§7  </w:t>
      </w:r>
      <w:r w:rsidRPr="00FF6B9A">
        <w:rPr>
          <w:color w:themeColor="text1" w:val="000000"/>
          <w:sz w:val="24"/>
          <w:szCs w:val="24"/>
        </w:rPr>
        <w:t>基金管理人运用</w:t>
      </w:r>
      <w:proofErr w:type="gramStart"/>
      <w:r w:rsidRPr="00FF6B9A">
        <w:rPr>
          <w:color w:themeColor="text1" w:val="000000"/>
          <w:sz w:val="24"/>
          <w:szCs w:val="24"/>
        </w:rPr>
        <w:t>固有资金</w:t>
      </w:r>
      <w:proofErr w:type="gramEnd"/>
      <w:r w:rsidRPr="00FF6B9A">
        <w:rPr>
          <w:color w:themeColor="text1" w:val="000000"/>
          <w:sz w:val="24"/>
          <w:szCs w:val="24"/>
        </w:rPr>
        <w:t>投资本基金情况</w:t>
      </w:r>
    </w:p>
    <w:p w14:paraId="220CB641" w14:textId="77777777" w:rsidR="00D06738" w:rsidRDefault="00454D20" w:rsidRPr="00FF6B9A">
      <w:pPr>
        <w:spacing w:line="360" w:lineRule="auto"/>
        <w:jc w:val="left"/>
        <w:rPr>
          <w:color w:themeColor="text1" w:val="000000"/>
          <w:sz w:val="24"/>
          <w:szCs w:val="24"/>
        </w:rPr>
      </w:pPr>
      <w:r w:rsidRPr="00FF6B9A">
        <w:rPr>
          <w:b/>
          <w:color w:themeColor="text1" w:val="000000"/>
          <w:sz w:val="24"/>
        </w:rPr>
        <w:t/>
      </w:r>
      <w:proofErr w:type="spellStart"/>
      <w:r w:rsidRPr="00FF6B9A">
        <w:rPr>
          <w:b/>
          <w:color w:themeColor="text1" w:val="000000"/>
          <w:sz w:val="24"/>
        </w:rPr>
        <w:t/>
      </w:r>
      <w:proofErr w:type="gramStart"/>
      <w:r w:rsidRPr="00FF6B9A">
        <w:rPr>
          <w:b/>
          <w:color w:themeColor="text1" w:val="000000"/>
          <w:sz w:val="24"/>
        </w:rPr>
        <w:t/>
      </w:r>
      <w:proofErr w:type="spellEnd"/>
      <w:r w:rsidRPr="00FF6B9A">
        <w:rPr>
          <w:b/>
          <w:color w:themeColor="text1" w:val="000000"/>
          <w:sz w:val="24"/>
        </w:rPr>
        <w:t/>
      </w:r>
      <w:proofErr w:type="gramEnd"/>
      <w:r w:rsidRPr="00FF6B9A">
        <w:rPr>
          <w:b/>
          <w:color w:themeColor="text1" w:val="000000"/>
          <w:sz w:val="24"/>
        </w:rPr>
        <w:t xml:space="preserve">7.1 </w:t>
      </w:r>
      <w:r w:rsidRPr="00FF6B9A">
        <w:rPr>
          <w:b/>
          <w:color w:themeColor="text1" w:val="000000"/>
          <w:sz w:val="24"/>
        </w:rPr>
        <w:t>基金管理人持有本基金份额变动情况</w:t>
      </w:r>
    </w:p>
    <w:p w14:paraId="3105CFED" w14:textId="77777777" w:rsidR="00D06738" w:rsidRDefault="00454D20" w:rsidRPr="00FF6B9A">
      <w:pPr>
        <w:autoSpaceDE w:val="0"/>
        <w:autoSpaceDN w:val="0"/>
        <w:adjustRightInd w:val="0"/>
        <w:spacing w:line="360" w:lineRule="auto"/>
        <w:jc w:val="left"/>
        <w:rPr>
          <w:rFonts w:eastAsiaTheme="minorEastAsia"/>
          <w:color w:themeColor="text1" w:val="000000"/>
        </w:rPr>
      </w:pPr>
      <w:r w:rsidRPr="00FF6B9A">
        <w:rPr>
          <w:rFonts w:eastAsiaTheme="minorEastAsia"/>
          <w:color w:themeColor="text1" w:val="000000"/>
          <w:kern w:val="0"/>
        </w:rPr>
        <w:t/>
      </w:r>
      <w:proofErr w:type="gramStart"/>
      <w:r w:rsidRPr="00FF6B9A">
        <w:rPr>
          <w:rFonts w:eastAsiaTheme="minorEastAsia"/>
          <w:color w:themeColor="text1" w:val="000000"/>
          <w:kern w:val="0"/>
        </w:rPr>
        <w:t/>
      </w:r>
      <w:proofErr w:type="spellStart"/>
      <w:proofErr w:type="gramEnd"/>
      <w:r w:rsidRPr="00FF6B9A">
        <w:rPr>
          <w:rFonts w:eastAsiaTheme="minorEastAsia"/>
          <w:color w:themeColor="text1" w:val="000000"/>
          <w:kern w:val="0"/>
        </w:rPr>
        <w:t/>
      </w:r>
      <w:proofErr w:type="spellEnd"/>
      <w:r w:rsidRPr="00FF6B9A">
        <w:rPr>
          <w:rFonts w:eastAsiaTheme="minorEastAsia"/>
          <w:color w:themeColor="text1" w:val="000000"/>
          <w:kern w:val="0"/>
        </w:rPr>
        <w:t>无。</w:t>
      </w:r>
    </w:p>
    <w:p w14:paraId="470676A3" w14:textId="77777777" w:rsidR="00D06738" w:rsidRDefault="00D06738" w:rsidRPr="00FF6B9A">
      <w:pPr>
        <w:autoSpaceDE w:val="0"/>
        <w:autoSpaceDN w:val="0"/>
        <w:adjustRightInd w:val="0"/>
        <w:spacing w:line="360" w:lineRule="auto"/>
        <w:jc w:val="left"/>
        <w:rPr>
          <w:rFonts w:eastAsiaTheme="minorEastAsia"/>
          <w:color w:themeColor="text1" w:val="000000"/>
          <w:kern w:val="0"/>
          <w:sz w:val="24"/>
        </w:rPr>
      </w:pPr>
    </w:p>
    <w:p w14:paraId="6765BFDC" w14:textId="77777777" w:rsidR="00D06738" w:rsidRDefault="00454D20" w:rsidRPr="00FF6B9A">
      <w:pPr>
        <w:pStyle w:val="1"/>
        <w:spacing w:after="312" w:afterLines="100" w:before="312" w:beforeLines="100" w:line="360" w:lineRule="auto"/>
        <w:jc w:val="center"/>
        <w:rPr>
          <w:rFonts w:eastAsiaTheme="minorEastAsia"/>
          <w:color w:themeColor="text1" w:val="000000"/>
          <w:kern w:val="0"/>
          <w:sz w:val="24"/>
          <w:szCs w:val="24"/>
        </w:rPr>
      </w:pPr>
      <w:r w:rsidRPr="00FF6B9A">
        <w:rPr>
          <w:rFonts w:eastAsiaTheme="minorEastAsia"/>
          <w:color w:themeColor="text1" w:val="000000"/>
          <w:kern w:val="0"/>
          <w:sz w:val="24"/>
          <w:szCs w:val="24"/>
        </w:rPr>
        <w:lastRenderedPageBreak/>
        <w:t xml:space="preserve">§8  </w:t>
      </w:r>
      <w:r w:rsidRPr="00FF6B9A">
        <w:rPr>
          <w:rFonts w:eastAsiaTheme="minorEastAsia"/>
          <w:color w:themeColor="text1" w:val="000000"/>
          <w:kern w:val="0"/>
          <w:sz w:val="24"/>
          <w:szCs w:val="24"/>
        </w:rPr>
        <w:t>备查文件目录</w:t>
      </w:r>
    </w:p>
    <w:p w14:paraId="457E531B"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8.</w:t>
      </w:r>
      <w:proofErr w:type="gramEnd"/>
      <w:r w:rsidRPr="00FF6B9A">
        <w:rPr>
          <w:rFonts w:eastAsiaTheme="minorEastAsia"/>
          <w:b/>
          <w:bCs/>
          <w:color w:themeColor="text1" w:val="000000"/>
          <w:kern w:val="0"/>
          <w:sz w:val="24"/>
          <w:szCs w:val="24"/>
        </w:rPr>
        <w:t xml:space="preserve">1 </w:t>
      </w:r>
      <w:r w:rsidRPr="00FF6B9A">
        <w:rPr>
          <w:rFonts w:eastAsiaTheme="minorEastAsia"/>
          <w:b/>
          <w:bCs/>
          <w:color w:themeColor="text1" w:val="000000"/>
          <w:kern w:val="0"/>
          <w:sz w:val="24"/>
          <w:szCs w:val="24"/>
        </w:rPr>
        <w:t>备查文件目录</w:t>
      </w:r>
    </w:p>
    <w:p>
      <w:pPr>
        <w:spacing w:line="360" w:lineRule="auto"/>
        <w:ind w:firstLine="420" w:firstLineChars="200"/>
        <w:rPr>
          <w:rFonts w:eastAsiaTheme="minorEastAsia"/>
          <w:color w:themeColor="text1" w:val="000000"/>
        </w:rPr>
      </w:pPr>
      <w:r>
        <w:rPr>
          <w:rFonts w:eastAsiaTheme="minorEastAsia"/>
          <w:color w:themeColor="text1" w:val="000000"/>
        </w:rPr>
        <w:t xml:space="preserve">1. 中国证监会批准上投摩根大盘蓝筹股票型证券投资基金设立的文件； </w:t>
      </w:r>
    </w:p>
    <w:p>
      <w:pPr>
        <w:spacing w:line="360" w:lineRule="auto"/>
        <w:ind w:firstLine="420" w:firstLineChars="200"/>
        <w:rPr>
          <w:rFonts w:eastAsiaTheme="minorEastAsia"/>
          <w:color w:themeColor="text1" w:val="000000"/>
        </w:rPr>
      </w:pPr>
      <w:r>
        <w:rPr>
          <w:rFonts w:eastAsiaTheme="minorEastAsia"/>
          <w:color w:themeColor="text1" w:val="000000"/>
        </w:rPr>
        <w:t xml:space="preserve">2. 《上投摩根大盘蓝筹股票型证券投资基金基金合同》； </w:t>
      </w:r>
    </w:p>
    <w:p>
      <w:pPr>
        <w:spacing w:line="360" w:lineRule="auto"/>
        <w:ind w:firstLine="420" w:firstLineChars="200"/>
        <w:rPr>
          <w:rFonts w:eastAsiaTheme="minorEastAsia"/>
          <w:color w:themeColor="text1" w:val="000000"/>
        </w:rPr>
      </w:pPr>
      <w:r>
        <w:rPr>
          <w:rFonts w:eastAsiaTheme="minorEastAsia"/>
          <w:color w:themeColor="text1" w:val="000000"/>
        </w:rPr>
        <w:t xml:space="preserve">3. 《上投摩根大盘蓝筹股票型证券投资基金托管协议》； </w:t>
      </w:r>
    </w:p>
    <w:p>
      <w:pPr>
        <w:spacing w:line="360" w:lineRule="auto"/>
        <w:ind w:firstLine="420" w:firstLineChars="200"/>
        <w:rPr>
          <w:rFonts w:eastAsiaTheme="minorEastAsia"/>
          <w:color w:themeColor="text1" w:val="000000"/>
        </w:rPr>
      </w:pPr>
      <w:r>
        <w:rPr>
          <w:rFonts w:eastAsiaTheme="minorEastAsia"/>
          <w:color w:themeColor="text1" w:val="000000"/>
        </w:rPr>
        <w:t>4. 《上投摩根基金管理有限公司开放式基金业务规则》；</w:t>
      </w:r>
    </w:p>
    <w:p>
      <w:pPr>
        <w:spacing w:line="360" w:lineRule="auto"/>
        <w:ind w:firstLine="420" w:firstLineChars="200"/>
        <w:rPr>
          <w:rFonts w:eastAsiaTheme="minorEastAsia"/>
          <w:color w:themeColor="text1" w:val="000000"/>
        </w:rPr>
      </w:pPr>
      <w:r>
        <w:rPr>
          <w:rFonts w:eastAsiaTheme="minorEastAsia"/>
          <w:color w:themeColor="text1" w:val="000000"/>
        </w:rPr>
        <w:t xml:space="preserve">5. 基金管理人业务资格批件、营业执照； </w:t>
      </w:r>
    </w:p>
    <w:p w14:paraId="1A471A23"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6. 基金托管人业务资格批件和营业执照。</w:t>
      </w:r>
    </w:p>
    <w:p w14:paraId="34C276B3" w14:textId="77777777" w:rsidR="00D06738" w:rsidRDefault="00D06738" w:rsidRPr="00FF6B9A">
      <w:pPr>
        <w:spacing w:line="360" w:lineRule="auto"/>
        <w:ind w:firstLine="480" w:firstLineChars="200"/>
        <w:rPr>
          <w:rFonts w:eastAsiaTheme="minorEastAsia"/>
          <w:color w:themeColor="text1" w:val="000000"/>
          <w:sz w:val="24"/>
          <w:szCs w:val="24"/>
        </w:rPr>
      </w:pPr>
    </w:p>
    <w:p w14:paraId="23507D88"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8.</w:t>
      </w:r>
      <w:proofErr w:type="gramEnd"/>
      <w:r w:rsidRPr="00FF6B9A">
        <w:rPr>
          <w:rFonts w:eastAsiaTheme="minorEastAsia"/>
          <w:b/>
          <w:bCs/>
          <w:color w:themeColor="text1" w:val="000000"/>
          <w:kern w:val="0"/>
          <w:sz w:val="24"/>
          <w:szCs w:val="24"/>
        </w:rPr>
        <w:t xml:space="preserve">2 </w:t>
      </w:r>
      <w:r w:rsidRPr="00FF6B9A">
        <w:rPr>
          <w:rFonts w:eastAsiaTheme="minorEastAsia"/>
          <w:b/>
          <w:bCs/>
          <w:color w:themeColor="text1" w:val="000000"/>
          <w:kern w:val="0"/>
          <w:sz w:val="24"/>
          <w:szCs w:val="24"/>
        </w:rPr>
        <w:t>存放地点</w:t>
      </w:r>
    </w:p>
    <w:p w14:paraId="61EC8F57"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基金管理人或基金托管人处。</w:t>
      </w:r>
    </w:p>
    <w:p w14:paraId="4B43DAA4" w14:textId="77777777" w:rsidR="00D06738" w:rsidRDefault="00D06738" w:rsidRPr="00FF6B9A">
      <w:pPr>
        <w:spacing w:line="360" w:lineRule="auto"/>
        <w:ind w:firstLine="480" w:firstLineChars="200"/>
        <w:rPr>
          <w:rFonts w:eastAsiaTheme="minorEastAsia"/>
          <w:color w:themeColor="text1" w:val="000000"/>
          <w:sz w:val="24"/>
          <w:szCs w:val="24"/>
        </w:rPr>
      </w:pPr>
    </w:p>
    <w:p w14:paraId="05279DD9" w14:textId="77777777" w:rsidR="00D06738" w:rsidRDefault="00454D20" w:rsidRPr="00FF6B9A">
      <w:pPr>
        <w:autoSpaceDE w:val="0"/>
        <w:autoSpaceDN w:val="0"/>
        <w:adjustRightInd w:val="0"/>
        <w:spacing w:line="360" w:lineRule="auto"/>
        <w:jc w:val="left"/>
        <w:rPr>
          <w:rFonts w:eastAsiaTheme="minorEastAsia"/>
          <w:b/>
          <w:bCs/>
          <w:color w:themeColor="text1" w:val="000000"/>
          <w:kern w:val="0"/>
          <w:sz w:val="24"/>
          <w:szCs w:val="24"/>
        </w:rPr>
      </w:pPr>
      <w:r w:rsidRPr="00FF6B9A">
        <w:rPr>
          <w:rFonts w:eastAsiaTheme="minorEastAsia"/>
          <w:b/>
          <w:bCs/>
          <w:color w:themeColor="text1" w:val="000000"/>
          <w:kern w:val="0"/>
          <w:sz w:val="24"/>
          <w:szCs w:val="24"/>
        </w:rPr>
        <w:t/>
      </w:r>
      <w:proofErr w:type="gramStart"/>
      <w:r w:rsidRPr="00FF6B9A">
        <w:rPr>
          <w:rFonts w:eastAsiaTheme="minorEastAsia"/>
          <w:b/>
          <w:bCs/>
          <w:color w:themeColor="text1" w:val="000000"/>
          <w:kern w:val="0"/>
          <w:sz w:val="24"/>
          <w:szCs w:val="24"/>
        </w:rPr>
        <w:t>8.</w:t>
      </w:r>
      <w:proofErr w:type="gramEnd"/>
      <w:r w:rsidRPr="00FF6B9A">
        <w:rPr>
          <w:rFonts w:eastAsiaTheme="minorEastAsia"/>
          <w:b/>
          <w:bCs/>
          <w:color w:themeColor="text1" w:val="000000"/>
          <w:kern w:val="0"/>
          <w:sz w:val="24"/>
          <w:szCs w:val="24"/>
        </w:rPr>
        <w:t xml:space="preserve">3 </w:t>
      </w:r>
      <w:r w:rsidRPr="00FF6B9A">
        <w:rPr>
          <w:rFonts w:eastAsiaTheme="minorEastAsia"/>
          <w:b/>
          <w:bCs/>
          <w:color w:themeColor="text1" w:val="000000"/>
          <w:kern w:val="0"/>
          <w:sz w:val="24"/>
          <w:szCs w:val="24"/>
        </w:rPr>
        <w:t>查阅方式</w:t>
      </w:r>
    </w:p>
    <w:p w14:paraId="5BDF4042" w14:textId="77777777" w:rsidR="00D06738" w:rsidRDefault="00454D20" w:rsidRPr="00FF6B9A">
      <w:pPr>
        <w:spacing w:line="360" w:lineRule="auto"/>
        <w:ind w:firstLine="420" w:firstLineChars="200"/>
        <w:rPr>
          <w:rFonts w:eastAsiaTheme="minorEastAsia"/>
          <w:color w:themeColor="text1" w:val="000000"/>
        </w:rPr>
      </w:pPr>
      <w:r w:rsidRPr="00FF6B9A">
        <w:rPr>
          <w:rFonts w:eastAsiaTheme="minorEastAsia"/>
          <w:color w:themeColor="text1" w:val="000000"/>
        </w:rPr>
        <w:t/>
      </w:r>
      <w:proofErr w:type="spellStart"/>
      <w:r w:rsidRPr="00FF6B9A">
        <w:rPr>
          <w:rFonts w:eastAsiaTheme="minorEastAsia"/>
          <w:color w:themeColor="text1" w:val="000000"/>
        </w:rPr>
        <w:t/>
      </w:r>
      <w:proofErr w:type="spellEnd"/>
      <w:r w:rsidRPr="00FF6B9A">
        <w:rPr>
          <w:rFonts w:eastAsiaTheme="minorEastAsia"/>
          <w:color w:themeColor="text1" w:val="000000"/>
        </w:rPr>
        <w:t>投资者可在营业时间免费查阅，也可按工本费购买复印件。</w:t>
      </w:r>
    </w:p>
    <w:p w14:paraId="1EB1072F" w14:textId="77777777" w:rsidR="00D06738" w:rsidRDefault="00D06738" w:rsidRPr="00FF6B9A">
      <w:pPr>
        <w:spacing w:line="360" w:lineRule="auto"/>
        <w:ind w:left="840"/>
        <w:jc w:val="right"/>
        <w:rPr>
          <w:rFonts w:eastAsiaTheme="minorEastAsia"/>
          <w:color w:themeColor="text1" w:val="000000"/>
          <w:sz w:val="24"/>
          <w:szCs w:val="24"/>
        </w:rPr>
      </w:pPr>
    </w:p>
    <w:p w14:paraId="086D5C70" w14:textId="77777777" w:rsidR="00D06738" w:rsidRDefault="00D06738" w:rsidRPr="00FF6B9A">
      <w:pPr>
        <w:spacing w:line="360" w:lineRule="auto"/>
        <w:ind w:left="840"/>
        <w:jc w:val="right"/>
        <w:rPr>
          <w:rFonts w:eastAsiaTheme="minorEastAsia"/>
          <w:color w:themeColor="text1" w:val="000000"/>
          <w:sz w:val="24"/>
          <w:szCs w:val="24"/>
        </w:rPr>
      </w:pPr>
    </w:p>
    <w:p w14:paraId="667FD74D" w14:textId="77777777" w:rsidR="00D06738" w:rsidRDefault="00D06738" w:rsidRPr="00FF6B9A">
      <w:pPr>
        <w:spacing w:line="360" w:lineRule="auto"/>
        <w:ind w:left="840"/>
        <w:jc w:val="right"/>
        <w:rPr>
          <w:rFonts w:eastAsiaTheme="minorEastAsia"/>
          <w:color w:themeColor="text1" w:val="000000"/>
          <w:sz w:val="24"/>
          <w:szCs w:val="24"/>
        </w:rPr>
      </w:pPr>
    </w:p>
    <w:p w14:paraId="5173A207" w14:textId="77777777" w:rsidR="00D06738" w:rsidRDefault="00D06738" w:rsidRPr="00FF6B9A">
      <w:pPr>
        <w:spacing w:line="360" w:lineRule="auto"/>
        <w:ind w:left="840"/>
        <w:jc w:val="right"/>
        <w:rPr>
          <w:rFonts w:eastAsiaTheme="minorEastAsia"/>
          <w:color w:themeColor="text1" w:val="000000"/>
          <w:sz w:val="24"/>
          <w:szCs w:val="24"/>
        </w:rPr>
      </w:pPr>
    </w:p>
    <w:p w14:paraId="5C1BC673" w14:textId="77777777" w:rsidR="00D06738" w:rsidRDefault="00D06738" w:rsidRPr="00FF6B9A">
      <w:pPr>
        <w:spacing w:line="360" w:lineRule="auto"/>
        <w:ind w:left="840"/>
        <w:jc w:val="right"/>
        <w:rPr>
          <w:rFonts w:eastAsiaTheme="minorEastAsia"/>
          <w:color w:themeColor="text1" w:val="000000"/>
          <w:sz w:val="24"/>
          <w:szCs w:val="24"/>
        </w:rPr>
      </w:pPr>
    </w:p>
    <w:p w14:paraId="309916CD" w14:textId="77777777" w:rsidR="00D06738" w:rsidRDefault="00D06738" w:rsidRPr="00FF6B9A">
      <w:pPr>
        <w:spacing w:line="360" w:lineRule="auto"/>
        <w:ind w:left="840"/>
        <w:jc w:val="right"/>
        <w:rPr>
          <w:rFonts w:eastAsiaTheme="minorEastAsia"/>
          <w:color w:themeColor="text1" w:val="000000"/>
          <w:sz w:val="24"/>
          <w:szCs w:val="24"/>
        </w:rPr>
      </w:pPr>
    </w:p>
    <w:p w14:paraId="7C0C74F6" w14:textId="77777777" w:rsidR="00D06738" w:rsidRDefault="00D06738" w:rsidRPr="00FF6B9A">
      <w:pPr>
        <w:spacing w:line="360" w:lineRule="auto"/>
        <w:ind w:left="840"/>
        <w:jc w:val="right"/>
        <w:rPr>
          <w:rFonts w:eastAsiaTheme="minorEastAsia"/>
          <w:color w:themeColor="text1" w:val="000000"/>
          <w:sz w:val="24"/>
          <w:szCs w:val="24"/>
        </w:rPr>
      </w:pPr>
    </w:p>
    <w:p w14:paraId="04EFEDF1" w14:textId="77777777" w:rsidR="00D06738" w:rsidRDefault="00D06738" w:rsidRPr="00FF6B9A">
      <w:pPr>
        <w:spacing w:line="360" w:lineRule="auto"/>
        <w:ind w:left="840"/>
        <w:jc w:val="right"/>
        <w:rPr>
          <w:rFonts w:eastAsiaTheme="minorEastAsia"/>
          <w:color w:themeColor="text1" w:val="000000"/>
          <w:sz w:val="24"/>
          <w:szCs w:val="24"/>
        </w:rPr>
      </w:pPr>
    </w:p>
    <w:p w14:paraId="0387F1AC" w14:textId="77777777" w:rsidR="00D06738" w:rsidRDefault="00454D20" w:rsidRPr="00FF6B9A">
      <w:pPr>
        <w:spacing w:line="360" w:lineRule="auto"/>
        <w:jc w:val="right"/>
        <w:rPr>
          <w:rFonts w:eastAsiaTheme="minorEastAsia"/>
          <w:b/>
          <w:bCs/>
          <w:color w:themeColor="text1" w:val="000000"/>
          <w:sz w:val="24"/>
          <w:szCs w:val="24"/>
        </w:rPr>
      </w:pPr>
      <w:r w:rsidRPr="00FF6B9A">
        <w:rPr>
          <w:rFonts w:eastAsiaTheme="minorEastAsia"/>
          <w:b/>
          <w:bCs/>
          <w:color w:themeColor="text1" w:val="000000"/>
          <w:sz w:val="24"/>
          <w:szCs w:val="24"/>
        </w:rPr>
        <w:t/>
      </w:r>
      <w:proofErr w:type="spellStart"/>
      <w:r w:rsidRPr="00FF6B9A">
        <w:rPr>
          <w:rFonts w:eastAsiaTheme="minorEastAsia"/>
          <w:b/>
          <w:bCs/>
          <w:color w:themeColor="text1" w:val="000000"/>
          <w:sz w:val="24"/>
          <w:szCs w:val="24"/>
        </w:rPr>
        <w:t/>
      </w:r>
      <w:proofErr w:type="spellEnd"/>
      <w:r w:rsidRPr="00FF6B9A">
        <w:rPr>
          <w:rFonts w:eastAsiaTheme="minorEastAsia"/>
          <w:b/>
          <w:bCs/>
          <w:color w:themeColor="text1" w:val="000000"/>
          <w:sz w:val="24"/>
          <w:szCs w:val="24"/>
        </w:rPr>
        <w:t>上投摩根基金管理有限公司</w:t>
      </w:r>
    </w:p>
    <w:p w14:paraId="114F1307" w14:textId="77777777" w:rsidR="00D06738" w:rsidRDefault="00454D20" w:rsidRPr="00FF6B9A">
      <w:pPr>
        <w:spacing w:line="360" w:lineRule="auto"/>
        <w:jc w:val="right"/>
        <w:rPr>
          <w:rFonts w:eastAsiaTheme="minorEastAsia"/>
          <w:b/>
          <w:bCs/>
          <w:color w:themeColor="text1" w:val="000000"/>
          <w:sz w:val="24"/>
          <w:szCs w:val="24"/>
        </w:rPr>
      </w:pPr>
      <w:r w:rsidRPr="00FF6B9A">
        <w:rPr>
          <w:rFonts w:eastAsiaTheme="minorEastAsia"/>
          <w:b/>
          <w:bCs/>
          <w:color w:themeColor="text1" w:val="000000"/>
          <w:sz w:val="24"/>
          <w:szCs w:val="24"/>
        </w:rPr>
        <w:t/>
      </w:r>
      <w:proofErr w:type="spellStart"/>
      <w:r w:rsidRPr="00FF6B9A">
        <w:rPr>
          <w:rFonts w:eastAsiaTheme="minorEastAsia"/>
          <w:b/>
          <w:bCs/>
          <w:color w:themeColor="text1" w:val="000000"/>
          <w:sz w:val="24"/>
          <w:szCs w:val="24"/>
        </w:rPr>
        <w:t/>
      </w:r>
      <w:proofErr w:type="spellEnd"/>
      <w:r w:rsidRPr="00FF6B9A">
        <w:rPr>
          <w:rFonts w:eastAsiaTheme="minorEastAsia"/>
          <w:b/>
          <w:bCs/>
          <w:color w:themeColor="text1" w:val="000000"/>
          <w:sz w:val="24"/>
          <w:szCs w:val="24"/>
        </w:rPr>
        <w:t>二〇二一年十月二十七日</w:t>
      </w:r>
    </w:p>
    <w:p w14:paraId="2199A838" w14:textId="77777777" w:rsidR="00D06738" w:rsidRDefault="00D06738" w:rsidRPr="00FF6B9A">
      <w:pPr>
        <w:spacing w:line="360" w:lineRule="auto"/>
        <w:ind w:left="840"/>
        <w:jc w:val="right"/>
        <w:rPr>
          <w:rFonts w:eastAsiaTheme="minorEastAsia"/>
          <w:b/>
          <w:bCs/>
          <w:color w:themeColor="text1" w:val="000000"/>
          <w:sz w:val="24"/>
          <w:szCs w:val="24"/>
        </w:rPr>
      </w:pPr>
    </w:p>
    <w:p w14:paraId="1ED73A6C" w14:textId="77777777" w:rsidR="00D06738" w:rsidRDefault="00D06738" w:rsidRPr="00FF6B9A">
      <w:pPr>
        <w:rPr>
          <w:rFonts w:eastAsiaTheme="minorEastAsia"/>
          <w:color w:themeColor="text1" w:val="000000"/>
          <w:sz w:val="24"/>
          <w:szCs w:val="24"/>
        </w:rPr>
      </w:pPr>
    </w:p>
    <w:sectPr w:rsidR="00D06738" w:rsidRPr="00FF6B9A">
      <w:footerReference r:id="rId11" w:type="default"/>
      <w:pgSz w:h="16838" w:w="11906"/>
      <w:pgMar w:bottom="1440" w:footer="992" w:gutter="0" w:header="851" w:left="1797" w:right="1797"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3A565" w14:textId="77777777" w:rsidR="007573EA" w:rsidRDefault="007573EA">
      <w:r>
        <w:separator/>
      </w:r>
    </w:p>
  </w:endnote>
  <w:endnote w:type="continuationSeparator" w:id="0">
    <w:p w14:paraId="487ADA0C" w14:textId="77777777"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371105E" w14:textId="77777777" w:rsidR="00454D20" w:rsidRDefault="00454D20">
    <w:pPr>
      <w:pStyle w:val="af4"/>
      <w:tabs>
        <w:tab w:pos="4215" w:val="left"/>
        <w:tab w:pos="4545" w:val="center"/>
      </w:tabs>
    </w:pPr>
    <w:r>
      <w:ptab w:alignment="center" w:leader="none" w:relativeTo="margin"/>
    </w:r>
    <w:r>
      <w:ptab w:alignment="center" w:leader="none" w:relativeTo="margin"/>
    </w: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7152CFD6" w14:textId="77777777" w:rsidR="00454D20" w:rsidRDefault="00454D20">
    <w:pPr>
      <w:pStyle w:val="af4"/>
      <w:framePr w:hAnchor="margin" w:vAnchor="text" w:wrap="around" w:xAlign="center" w:y="1"/>
      <w:rPr>
        <w:rStyle w:val="aff"/>
      </w:rPr>
    </w:pPr>
    <w:r>
      <w:rPr>
        <w:rStyle w:val="aff"/>
      </w:rPr>
      <w:fldChar w:fldCharType="begin"/>
    </w:r>
    <w:r>
      <w:rPr>
        <w:rStyle w:val="aff"/>
      </w:rPr>
      <w:instrText xml:space="preserve">PAGE  </w:instrText>
    </w:r>
    <w:r>
      <w:rPr>
        <w:rStyle w:val="aff"/>
      </w:rPr>
      <w:fldChar w:fldCharType="separate"/>
    </w:r>
    <w:r>
      <w:rPr>
        <w:rStyle w:val="aff"/>
      </w:rPr>
      <w:t>24</w:t>
    </w:r>
    <w:r>
      <w:rPr>
        <w:rStyle w:val="aff"/>
      </w:rPr>
      <w:fldChar w:fldCharType="end"/>
    </w:r>
  </w:p>
  <w:p w14:paraId="10FC3B0F" w14:textId="77777777" w:rsidR="00454D20" w:rsidRDefault="00454D20">
    <w:pPr>
      <w:pStyle w:val="af4"/>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78AE9C8" w14:textId="77777777" w:rsidR="007573EA" w:rsidRDefault="007573EA">
      <w:r>
        <w:separator/>
      </w:r>
    </w:p>
  </w:footnote>
  <w:footnote w:id="0" w:type="continuationSeparator">
    <w:p w14:paraId="43F62B92" w14:textId="77777777" w:rsidR="007573EA" w:rsidRDefault="007573EA">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D366656" w14:textId="77777777" w:rsidR="00454D20" w:rsidRDefault="00454D20">
    <w:pPr>
      <w:pStyle w:val="af6"/>
      <w:pBdr>
        <w:bottom w:color="auto" w:space="0" w:sz="6" w:val="single"/>
      </w:pBdr>
      <w:jc w:val="right"/>
    </w:pPr>
    <w:r>
      <w:rPr>
        <w:rFonts w:hint="eastAsia"/>
      </w:rPr>
      <w:t/>
    </w:r>
    <w:proofErr w:type="spellStart"/>
    <w:r>
      <w:t/>
    </w:r>
    <w:r>
      <w:rPr>
        <w:rFonts w:hint="eastAsia"/>
      </w:rPr>
      <w:t/>
    </w:r>
    <w:proofErr w:type="gramStart"/>
    <w:r>
      <w:t/>
    </w:r>
    <w:proofErr w:type="spellEnd"/>
    <w:r>
      <w:rPr>
        <w:rFonts w:hint="eastAsia"/>
      </w:rPr>
      <w:t>上投摩根大盘蓝筹股票型证券投资基金</w:t>
    </w:r>
    <w:proofErr w:type="spellStart"/>
    <w:proofErr w:type="gramEnd"/>
    <w:r>
      <w:rPr>
        <w:rFonts w:hint="eastAsia"/>
      </w:rPr>
      <w:t/>
    </w:r>
    <w:proofErr w:type="spellEnd"/>
    <w:r>
      <w:rPr>
        <w:rFonts w:hint="eastAsia"/>
      </w:rPr>
      <w:t>2021年第3季度报告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bordersDoNotSurroundHeader/>
  <w:bordersDoNotSurroundFooter/>
  <w:proofState w:grammar="clean" w:spelling="clean"/>
  <w:defaultTabStop w:val="420"/>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5DA339C3"/>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EastAsia" w:hAnsiTheme="minorHAnsi"/>
        <w:lang w:bidi="ar-SA" w:eastAsia="zh-CN" w:val="en-US"/>
      </w:rPr>
    </w:rPrDefault>
    <w:pPrDefault/>
  </w:docDefaults>
  <w:latentStyles w:count="376" w:defLockedState="0" w:defQFormat="0" w:defSemiHidden="0" w:defUIPriority="99" w:defUnhideWhenUsed="0">
    <w:lsdException w:name="Normal" w:qFormat="1" w:uiPriority="0"/>
    <w:lsdException w:name="heading 1" w:qFormat="1"/>
    <w:lsdException w:name="heading 2" w:qFormat="1"/>
    <w:lsdException w:name="heading 3" w:qFormat="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qFormat="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qFormat="1" w:semiHidden="1"/>
    <w:lsdException w:name="footer" w:qFormat="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qFormat="1"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qFormat="1"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qFormat="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qFormat="1" w:uiPriority="22"/>
    <w:lsdException w:name="Emphasis" w:qFormat="1" w:uiPriority="20"/>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semiHidden="1" w:unhideWhenUsed="1"/>
    <w:lsdException w:name="annotation subject" w:qFormat="1"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lsdException w:name="Table Grid" w:qFormat="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a" w:type="paragraph">
    <w:name w:val="Normal"/>
    <w:qFormat/>
    <w:pPr>
      <w:widowControl w:val="0"/>
      <w:jc w:val="both"/>
    </w:pPr>
    <w:rPr>
      <w:rFonts w:ascii="Times New Roman" w:cs="Times New Roman" w:eastAsia="宋体" w:hAnsi="Times New Roman"/>
      <w:kern w:val="2"/>
      <w:sz w:val="21"/>
      <w:szCs w:val="21"/>
    </w:rPr>
  </w:style>
  <w:style w:styleId="1" w:type="paragraph">
    <w:name w:val="heading 1"/>
    <w:basedOn w:val="a"/>
    <w:next w:val="a"/>
    <w:link w:val="10"/>
    <w:uiPriority w:val="99"/>
    <w:qFormat/>
    <w:pPr>
      <w:keepNext/>
      <w:keepLines/>
      <w:spacing w:after="330" w:before="340" w:line="578" w:lineRule="auto"/>
      <w:outlineLvl w:val="0"/>
    </w:pPr>
    <w:rPr>
      <w:b/>
      <w:bCs/>
      <w:kern w:val="44"/>
      <w:sz w:val="44"/>
      <w:szCs w:val="44"/>
    </w:rPr>
  </w:style>
  <w:style w:styleId="2" w:type="paragraph">
    <w:name w:val="heading 2"/>
    <w:basedOn w:val="a"/>
    <w:next w:val="a0"/>
    <w:link w:val="20"/>
    <w:uiPriority w:val="99"/>
    <w:qFormat/>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0"/>
    <w:uiPriority w:val="99"/>
    <w:qFormat/>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pPr>
      <w:ind w:firstLine="420" w:firstLineChars="200"/>
    </w:pPr>
  </w:style>
  <w:style w:styleId="a4" w:type="paragraph">
    <w:name w:val="annotation subject"/>
    <w:basedOn w:val="a5"/>
    <w:next w:val="a5"/>
    <w:link w:val="a6"/>
    <w:uiPriority w:val="99"/>
    <w:semiHidden/>
    <w:qFormat/>
    <w:rPr>
      <w:b/>
      <w:bCs/>
    </w:rPr>
  </w:style>
  <w:style w:styleId="a5" w:type="paragraph">
    <w:name w:val="annotation text"/>
    <w:basedOn w:val="a"/>
    <w:link w:val="a7"/>
    <w:uiPriority w:val="99"/>
    <w:semiHidden/>
    <w:qFormat/>
    <w:pPr>
      <w:jc w:val="left"/>
    </w:pPr>
  </w:style>
  <w:style w:styleId="a8" w:type="paragraph">
    <w:name w:val="Document Map"/>
    <w:basedOn w:val="a"/>
    <w:link w:val="a9"/>
    <w:uiPriority w:val="99"/>
    <w:semiHidden/>
    <w:pPr>
      <w:shd w:color="auto" w:fill="000080" w:val="clear"/>
    </w:pPr>
  </w:style>
  <w:style w:styleId="aa" w:type="paragraph">
    <w:name w:val="Body Text"/>
    <w:basedOn w:val="a"/>
    <w:link w:val="ab"/>
    <w:uiPriority w:val="99"/>
    <w:qFormat/>
    <w:pPr>
      <w:spacing w:after="120"/>
    </w:pPr>
  </w:style>
  <w:style w:styleId="ac" w:type="paragraph">
    <w:name w:val="Body Text Indent"/>
    <w:basedOn w:val="a"/>
    <w:link w:val="ad"/>
    <w:uiPriority w:val="99"/>
    <w:pPr>
      <w:widowControl/>
      <w:spacing w:after="100" w:afterAutospacing="1" w:before="100" w:beforeAutospacing="1"/>
      <w:jc w:val="left"/>
    </w:pPr>
    <w:rPr>
      <w:rFonts w:ascii="Arial Unicode MS" w:cs="Arial Unicode MS" w:eastAsia="Arial Unicode MS" w:hAnsi="Arial Unicode MS"/>
      <w:kern w:val="0"/>
      <w:sz w:val="24"/>
      <w:szCs w:val="24"/>
    </w:rPr>
  </w:style>
  <w:style w:styleId="ae" w:type="paragraph">
    <w:name w:val="Plain Text"/>
    <w:basedOn w:val="a"/>
    <w:link w:val="af"/>
    <w:uiPriority w:val="99"/>
    <w:rPr>
      <w:rFonts w:ascii="宋体" w:cs="宋体" w:hAnsi="Courier New"/>
    </w:rPr>
  </w:style>
  <w:style w:styleId="af0" w:type="paragraph">
    <w:name w:val="Date"/>
    <w:basedOn w:val="a"/>
    <w:next w:val="a"/>
    <w:link w:val="af1"/>
    <w:qFormat/>
    <w:rPr>
      <w:sz w:val="24"/>
      <w:szCs w:val="24"/>
    </w:rPr>
  </w:style>
  <w:style w:styleId="21" w:type="paragraph">
    <w:name w:val="Body Text Indent 2"/>
    <w:basedOn w:val="a"/>
    <w:link w:val="22"/>
    <w:uiPriority w:val="99"/>
    <w:qFormat/>
    <w:pPr>
      <w:spacing w:line="560" w:lineRule="exact"/>
      <w:ind w:firstLine="480" w:firstLineChars="200"/>
    </w:pPr>
    <w:rPr>
      <w:rFonts w:ascii="宋体" w:cs="宋体" w:hAnsi="宋体"/>
      <w:color w:val="FF0000"/>
      <w:sz w:val="24"/>
      <w:szCs w:val="24"/>
    </w:rPr>
  </w:style>
  <w:style w:styleId="af2" w:type="paragraph">
    <w:name w:val="Balloon Text"/>
    <w:basedOn w:val="a"/>
    <w:link w:val="af3"/>
    <w:uiPriority w:val="99"/>
    <w:semiHidden/>
    <w:qFormat/>
    <w:rPr>
      <w:sz w:val="18"/>
      <w:szCs w:val="18"/>
    </w:rPr>
  </w:style>
  <w:style w:styleId="af4" w:type="paragraph">
    <w:name w:val="footer"/>
    <w:basedOn w:val="a"/>
    <w:link w:val="af5"/>
    <w:uiPriority w:val="99"/>
    <w:qFormat/>
    <w:pPr>
      <w:tabs>
        <w:tab w:pos="4153" w:val="center"/>
        <w:tab w:pos="8306" w:val="right"/>
      </w:tabs>
      <w:snapToGrid w:val="0"/>
      <w:jc w:val="left"/>
    </w:pPr>
    <w:rPr>
      <w:sz w:val="18"/>
      <w:szCs w:val="18"/>
    </w:rPr>
  </w:style>
  <w:style w:styleId="af6" w:type="paragraph">
    <w:name w:val="header"/>
    <w:basedOn w:val="a"/>
    <w:link w:val="af7"/>
    <w:uiPriority w:val="99"/>
    <w:pPr>
      <w:pBdr>
        <w:bottom w:color="auto" w:space="1" w:sz="6" w:val="single"/>
      </w:pBdr>
      <w:tabs>
        <w:tab w:pos="4153" w:val="center"/>
        <w:tab w:pos="8306" w:val="right"/>
      </w:tabs>
      <w:snapToGrid w:val="0"/>
      <w:jc w:val="center"/>
    </w:pPr>
    <w:rPr>
      <w:sz w:val="18"/>
      <w:szCs w:val="18"/>
    </w:rPr>
  </w:style>
  <w:style w:styleId="af8" w:type="paragraph">
    <w:name w:val="List"/>
    <w:basedOn w:val="aa"/>
    <w:uiPriority w:val="99"/>
    <w:pPr>
      <w:spacing w:after="220" w:line="220" w:lineRule="atLeast"/>
      <w:ind w:hanging="360" w:left="1440"/>
    </w:pPr>
  </w:style>
  <w:style w:styleId="af9" w:type="paragraph">
    <w:name w:val="footnote text"/>
    <w:basedOn w:val="a"/>
    <w:link w:val="afa"/>
    <w:pPr>
      <w:snapToGrid w:val="0"/>
      <w:jc w:val="left"/>
    </w:pPr>
    <w:rPr>
      <w:sz w:val="18"/>
      <w:szCs w:val="18"/>
    </w:rPr>
  </w:style>
  <w:style w:styleId="31" w:type="paragraph">
    <w:name w:val="Body Text Indent 3"/>
    <w:basedOn w:val="a"/>
    <w:link w:val="32"/>
    <w:uiPriority w:val="99"/>
    <w:pPr>
      <w:spacing w:line="560" w:lineRule="exact"/>
      <w:ind w:firstLine="420" w:firstLineChars="200"/>
    </w:pPr>
    <w:rPr>
      <w:rFonts w:ascii="Arial" w:cs="Arial" w:hAnsi="Arial"/>
      <w:color w:val="FF0000"/>
    </w:rPr>
  </w:style>
  <w:style w:styleId="afb" w:type="paragraph">
    <w:name w:val="Normal (Web)"/>
    <w:basedOn w:val="a"/>
    <w:uiPriority w:val="99"/>
    <w:pPr>
      <w:widowControl/>
      <w:spacing w:after="100" w:afterAutospacing="1" w:before="100" w:beforeAutospacing="1"/>
      <w:jc w:val="left"/>
    </w:pPr>
    <w:rPr>
      <w:rFonts w:ascii="宋体" w:cs="宋体" w:hAnsi="宋体"/>
      <w:kern w:val="0"/>
      <w:sz w:val="24"/>
      <w:szCs w:val="24"/>
    </w:rPr>
  </w:style>
  <w:style w:styleId="11" w:type="paragraph">
    <w:name w:val="index 1"/>
    <w:basedOn w:val="a"/>
    <w:next w:val="a"/>
    <w:uiPriority w:val="99"/>
    <w:semiHidden/>
    <w:qFormat/>
    <w:pPr>
      <w:jc w:val="right"/>
    </w:pPr>
    <w:rPr>
      <w:color w:val="008000"/>
    </w:rPr>
  </w:style>
  <w:style w:styleId="afc" w:type="paragraph">
    <w:name w:val="Title"/>
    <w:basedOn w:val="a"/>
    <w:next w:val="a"/>
    <w:link w:val="afd"/>
    <w:uiPriority w:val="99"/>
    <w:qFormat/>
    <w:pPr>
      <w:spacing w:after="60" w:before="240"/>
      <w:jc w:val="center"/>
      <w:outlineLvl w:val="0"/>
    </w:pPr>
    <w:rPr>
      <w:rFonts w:ascii="Cambria" w:cs="Cambria" w:hAnsi="Cambria"/>
      <w:b/>
      <w:bCs/>
      <w:sz w:val="32"/>
      <w:szCs w:val="32"/>
    </w:rPr>
  </w:style>
  <w:style w:styleId="afe" w:type="character">
    <w:name w:val="Strong"/>
    <w:basedOn w:val="a1"/>
    <w:uiPriority w:val="22"/>
    <w:qFormat/>
    <w:rPr>
      <w:b/>
      <w:bCs/>
    </w:rPr>
  </w:style>
  <w:style w:styleId="aff" w:type="character">
    <w:name w:val="page number"/>
    <w:basedOn w:val="a1"/>
    <w:uiPriority w:val="99"/>
  </w:style>
  <w:style w:styleId="aff0" w:type="character">
    <w:name w:val="FollowedHyperlink"/>
    <w:basedOn w:val="a1"/>
    <w:uiPriority w:val="99"/>
    <w:qFormat/>
    <w:rPr>
      <w:color w:val="800080"/>
      <w:u w:val="single"/>
    </w:rPr>
  </w:style>
  <w:style w:styleId="aff1" w:type="character">
    <w:name w:val="Hyperlink"/>
    <w:basedOn w:val="a1"/>
    <w:uiPriority w:val="99"/>
    <w:rPr>
      <w:color w:val="0000FF"/>
      <w:u w:val="single"/>
    </w:rPr>
  </w:style>
  <w:style w:styleId="aff2" w:type="character">
    <w:name w:val="annotation reference"/>
    <w:basedOn w:val="a1"/>
    <w:uiPriority w:val="99"/>
    <w:semiHidden/>
    <w:qFormat/>
    <w:rPr>
      <w:sz w:val="21"/>
      <w:szCs w:val="21"/>
    </w:rPr>
  </w:style>
  <w:style w:styleId="aff3" w:type="character">
    <w:name w:val="footnote reference"/>
    <w:basedOn w:val="a1"/>
    <w:rPr>
      <w:vertAlign w:val="superscript"/>
    </w:rPr>
  </w:style>
  <w:style w:styleId="aff4" w:type="table">
    <w:name w:val="Table Grid"/>
    <w:basedOn w:val="a2"/>
    <w:qFormat/>
    <w:pPr>
      <w:widowControl w:val="0"/>
      <w:jc w:val="both"/>
    </w:pPr>
    <w:rPr>
      <w:rFonts w:ascii="Times New Roman" w:cs="Times New Roman" w:eastAsia="宋体"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0" w:type="character">
    <w:name w:val="标题 1 字符"/>
    <w:basedOn w:val="a1"/>
    <w:link w:val="1"/>
    <w:uiPriority w:val="99"/>
    <w:rPr>
      <w:rFonts w:ascii="Times New Roman" w:cs="Times New Roman" w:eastAsia="宋体" w:hAnsi="Times New Roman"/>
      <w:b/>
      <w:bCs/>
      <w:kern w:val="44"/>
      <w:sz w:val="44"/>
      <w:szCs w:val="44"/>
    </w:rPr>
  </w:style>
  <w:style w:customStyle="1" w:styleId="20" w:type="character">
    <w:name w:val="标题 2 字符"/>
    <w:basedOn w:val="a1"/>
    <w:link w:val="2"/>
    <w:uiPriority w:val="99"/>
    <w:rPr>
      <w:rFonts w:ascii="Arial" w:cs="Arial" w:eastAsia="宋体" w:hAnsi="Arial"/>
      <w:b/>
      <w:bCs/>
      <w:sz w:val="24"/>
      <w:szCs w:val="24"/>
    </w:rPr>
  </w:style>
  <w:style w:customStyle="1" w:styleId="30" w:type="character">
    <w:name w:val="标题 3 字符"/>
    <w:basedOn w:val="a1"/>
    <w:link w:val="3"/>
    <w:uiPriority w:val="99"/>
    <w:rPr>
      <w:rFonts w:ascii="Times New Roman" w:cs="Times New Roman" w:eastAsia="宋体" w:hAnsi="Times New Roman"/>
      <w:b/>
      <w:bCs/>
      <w:sz w:val="32"/>
      <w:szCs w:val="32"/>
    </w:rPr>
  </w:style>
  <w:style w:customStyle="1" w:styleId="ad" w:type="character">
    <w:name w:val="正文文本缩进 字符"/>
    <w:basedOn w:val="a1"/>
    <w:link w:val="ac"/>
    <w:uiPriority w:val="99"/>
    <w:rPr>
      <w:rFonts w:ascii="Arial Unicode MS" w:cs="Arial Unicode MS" w:eastAsia="Arial Unicode MS" w:hAnsi="Arial Unicode MS"/>
      <w:kern w:val="0"/>
      <w:sz w:val="24"/>
      <w:szCs w:val="24"/>
    </w:rPr>
  </w:style>
  <w:style w:customStyle="1" w:styleId="af" w:type="character">
    <w:name w:val="纯文本 字符"/>
    <w:basedOn w:val="a1"/>
    <w:link w:val="ae"/>
    <w:uiPriority w:val="99"/>
    <w:rPr>
      <w:rFonts w:ascii="宋体" w:cs="宋体" w:eastAsia="宋体" w:hAnsi="Courier New"/>
      <w:szCs w:val="21"/>
    </w:rPr>
  </w:style>
  <w:style w:customStyle="1" w:styleId="22" w:type="character">
    <w:name w:val="正文文本缩进 2 字符"/>
    <w:basedOn w:val="a1"/>
    <w:link w:val="21"/>
    <w:uiPriority w:val="99"/>
    <w:rPr>
      <w:rFonts w:ascii="宋体" w:cs="宋体" w:eastAsia="宋体" w:hAnsi="宋体"/>
      <w:color w:val="FF0000"/>
      <w:sz w:val="24"/>
      <w:szCs w:val="24"/>
    </w:rPr>
  </w:style>
  <w:style w:customStyle="1" w:styleId="af5" w:type="character">
    <w:name w:val="页脚 字符"/>
    <w:basedOn w:val="a1"/>
    <w:link w:val="af4"/>
    <w:uiPriority w:val="99"/>
    <w:rPr>
      <w:rFonts w:ascii="Times New Roman" w:cs="Times New Roman" w:eastAsia="宋体" w:hAnsi="Times New Roman"/>
      <w:sz w:val="18"/>
      <w:szCs w:val="18"/>
    </w:rPr>
  </w:style>
  <w:style w:customStyle="1" w:styleId="32" w:type="character">
    <w:name w:val="正文文本缩进 3 字符"/>
    <w:basedOn w:val="a1"/>
    <w:link w:val="31"/>
    <w:uiPriority w:val="99"/>
    <w:rPr>
      <w:rFonts w:ascii="Arial" w:cs="Arial" w:eastAsia="宋体" w:hAnsi="Arial"/>
      <w:color w:val="FF0000"/>
      <w:szCs w:val="21"/>
    </w:rPr>
  </w:style>
  <w:style w:customStyle="1" w:styleId="af7" w:type="character">
    <w:name w:val="页眉 字符"/>
    <w:basedOn w:val="a1"/>
    <w:link w:val="af6"/>
    <w:uiPriority w:val="99"/>
    <w:rPr>
      <w:rFonts w:ascii="Times New Roman" w:cs="Times New Roman" w:eastAsia="宋体" w:hAnsi="Times New Roman"/>
      <w:sz w:val="18"/>
      <w:szCs w:val="18"/>
    </w:rPr>
  </w:style>
  <w:style w:customStyle="1" w:styleId="ab" w:type="character">
    <w:name w:val="正文文本 字符"/>
    <w:basedOn w:val="a1"/>
    <w:link w:val="aa"/>
    <w:uiPriority w:val="99"/>
    <w:qFormat/>
    <w:rPr>
      <w:rFonts w:ascii="Times New Roman" w:cs="Times New Roman" w:eastAsia="宋体" w:hAnsi="Times New Roman"/>
      <w:szCs w:val="21"/>
    </w:rPr>
  </w:style>
  <w:style w:customStyle="1" w:styleId="af1" w:type="character">
    <w:name w:val="日期 字符"/>
    <w:basedOn w:val="a1"/>
    <w:link w:val="af0"/>
    <w:qFormat/>
    <w:rPr>
      <w:rFonts w:ascii="Times New Roman" w:cs="Times New Roman" w:eastAsia="宋体" w:hAnsi="Times New Roman"/>
      <w:sz w:val="24"/>
      <w:szCs w:val="24"/>
    </w:rPr>
  </w:style>
  <w:style w:customStyle="1" w:styleId="c1" w:type="character">
    <w:name w:val="c1"/>
    <w:basedOn w:val="a1"/>
    <w:uiPriority w:val="99"/>
    <w:qFormat/>
    <w:rPr>
      <w:color w:val="000000"/>
      <w:sz w:val="18"/>
      <w:szCs w:val="18"/>
    </w:rPr>
  </w:style>
  <w:style w:customStyle="1" w:styleId="font5" w:type="paragraph">
    <w:name w:val="font5"/>
    <w:basedOn w:val="a"/>
    <w:uiPriority w:val="99"/>
    <w:qFormat/>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qFormat/>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af3" w:type="character">
    <w:name w:val="批注框文本 字符"/>
    <w:basedOn w:val="a1"/>
    <w:link w:val="af2"/>
    <w:uiPriority w:val="99"/>
    <w:semiHidden/>
    <w:qFormat/>
    <w:rPr>
      <w:rFonts w:ascii="Times New Roman" w:cs="Times New Roman" w:eastAsia="宋体" w:hAnsi="Times New Roman"/>
      <w:sz w:val="18"/>
      <w:szCs w:val="18"/>
    </w:rPr>
  </w:style>
  <w:style w:customStyle="1" w:styleId="a7" w:type="character">
    <w:name w:val="批注文字 字符"/>
    <w:basedOn w:val="a1"/>
    <w:link w:val="a5"/>
    <w:uiPriority w:val="99"/>
    <w:semiHidden/>
    <w:qFormat/>
    <w:rPr>
      <w:rFonts w:ascii="Times New Roman" w:cs="Times New Roman" w:eastAsia="宋体" w:hAnsi="Times New Roman"/>
      <w:szCs w:val="21"/>
    </w:rPr>
  </w:style>
  <w:style w:customStyle="1" w:styleId="a6" w:type="character">
    <w:name w:val="批注主题 字符"/>
    <w:basedOn w:val="a7"/>
    <w:link w:val="a4"/>
    <w:uiPriority w:val="99"/>
    <w:semiHidden/>
    <w:qFormat/>
    <w:rPr>
      <w:rFonts w:ascii="Times New Roman" w:cs="Times New Roman" w:eastAsia="宋体" w:hAnsi="Times New Roman"/>
      <w:b/>
      <w:bCs/>
      <w:szCs w:val="21"/>
    </w:rPr>
  </w:style>
  <w:style w:customStyle="1" w:styleId="Char" w:type="paragraph">
    <w:name w:val="Char"/>
    <w:basedOn w:val="a"/>
    <w:uiPriority w:val="99"/>
    <w:qFormat/>
  </w:style>
  <w:style w:customStyle="1" w:styleId="a9" w:type="character">
    <w:name w:val="文档结构图 字符"/>
    <w:basedOn w:val="a1"/>
    <w:link w:val="a8"/>
    <w:uiPriority w:val="99"/>
    <w:semiHidden/>
    <w:rPr>
      <w:rFonts w:ascii="Times New Roman" w:cs="Times New Roman" w:eastAsia="宋体" w:hAnsi="Times New Roman"/>
      <w:szCs w:val="21"/>
      <w:shd w:color="auto" w:fill="000080" w:val="clear"/>
    </w:rPr>
  </w:style>
  <w:style w:customStyle="1" w:styleId="aff5" w:type="paragraph">
    <w:name w:val="正文 + (符号) 宋体"/>
    <w:basedOn w:val="a"/>
    <w:uiPriority w:val="99"/>
    <w:pPr>
      <w:autoSpaceDE w:val="0"/>
      <w:autoSpaceDN w:val="0"/>
      <w:adjustRightInd w:val="0"/>
      <w:ind w:firstLine="1229" w:firstLineChars="512" w:right="1409" w:rightChars="671"/>
      <w:jc w:val="distribute"/>
    </w:pPr>
    <w:rPr>
      <w:sz w:val="24"/>
      <w:szCs w:val="24"/>
    </w:rPr>
  </w:style>
  <w:style w:customStyle="1" w:styleId="afa" w:type="character">
    <w:name w:val="脚注文本 字符"/>
    <w:basedOn w:val="a1"/>
    <w:link w:val="af9"/>
    <w:rPr>
      <w:rFonts w:ascii="Times New Roman" w:cs="Times New Roman" w:eastAsia="宋体" w:hAnsi="Times New Roman"/>
      <w:sz w:val="18"/>
      <w:szCs w:val="18"/>
    </w:rPr>
  </w:style>
  <w:style w:customStyle="1" w:styleId="Char1" w:type="paragraph">
    <w:name w:val="Char1"/>
    <w:basedOn w:val="a"/>
    <w:uiPriority w:val="99"/>
  </w:style>
  <w:style w:customStyle="1" w:styleId="CharCharCharCharCharChar1CharCharChar" w:type="paragraph">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customStyle="1" w:styleId="afd" w:type="character">
    <w:name w:val="标题 字符"/>
    <w:basedOn w:val="a1"/>
    <w:link w:val="afc"/>
    <w:uiPriority w:val="99"/>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customStyle="1" w:styleId="12" w:type="paragraph">
    <w:name w:val="无间隔1"/>
    <w:link w:val="Char0"/>
    <w:uiPriority w:val="1"/>
    <w:qFormat/>
    <w:rPr>
      <w:rFonts w:ascii="Calibri" w:cs="Calibri" w:eastAsia="宋体" w:hAnsi="Calibri"/>
      <w:sz w:val="22"/>
      <w:szCs w:val="22"/>
    </w:rPr>
  </w:style>
  <w:style w:customStyle="1" w:styleId="Char0" w:type="character">
    <w:name w:val="无间隔 Char"/>
    <w:basedOn w:val="a1"/>
    <w:link w:val="12"/>
    <w:uiPriority w:val="1"/>
    <w:locked/>
    <w:rPr>
      <w:rFonts w:ascii="Calibri" w:cs="Calibri" w:eastAsia="宋体" w:hAnsi="Calibri"/>
      <w:kern w:val="0"/>
      <w:sz w:val="22"/>
    </w:rPr>
  </w:style>
  <w:style w:customStyle="1" w:styleId="t1" w:type="character">
    <w:name w:val="t1"/>
    <w:basedOn w:val="a1"/>
    <w:uiPriority w:val="99"/>
    <w:rPr>
      <w:color w:val="auto"/>
    </w:rPr>
  </w:style>
  <w:style w:customStyle="1" w:styleId="13" w:type="paragraph">
    <w:name w:val="列表段落1"/>
    <w:basedOn w:val="a"/>
    <w:uiPriority w:val="34"/>
    <w:qFormat/>
    <w:pPr>
      <w:ind w:firstLine="420" w:firstLineChars="200"/>
    </w:pPr>
  </w:style>
  <w:style w:customStyle="1" w:styleId="Default" w:type="paragraph">
    <w:name w:val="Default"/>
    <w:pPr>
      <w:widowControl w:val="0"/>
      <w:autoSpaceDE w:val="0"/>
      <w:autoSpaceDN w:val="0"/>
      <w:adjustRightInd w:val="0"/>
    </w:pPr>
    <w:rPr>
      <w:rFonts w:ascii="仿宋" w:cs="仿宋" w:eastAsia="宋体" w:hAnsi="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footer2.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AD9206E-1E05-4DAA-8257-D968F18318A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26</Pages>
  <Words>4167</Words>
  <Characters>23756</Characters>
  <Application>Microsoft Office Word</Application>
  <DocSecurity>0</DocSecurity>
  <Lines>197</Lines>
  <Paragraphs>55</Paragraphs>
  <ScaleCrop>false</ScaleCrop>
  <Company/>
  <LinksUpToDate>false</LinksUpToDate>
  <CharactersWithSpaces>27868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dc:creator>Administrator</dc:creator>
  <cp:lastModifiedBy>良 虢</cp:lastModifiedBy>
  <dcterms:modified xsi:type="dcterms:W3CDTF">2021-06-04T04:09:00Z</dcterms:modified>
  <cp:revision>267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