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上投摩根阿尔法混合型证券投资基金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报告送出日期：二〇二二年十月二十六日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上投摩根阿尔法混合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377010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2005</w:t>
            </w:r>
            <w:r w:rsidRPr="00B27A29">
              <w:rPr>
                <w:rFonts w:eastAsiaTheme="minorEastAsia"/>
                <w:color w:val="000000" w:themeColor="text1"/>
                <w:kern w:val="0"/>
                <w:szCs w:val="21"/>
              </w:rPr>
              <w:t>年</w:t>
            </w:r>
            <w:r w:rsidRPr="00B27A29">
              <w:rPr>
                <w:rFonts w:eastAsiaTheme="minorEastAsia"/>
                <w:color w:val="000000" w:themeColor="text1"/>
                <w:kern w:val="0"/>
                <w:szCs w:val="21"/>
              </w:rPr>
              <w:t>10</w:t>
            </w:r>
            <w:r w:rsidRPr="00B27A29">
              <w:rPr>
                <w:rFonts w:eastAsiaTheme="minorEastAsia"/>
                <w:color w:val="000000" w:themeColor="text1"/>
                <w:kern w:val="0"/>
                <w:szCs w:val="21"/>
              </w:rPr>
              <w:t>月</w:t>
            </w:r>
            <w:r w:rsidRPr="00B27A29">
              <w:rPr>
                <w:rFonts w:eastAsiaTheme="minorEastAsia"/>
                <w:color w:val="000000" w:themeColor="text1"/>
                <w:kern w:val="0"/>
                <w:szCs w:val="21"/>
              </w:rPr>
              <w:t>11</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224,132,036.61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本基金采用哑铃式投资技术</w:t>
            </w:r>
            <w:r w:rsidRPr="00B27A29">
              <w:rPr>
                <w:rFonts w:eastAsiaTheme="minorEastAsia"/>
                <w:color w:val="000000" w:themeColor="text1"/>
                <w:kern w:val="0"/>
                <w:szCs w:val="21"/>
              </w:rPr>
              <w:t>(Barbell Approach)</w:t>
            </w:r>
            <w:r w:rsidRPr="00B27A29">
              <w:rPr>
                <w:rFonts w:eastAsiaTheme="minorEastAsia"/>
                <w:color w:val="000000" w:themeColor="text1"/>
                <w:kern w:val="0"/>
                <w:szCs w:val="21"/>
              </w:rPr>
              <w:t>，同步以</w:t>
            </w:r>
            <w:r w:rsidRPr="00B27A29">
              <w:rPr>
                <w:rFonts w:eastAsiaTheme="minorEastAsia"/>
                <w:color w:val="000000" w:themeColor="text1"/>
                <w:kern w:val="0"/>
                <w:szCs w:val="21"/>
              </w:rPr>
              <w:t>“</w:t>
            </w:r>
            <w:r w:rsidRPr="00B27A29">
              <w:rPr>
                <w:rFonts w:eastAsiaTheme="minorEastAsia"/>
                <w:color w:val="000000" w:themeColor="text1"/>
                <w:kern w:val="0"/>
                <w:szCs w:val="21"/>
              </w:rPr>
              <w:t>成长</w:t>
            </w:r>
            <w:r w:rsidRPr="00B27A29">
              <w:rPr>
                <w:rFonts w:eastAsiaTheme="minorEastAsia"/>
                <w:color w:val="000000" w:themeColor="text1"/>
                <w:kern w:val="0"/>
                <w:szCs w:val="21"/>
              </w:rPr>
              <w:t>”</w:t>
            </w:r>
            <w:r w:rsidRPr="00B27A29">
              <w:rPr>
                <w:rFonts w:eastAsiaTheme="minorEastAsia"/>
                <w:color w:val="000000" w:themeColor="text1"/>
                <w:kern w:val="0"/>
                <w:szCs w:val="21"/>
              </w:rPr>
              <w:t>与</w:t>
            </w:r>
            <w:r w:rsidRPr="00B27A29">
              <w:rPr>
                <w:rFonts w:eastAsiaTheme="minorEastAsia"/>
                <w:color w:val="000000" w:themeColor="text1"/>
                <w:kern w:val="0"/>
                <w:szCs w:val="21"/>
              </w:rPr>
              <w:t>“</w:t>
            </w:r>
            <w:r w:rsidRPr="00B27A29">
              <w:rPr>
                <w:rFonts w:eastAsiaTheme="minorEastAsia"/>
                <w:color w:val="000000" w:themeColor="text1"/>
                <w:kern w:val="0"/>
                <w:szCs w:val="21"/>
              </w:rPr>
              <w:t>价值</w:t>
            </w:r>
            <w:r w:rsidRPr="00B27A29">
              <w:rPr>
                <w:rFonts w:eastAsiaTheme="minorEastAsia"/>
                <w:color w:val="000000" w:themeColor="text1"/>
                <w:kern w:val="0"/>
                <w:szCs w:val="21"/>
              </w:rPr>
              <w:t>”</w:t>
            </w:r>
            <w:r w:rsidRPr="00B27A29">
              <w:rPr>
                <w:rFonts w:eastAsiaTheme="minorEastAsia"/>
                <w:color w:val="000000" w:themeColor="text1"/>
                <w:kern w:val="0"/>
                <w:szCs w:val="21"/>
              </w:rPr>
              <w:t>双重量化指标进行股票选择。在基于由下而上的择股流程中，精选个股，纪律执行，构造出相对均衡的不同风格类资产组合。同时结合公司质量、行业布局、风险因子等深入分析，对资产配置进行适度调整，努力控制投资组合的市场适应性，以求多空环境中都能创造超越业绩基准的主动管理回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3F1B6B" w:rsidRDefault="003A7E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本基金充分借鉴摩根资产管理集团全球行之有效的投资理念和技术，依据中国资本市场的具体特征，引入集团在</w:t>
            </w:r>
            <w:r>
              <w:rPr>
                <w:rFonts w:eastAsiaTheme="minorEastAsia"/>
                <w:color w:val="000000" w:themeColor="text1"/>
                <w:kern w:val="0"/>
                <w:szCs w:val="21"/>
              </w:rPr>
              <w:lastRenderedPageBreak/>
              <w:t>海外市场成功运作的</w:t>
            </w:r>
            <w:r>
              <w:rPr>
                <w:rFonts w:eastAsiaTheme="minorEastAsia"/>
                <w:color w:val="000000" w:themeColor="text1"/>
                <w:kern w:val="0"/>
                <w:szCs w:val="21"/>
              </w:rPr>
              <w:t xml:space="preserve">“Dynamic </w:t>
            </w:r>
            <w:r>
              <w:rPr>
                <w:rFonts w:eastAsiaTheme="minorEastAsia"/>
                <w:color w:val="000000" w:themeColor="text1"/>
                <w:kern w:val="0"/>
                <w:szCs w:val="21"/>
              </w:rPr>
              <w:t>Fund”</w:t>
            </w:r>
            <w:r>
              <w:rPr>
                <w:rFonts w:eastAsiaTheme="minorEastAsia"/>
                <w:color w:val="000000" w:themeColor="text1"/>
                <w:kern w:val="0"/>
                <w:szCs w:val="21"/>
              </w:rPr>
              <w:t>基金产品概念。具体而言，本基金将以量化指标分析为基础，通过严格的证券选择，积极构建并持续优化</w:t>
            </w:r>
            <w:r>
              <w:rPr>
                <w:rFonts w:eastAsiaTheme="minorEastAsia"/>
                <w:color w:val="000000" w:themeColor="text1"/>
                <w:kern w:val="0"/>
                <w:szCs w:val="21"/>
              </w:rPr>
              <w:t>“</w:t>
            </w:r>
            <w:r>
              <w:rPr>
                <w:rFonts w:eastAsiaTheme="minorEastAsia"/>
                <w:color w:val="000000" w:themeColor="text1"/>
                <w:kern w:val="0"/>
                <w:szCs w:val="21"/>
              </w:rPr>
              <w:t>哑铃式</w:t>
            </w:r>
            <w:r>
              <w:rPr>
                <w:rFonts w:eastAsiaTheme="minorEastAsia"/>
                <w:color w:val="000000" w:themeColor="text1"/>
                <w:kern w:val="0"/>
                <w:szCs w:val="21"/>
              </w:rPr>
              <w:t>”</w:t>
            </w:r>
            <w:r>
              <w:rPr>
                <w:rFonts w:eastAsiaTheme="minorEastAsia"/>
                <w:color w:val="000000" w:themeColor="text1"/>
                <w:kern w:val="0"/>
                <w:szCs w:val="21"/>
              </w:rPr>
              <w:t>资产组合，结合严密的风险监控，不断谋求超越业绩比较基准的稳定回报。</w:t>
            </w:r>
          </w:p>
          <w:p w:rsidR="003F1B6B" w:rsidRDefault="003A7E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、股票投资策略</w:t>
            </w:r>
          </w:p>
          <w:p w:rsidR="003F1B6B" w:rsidRDefault="003A7E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包括</w:t>
            </w:r>
            <w:r>
              <w:rPr>
                <w:rFonts w:eastAsiaTheme="minorEastAsia"/>
                <w:color w:val="000000" w:themeColor="text1"/>
                <w:kern w:val="0"/>
                <w:szCs w:val="21"/>
              </w:rPr>
              <w:t>1</w:t>
            </w:r>
            <w:r>
              <w:rPr>
                <w:rFonts w:eastAsiaTheme="minorEastAsia"/>
                <w:color w:val="000000" w:themeColor="text1"/>
                <w:kern w:val="0"/>
                <w:szCs w:val="21"/>
              </w:rPr>
              <w:t>）选取价值</w:t>
            </w:r>
            <w:r>
              <w:rPr>
                <w:rFonts w:eastAsiaTheme="minorEastAsia"/>
                <w:color w:val="000000" w:themeColor="text1"/>
                <w:kern w:val="0"/>
                <w:szCs w:val="21"/>
              </w:rPr>
              <w:t>/</w:t>
            </w:r>
            <w:r>
              <w:rPr>
                <w:rFonts w:eastAsiaTheme="minorEastAsia"/>
                <w:color w:val="000000" w:themeColor="text1"/>
                <w:kern w:val="0"/>
                <w:szCs w:val="21"/>
              </w:rPr>
              <w:t>成长因子、</w:t>
            </w:r>
            <w:r>
              <w:rPr>
                <w:rFonts w:eastAsiaTheme="minorEastAsia"/>
                <w:color w:val="000000" w:themeColor="text1"/>
                <w:kern w:val="0"/>
                <w:szCs w:val="21"/>
              </w:rPr>
              <w:t>2</w:t>
            </w:r>
            <w:r>
              <w:rPr>
                <w:rFonts w:eastAsiaTheme="minorEastAsia"/>
                <w:color w:val="000000" w:themeColor="text1"/>
                <w:kern w:val="0"/>
                <w:szCs w:val="21"/>
              </w:rPr>
              <w:t>）计算股票风格等级、</w:t>
            </w:r>
            <w:r>
              <w:rPr>
                <w:rFonts w:eastAsiaTheme="minorEastAsia"/>
                <w:color w:val="000000" w:themeColor="text1"/>
                <w:kern w:val="0"/>
                <w:szCs w:val="21"/>
              </w:rPr>
              <w:t>3</w:t>
            </w:r>
            <w:r>
              <w:rPr>
                <w:rFonts w:eastAsiaTheme="minorEastAsia"/>
                <w:color w:val="000000" w:themeColor="text1"/>
                <w:kern w:val="0"/>
                <w:szCs w:val="21"/>
              </w:rPr>
              <w:t>）创造主动管理报酬。</w:t>
            </w:r>
          </w:p>
          <w:p w:rsidR="003F1B6B" w:rsidRDefault="003A7E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、固定收益类投资策略</w:t>
            </w:r>
          </w:p>
          <w:p w:rsidR="003F1B6B" w:rsidRDefault="003A7E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本基金以股票投资为主，为控制股票投资风险，优化组合流动性管理，本基金会适度考虑配置防御性资产，进行债券、货币市场工具等品种的投资。</w:t>
            </w:r>
          </w:p>
          <w:p w:rsidR="003F1B6B" w:rsidRDefault="003A7E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、存托凭证投资策略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3F1B6B" w:rsidRDefault="003A7E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本基金是混合型证券投资基金，预期收益及预期风险水平低于股票型基金，高于债券型基金和货币市场基金，属于较高预期收益和预期风险水平的投资品种。</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上投摩根阿尔法混合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上投摩根阿尔法混合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lastRenderedPageBreak/>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377010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015637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223,971,405.16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160,631.45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上投摩根阿尔法混合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上投摩根阿尔法混合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-26,012,828.70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-20,398.01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-203,450,237.09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-133,292.40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-0.9052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-0.8657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975,733,833.45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698,368.05</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4.3565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4.3476</w:t>
            </w:r>
          </w:p>
        </w:tc>
      </w:tr>
    </w:tbl>
    <w:p w:rsidR="003F1B6B" w:rsidRDefault="003A7E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3F1B6B" w:rsidRDefault="003A7E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本基金自</w:t>
      </w:r>
      <w:r w:rsidRPr="00B27A29">
        <w:rPr>
          <w:rFonts w:eastAsiaTheme="minorEastAsia"/>
          <w:color w:val="000000" w:themeColor="text1"/>
          <w:szCs w:val="21"/>
        </w:rPr>
        <w:t xml:space="preserve"> 2022 </w:t>
      </w:r>
      <w:r w:rsidRPr="00B27A29">
        <w:rPr>
          <w:rFonts w:eastAsiaTheme="minorEastAsia"/>
          <w:color w:val="000000" w:themeColor="text1"/>
          <w:szCs w:val="21"/>
        </w:rPr>
        <w:t>年</w:t>
      </w:r>
      <w:r w:rsidRPr="00B27A29">
        <w:rPr>
          <w:rFonts w:eastAsiaTheme="minorEastAsia"/>
          <w:color w:val="000000" w:themeColor="text1"/>
          <w:szCs w:val="21"/>
        </w:rPr>
        <w:t>5</w:t>
      </w:r>
      <w:r w:rsidRPr="00B27A29">
        <w:rPr>
          <w:rFonts w:eastAsiaTheme="minorEastAsia"/>
          <w:color w:val="000000" w:themeColor="text1"/>
          <w:szCs w:val="21"/>
        </w:rPr>
        <w:t>月</w:t>
      </w:r>
      <w:r w:rsidRPr="00B27A29">
        <w:rPr>
          <w:rFonts w:eastAsiaTheme="minorEastAsia"/>
          <w:color w:val="000000" w:themeColor="text1"/>
          <w:szCs w:val="21"/>
        </w:rPr>
        <w:t>6</w:t>
      </w:r>
      <w:r w:rsidRPr="00B27A29">
        <w:rPr>
          <w:rFonts w:eastAsiaTheme="minorEastAsia"/>
          <w:color w:val="000000" w:themeColor="text1"/>
          <w:szCs w:val="21"/>
        </w:rPr>
        <w:t>日起，增设</w:t>
      </w:r>
      <w:r w:rsidRPr="00B27A29">
        <w:rPr>
          <w:rFonts w:eastAsiaTheme="minorEastAsia"/>
          <w:color w:val="000000" w:themeColor="text1"/>
          <w:szCs w:val="21"/>
        </w:rPr>
        <w:t xml:space="preserve"> C </w:t>
      </w:r>
      <w:r w:rsidRPr="00B27A29">
        <w:rPr>
          <w:rFonts w:eastAsiaTheme="minorEastAsia"/>
          <w:color w:val="000000" w:themeColor="text1"/>
          <w:szCs w:val="21"/>
        </w:rPr>
        <w:t>类基金份额。</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上投摩根阿尔法混合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F1B6B">
        <w:tc>
          <w:tcPr>
            <w:tcW w:w="1290" w:type="dxa"/>
            <w:vAlign w:val="center"/>
          </w:tcPr>
          <w:p w:rsidR="003F1B6B" w:rsidRDefault="003A7E24">
            <w:pPr>
              <w:jc w:val="left"/>
            </w:pPr>
            <w:r>
              <w:rPr>
                <w:rFonts w:eastAsiaTheme="minorEastAsia"/>
                <w:color w:val="000000" w:themeColor="text1"/>
                <w:szCs w:val="21"/>
              </w:rPr>
              <w:t>过去三个月</w:t>
            </w:r>
          </w:p>
        </w:tc>
        <w:tc>
          <w:tcPr>
            <w:tcW w:w="1291" w:type="dxa"/>
            <w:vAlign w:val="center"/>
          </w:tcPr>
          <w:p w:rsidR="003F1B6B" w:rsidRDefault="003A7E24">
            <w:pPr>
              <w:jc w:val="right"/>
            </w:pPr>
            <w:r>
              <w:rPr>
                <w:rFonts w:eastAsiaTheme="minorEastAsia"/>
                <w:color w:val="000000" w:themeColor="text1"/>
                <w:szCs w:val="21"/>
              </w:rPr>
              <w:t>-17.17%</w:t>
            </w:r>
          </w:p>
        </w:tc>
        <w:tc>
          <w:tcPr>
            <w:tcW w:w="1291" w:type="dxa"/>
            <w:vAlign w:val="center"/>
          </w:tcPr>
          <w:p w:rsidR="003F1B6B" w:rsidRDefault="003A7E24">
            <w:pPr>
              <w:jc w:val="right"/>
            </w:pPr>
            <w:r>
              <w:rPr>
                <w:rFonts w:eastAsiaTheme="minorEastAsia"/>
                <w:color w:val="000000" w:themeColor="text1"/>
                <w:szCs w:val="21"/>
              </w:rPr>
              <w:t>1.08%</w:t>
            </w:r>
          </w:p>
        </w:tc>
        <w:tc>
          <w:tcPr>
            <w:tcW w:w="1291" w:type="dxa"/>
            <w:vAlign w:val="center"/>
          </w:tcPr>
          <w:p w:rsidR="003F1B6B" w:rsidRDefault="003A7E24">
            <w:pPr>
              <w:jc w:val="right"/>
            </w:pPr>
            <w:r>
              <w:rPr>
                <w:rFonts w:eastAsiaTheme="minorEastAsia"/>
                <w:color w:val="000000" w:themeColor="text1"/>
                <w:szCs w:val="21"/>
              </w:rPr>
              <w:t>-11.96%</w:t>
            </w:r>
          </w:p>
        </w:tc>
        <w:tc>
          <w:tcPr>
            <w:tcW w:w="1291" w:type="dxa"/>
            <w:vAlign w:val="center"/>
          </w:tcPr>
          <w:p w:rsidR="003F1B6B" w:rsidRDefault="003A7E24">
            <w:pPr>
              <w:jc w:val="right"/>
            </w:pPr>
            <w:r>
              <w:rPr>
                <w:rFonts w:eastAsiaTheme="minorEastAsia"/>
                <w:color w:val="000000" w:themeColor="text1"/>
                <w:szCs w:val="21"/>
              </w:rPr>
              <w:t>0.71%</w:t>
            </w:r>
          </w:p>
        </w:tc>
        <w:tc>
          <w:tcPr>
            <w:tcW w:w="1291" w:type="dxa"/>
            <w:vAlign w:val="center"/>
          </w:tcPr>
          <w:p w:rsidR="003F1B6B" w:rsidRDefault="003A7E24">
            <w:pPr>
              <w:jc w:val="right"/>
            </w:pPr>
            <w:r>
              <w:rPr>
                <w:rFonts w:eastAsiaTheme="minorEastAsia"/>
                <w:color w:val="000000" w:themeColor="text1"/>
                <w:szCs w:val="21"/>
              </w:rPr>
              <w:t>-5.21%</w:t>
            </w:r>
          </w:p>
        </w:tc>
        <w:tc>
          <w:tcPr>
            <w:tcW w:w="1291" w:type="dxa"/>
            <w:vAlign w:val="center"/>
          </w:tcPr>
          <w:p w:rsidR="003F1B6B" w:rsidRDefault="003A7E24">
            <w:pPr>
              <w:jc w:val="right"/>
            </w:pPr>
            <w:r>
              <w:rPr>
                <w:rFonts w:eastAsiaTheme="minorEastAsia"/>
                <w:color w:val="000000" w:themeColor="text1"/>
                <w:szCs w:val="21"/>
              </w:rPr>
              <w:t>0.37%</w:t>
            </w:r>
          </w:p>
        </w:tc>
      </w:tr>
      <w:tr w:rsidR="003F1B6B">
        <w:tc>
          <w:tcPr>
            <w:tcW w:w="1290" w:type="dxa"/>
            <w:vAlign w:val="center"/>
          </w:tcPr>
          <w:p w:rsidR="003F1B6B" w:rsidRDefault="003A7E24">
            <w:pPr>
              <w:jc w:val="left"/>
            </w:pPr>
            <w:r>
              <w:rPr>
                <w:rFonts w:eastAsiaTheme="minorEastAsia"/>
                <w:color w:val="000000" w:themeColor="text1"/>
                <w:szCs w:val="21"/>
              </w:rPr>
              <w:t>过去六个月</w:t>
            </w:r>
          </w:p>
        </w:tc>
        <w:tc>
          <w:tcPr>
            <w:tcW w:w="1291" w:type="dxa"/>
            <w:vAlign w:val="center"/>
          </w:tcPr>
          <w:p w:rsidR="003F1B6B" w:rsidRDefault="003A7E24">
            <w:pPr>
              <w:jc w:val="right"/>
            </w:pPr>
            <w:r>
              <w:rPr>
                <w:rFonts w:eastAsiaTheme="minorEastAsia"/>
                <w:color w:val="000000" w:themeColor="text1"/>
                <w:szCs w:val="21"/>
              </w:rPr>
              <w:t>-8.67%</w:t>
            </w:r>
          </w:p>
        </w:tc>
        <w:tc>
          <w:tcPr>
            <w:tcW w:w="1291" w:type="dxa"/>
            <w:vAlign w:val="center"/>
          </w:tcPr>
          <w:p w:rsidR="003F1B6B" w:rsidRDefault="003A7E24">
            <w:pPr>
              <w:jc w:val="right"/>
            </w:pPr>
            <w:r>
              <w:rPr>
                <w:rFonts w:eastAsiaTheme="minorEastAsia"/>
                <w:color w:val="000000" w:themeColor="text1"/>
                <w:szCs w:val="21"/>
              </w:rPr>
              <w:t>1.43%</w:t>
            </w:r>
          </w:p>
        </w:tc>
        <w:tc>
          <w:tcPr>
            <w:tcW w:w="1291" w:type="dxa"/>
            <w:vAlign w:val="center"/>
          </w:tcPr>
          <w:p w:rsidR="003F1B6B" w:rsidRDefault="003A7E24">
            <w:pPr>
              <w:jc w:val="right"/>
            </w:pPr>
            <w:r>
              <w:rPr>
                <w:rFonts w:eastAsiaTheme="minorEastAsia"/>
                <w:color w:val="000000" w:themeColor="text1"/>
                <w:szCs w:val="21"/>
              </w:rPr>
              <w:t>-7.74%</w:t>
            </w:r>
          </w:p>
        </w:tc>
        <w:tc>
          <w:tcPr>
            <w:tcW w:w="1291" w:type="dxa"/>
            <w:vAlign w:val="center"/>
          </w:tcPr>
          <w:p w:rsidR="003F1B6B" w:rsidRDefault="003A7E24">
            <w:pPr>
              <w:jc w:val="right"/>
            </w:pPr>
            <w:r>
              <w:rPr>
                <w:rFonts w:eastAsiaTheme="minorEastAsia"/>
                <w:color w:val="000000" w:themeColor="text1"/>
                <w:szCs w:val="21"/>
              </w:rPr>
              <w:t>0.95%</w:t>
            </w:r>
          </w:p>
        </w:tc>
        <w:tc>
          <w:tcPr>
            <w:tcW w:w="1291" w:type="dxa"/>
            <w:vAlign w:val="center"/>
          </w:tcPr>
          <w:p w:rsidR="003F1B6B" w:rsidRDefault="003A7E24">
            <w:pPr>
              <w:jc w:val="right"/>
            </w:pPr>
            <w:r>
              <w:rPr>
                <w:rFonts w:eastAsiaTheme="minorEastAsia"/>
                <w:color w:val="000000" w:themeColor="text1"/>
                <w:szCs w:val="21"/>
              </w:rPr>
              <w:t>-0.93%</w:t>
            </w:r>
          </w:p>
        </w:tc>
        <w:tc>
          <w:tcPr>
            <w:tcW w:w="1291" w:type="dxa"/>
            <w:vAlign w:val="center"/>
          </w:tcPr>
          <w:p w:rsidR="003F1B6B" w:rsidRDefault="003A7E24">
            <w:pPr>
              <w:jc w:val="right"/>
            </w:pPr>
            <w:r>
              <w:rPr>
                <w:rFonts w:eastAsiaTheme="minorEastAsia"/>
                <w:color w:val="000000" w:themeColor="text1"/>
                <w:szCs w:val="21"/>
              </w:rPr>
              <w:t>0.48%</w:t>
            </w:r>
          </w:p>
        </w:tc>
      </w:tr>
      <w:tr w:rsidR="003F1B6B">
        <w:tc>
          <w:tcPr>
            <w:tcW w:w="1290" w:type="dxa"/>
            <w:vAlign w:val="center"/>
          </w:tcPr>
          <w:p w:rsidR="003F1B6B" w:rsidRDefault="003A7E24">
            <w:pPr>
              <w:jc w:val="left"/>
            </w:pPr>
            <w:r>
              <w:rPr>
                <w:rFonts w:eastAsiaTheme="minorEastAsia"/>
                <w:color w:val="000000" w:themeColor="text1"/>
                <w:szCs w:val="21"/>
              </w:rPr>
              <w:t>过去一年</w:t>
            </w:r>
          </w:p>
        </w:tc>
        <w:tc>
          <w:tcPr>
            <w:tcW w:w="1291" w:type="dxa"/>
            <w:vAlign w:val="center"/>
          </w:tcPr>
          <w:p w:rsidR="003F1B6B" w:rsidRDefault="003A7E24">
            <w:pPr>
              <w:jc w:val="right"/>
            </w:pPr>
            <w:r>
              <w:rPr>
                <w:rFonts w:eastAsiaTheme="minorEastAsia"/>
                <w:color w:val="000000" w:themeColor="text1"/>
                <w:szCs w:val="21"/>
              </w:rPr>
              <w:t>-19.77%</w:t>
            </w:r>
          </w:p>
        </w:tc>
        <w:tc>
          <w:tcPr>
            <w:tcW w:w="1291" w:type="dxa"/>
            <w:vAlign w:val="center"/>
          </w:tcPr>
          <w:p w:rsidR="003F1B6B" w:rsidRDefault="003A7E24">
            <w:pPr>
              <w:jc w:val="right"/>
            </w:pPr>
            <w:r>
              <w:rPr>
                <w:rFonts w:eastAsiaTheme="minorEastAsia"/>
                <w:color w:val="000000" w:themeColor="text1"/>
                <w:szCs w:val="21"/>
              </w:rPr>
              <w:t>1.31%</w:t>
            </w:r>
          </w:p>
        </w:tc>
        <w:tc>
          <w:tcPr>
            <w:tcW w:w="1291" w:type="dxa"/>
            <w:vAlign w:val="center"/>
          </w:tcPr>
          <w:p w:rsidR="003F1B6B" w:rsidRDefault="003A7E24">
            <w:pPr>
              <w:jc w:val="right"/>
            </w:pPr>
            <w:r>
              <w:rPr>
                <w:rFonts w:eastAsiaTheme="minorEastAsia"/>
                <w:color w:val="000000" w:themeColor="text1"/>
                <w:szCs w:val="21"/>
              </w:rPr>
              <w:t>-17.18%</w:t>
            </w:r>
          </w:p>
        </w:tc>
        <w:tc>
          <w:tcPr>
            <w:tcW w:w="1291" w:type="dxa"/>
            <w:vAlign w:val="center"/>
          </w:tcPr>
          <w:p w:rsidR="003F1B6B" w:rsidRDefault="003A7E24">
            <w:pPr>
              <w:jc w:val="right"/>
            </w:pPr>
            <w:r>
              <w:rPr>
                <w:rFonts w:eastAsiaTheme="minorEastAsia"/>
                <w:color w:val="000000" w:themeColor="text1"/>
                <w:szCs w:val="21"/>
              </w:rPr>
              <w:t>0.94%</w:t>
            </w:r>
          </w:p>
        </w:tc>
        <w:tc>
          <w:tcPr>
            <w:tcW w:w="1291" w:type="dxa"/>
            <w:vAlign w:val="center"/>
          </w:tcPr>
          <w:p w:rsidR="003F1B6B" w:rsidRDefault="003A7E24">
            <w:pPr>
              <w:jc w:val="right"/>
            </w:pPr>
            <w:r>
              <w:rPr>
                <w:rFonts w:eastAsiaTheme="minorEastAsia"/>
                <w:color w:val="000000" w:themeColor="text1"/>
                <w:szCs w:val="21"/>
              </w:rPr>
              <w:t>-2.59%</w:t>
            </w:r>
          </w:p>
        </w:tc>
        <w:tc>
          <w:tcPr>
            <w:tcW w:w="1291" w:type="dxa"/>
            <w:vAlign w:val="center"/>
          </w:tcPr>
          <w:p w:rsidR="003F1B6B" w:rsidRDefault="003A7E24">
            <w:pPr>
              <w:jc w:val="right"/>
            </w:pPr>
            <w:r>
              <w:rPr>
                <w:rFonts w:eastAsiaTheme="minorEastAsia"/>
                <w:color w:val="000000" w:themeColor="text1"/>
                <w:szCs w:val="21"/>
              </w:rPr>
              <w:t>0.37%</w:t>
            </w:r>
          </w:p>
        </w:tc>
      </w:tr>
      <w:tr w:rsidR="003F1B6B">
        <w:tc>
          <w:tcPr>
            <w:tcW w:w="1290" w:type="dxa"/>
            <w:vAlign w:val="center"/>
          </w:tcPr>
          <w:p w:rsidR="003F1B6B" w:rsidRDefault="003A7E24">
            <w:pPr>
              <w:jc w:val="left"/>
            </w:pPr>
            <w:r>
              <w:rPr>
                <w:rFonts w:eastAsiaTheme="minorEastAsia"/>
                <w:color w:val="000000" w:themeColor="text1"/>
                <w:szCs w:val="21"/>
              </w:rPr>
              <w:t>过去三年</w:t>
            </w:r>
          </w:p>
        </w:tc>
        <w:tc>
          <w:tcPr>
            <w:tcW w:w="1291" w:type="dxa"/>
            <w:vAlign w:val="center"/>
          </w:tcPr>
          <w:p w:rsidR="003F1B6B" w:rsidRDefault="003A7E24">
            <w:pPr>
              <w:jc w:val="right"/>
            </w:pPr>
            <w:r>
              <w:rPr>
                <w:rFonts w:eastAsiaTheme="minorEastAsia"/>
                <w:color w:val="000000" w:themeColor="text1"/>
                <w:szCs w:val="21"/>
              </w:rPr>
              <w:t>48.34%</w:t>
            </w:r>
          </w:p>
        </w:tc>
        <w:tc>
          <w:tcPr>
            <w:tcW w:w="1291" w:type="dxa"/>
            <w:vAlign w:val="center"/>
          </w:tcPr>
          <w:p w:rsidR="003F1B6B" w:rsidRDefault="003A7E24">
            <w:pPr>
              <w:jc w:val="right"/>
            </w:pPr>
            <w:r>
              <w:rPr>
                <w:rFonts w:eastAsiaTheme="minorEastAsia"/>
                <w:color w:val="000000" w:themeColor="text1"/>
                <w:szCs w:val="21"/>
              </w:rPr>
              <w:t>1.28%</w:t>
            </w:r>
          </w:p>
        </w:tc>
        <w:tc>
          <w:tcPr>
            <w:tcW w:w="1291" w:type="dxa"/>
            <w:vAlign w:val="center"/>
          </w:tcPr>
          <w:p w:rsidR="003F1B6B" w:rsidRDefault="003A7E24">
            <w:pPr>
              <w:jc w:val="right"/>
            </w:pPr>
            <w:r>
              <w:rPr>
                <w:rFonts w:eastAsiaTheme="minorEastAsia"/>
                <w:color w:val="000000" w:themeColor="text1"/>
                <w:szCs w:val="21"/>
              </w:rPr>
              <w:t>0.51%</w:t>
            </w:r>
          </w:p>
        </w:tc>
        <w:tc>
          <w:tcPr>
            <w:tcW w:w="1291" w:type="dxa"/>
            <w:vAlign w:val="center"/>
          </w:tcPr>
          <w:p w:rsidR="003F1B6B" w:rsidRDefault="003A7E24">
            <w:pPr>
              <w:jc w:val="right"/>
            </w:pPr>
            <w:r>
              <w:rPr>
                <w:rFonts w:eastAsiaTheme="minorEastAsia"/>
                <w:color w:val="000000" w:themeColor="text1"/>
                <w:szCs w:val="21"/>
              </w:rPr>
              <w:t>1.01%</w:t>
            </w:r>
          </w:p>
        </w:tc>
        <w:tc>
          <w:tcPr>
            <w:tcW w:w="1291" w:type="dxa"/>
            <w:vAlign w:val="center"/>
          </w:tcPr>
          <w:p w:rsidR="003F1B6B" w:rsidRDefault="003A7E24">
            <w:pPr>
              <w:jc w:val="right"/>
            </w:pPr>
            <w:r>
              <w:rPr>
                <w:rFonts w:eastAsiaTheme="minorEastAsia"/>
                <w:color w:val="000000" w:themeColor="text1"/>
                <w:szCs w:val="21"/>
              </w:rPr>
              <w:t>47.83%</w:t>
            </w:r>
          </w:p>
        </w:tc>
        <w:tc>
          <w:tcPr>
            <w:tcW w:w="1291" w:type="dxa"/>
            <w:vAlign w:val="center"/>
          </w:tcPr>
          <w:p w:rsidR="003F1B6B" w:rsidRDefault="003A7E24">
            <w:pPr>
              <w:jc w:val="right"/>
            </w:pPr>
            <w:r>
              <w:rPr>
                <w:rFonts w:eastAsiaTheme="minorEastAsia"/>
                <w:color w:val="000000" w:themeColor="text1"/>
                <w:szCs w:val="21"/>
              </w:rPr>
              <w:t>0.27%</w:t>
            </w:r>
          </w:p>
        </w:tc>
      </w:tr>
      <w:tr w:rsidR="003F1B6B">
        <w:tc>
          <w:tcPr>
            <w:tcW w:w="1290" w:type="dxa"/>
            <w:vAlign w:val="center"/>
          </w:tcPr>
          <w:p w:rsidR="003F1B6B" w:rsidRDefault="003A7E24">
            <w:pPr>
              <w:jc w:val="left"/>
            </w:pPr>
            <w:r>
              <w:rPr>
                <w:rFonts w:eastAsiaTheme="minorEastAsia"/>
                <w:color w:val="000000" w:themeColor="text1"/>
                <w:szCs w:val="21"/>
              </w:rPr>
              <w:lastRenderedPageBreak/>
              <w:t>过去五年</w:t>
            </w:r>
          </w:p>
        </w:tc>
        <w:tc>
          <w:tcPr>
            <w:tcW w:w="1291" w:type="dxa"/>
            <w:vAlign w:val="center"/>
          </w:tcPr>
          <w:p w:rsidR="003F1B6B" w:rsidRDefault="003A7E24">
            <w:pPr>
              <w:jc w:val="right"/>
            </w:pPr>
            <w:r>
              <w:rPr>
                <w:rFonts w:eastAsiaTheme="minorEastAsia"/>
                <w:color w:val="000000" w:themeColor="text1"/>
                <w:szCs w:val="21"/>
              </w:rPr>
              <w:t>10.59%</w:t>
            </w:r>
          </w:p>
        </w:tc>
        <w:tc>
          <w:tcPr>
            <w:tcW w:w="1291" w:type="dxa"/>
            <w:vAlign w:val="center"/>
          </w:tcPr>
          <w:p w:rsidR="003F1B6B" w:rsidRDefault="003A7E24">
            <w:pPr>
              <w:jc w:val="right"/>
            </w:pPr>
            <w:r>
              <w:rPr>
                <w:rFonts w:eastAsiaTheme="minorEastAsia"/>
                <w:color w:val="000000" w:themeColor="text1"/>
                <w:szCs w:val="21"/>
              </w:rPr>
              <w:t>1.38%</w:t>
            </w:r>
          </w:p>
        </w:tc>
        <w:tc>
          <w:tcPr>
            <w:tcW w:w="1291" w:type="dxa"/>
            <w:vAlign w:val="center"/>
          </w:tcPr>
          <w:p w:rsidR="003F1B6B" w:rsidRDefault="003A7E24">
            <w:pPr>
              <w:jc w:val="right"/>
            </w:pPr>
            <w:r>
              <w:rPr>
                <w:rFonts w:eastAsiaTheme="minorEastAsia"/>
                <w:color w:val="000000" w:themeColor="text1"/>
                <w:szCs w:val="21"/>
              </w:rPr>
              <w:t>1.07%</w:t>
            </w:r>
          </w:p>
        </w:tc>
        <w:tc>
          <w:tcPr>
            <w:tcW w:w="1291" w:type="dxa"/>
            <w:vAlign w:val="center"/>
          </w:tcPr>
          <w:p w:rsidR="003F1B6B" w:rsidRDefault="003A7E24">
            <w:pPr>
              <w:jc w:val="right"/>
            </w:pPr>
            <w:r>
              <w:rPr>
                <w:rFonts w:eastAsiaTheme="minorEastAsia"/>
                <w:color w:val="000000" w:themeColor="text1"/>
                <w:szCs w:val="21"/>
              </w:rPr>
              <w:t>1.02%</w:t>
            </w:r>
          </w:p>
        </w:tc>
        <w:tc>
          <w:tcPr>
            <w:tcW w:w="1291" w:type="dxa"/>
            <w:vAlign w:val="center"/>
          </w:tcPr>
          <w:p w:rsidR="003F1B6B" w:rsidRDefault="003A7E24">
            <w:pPr>
              <w:jc w:val="right"/>
            </w:pPr>
            <w:r>
              <w:rPr>
                <w:rFonts w:eastAsiaTheme="minorEastAsia"/>
                <w:color w:val="000000" w:themeColor="text1"/>
                <w:szCs w:val="21"/>
              </w:rPr>
              <w:t>9.52%</w:t>
            </w:r>
          </w:p>
        </w:tc>
        <w:tc>
          <w:tcPr>
            <w:tcW w:w="1291" w:type="dxa"/>
            <w:vAlign w:val="center"/>
          </w:tcPr>
          <w:p w:rsidR="003F1B6B" w:rsidRDefault="003A7E24">
            <w:pPr>
              <w:jc w:val="right"/>
            </w:pPr>
            <w:r>
              <w:rPr>
                <w:rFonts w:eastAsiaTheme="minorEastAsia"/>
                <w:color w:val="000000" w:themeColor="text1"/>
                <w:szCs w:val="21"/>
              </w:rPr>
              <w:t>0.36%</w:t>
            </w:r>
          </w:p>
        </w:tc>
      </w:tr>
      <w:tr w:rsidR="003F1B6B">
        <w:tc>
          <w:tcPr>
            <w:tcW w:w="1290" w:type="dxa"/>
            <w:vAlign w:val="center"/>
          </w:tcPr>
          <w:p w:rsidR="003F1B6B" w:rsidRDefault="003A7E24">
            <w:pPr>
              <w:jc w:val="left"/>
            </w:pPr>
            <w:r>
              <w:rPr>
                <w:rFonts w:eastAsiaTheme="minorEastAsia"/>
                <w:color w:val="000000" w:themeColor="text1"/>
                <w:szCs w:val="21"/>
              </w:rPr>
              <w:t>自基金合同生效起至今</w:t>
            </w:r>
          </w:p>
        </w:tc>
        <w:tc>
          <w:tcPr>
            <w:tcW w:w="1291" w:type="dxa"/>
            <w:vAlign w:val="center"/>
          </w:tcPr>
          <w:p w:rsidR="003F1B6B" w:rsidRDefault="003A7E24">
            <w:pPr>
              <w:jc w:val="right"/>
            </w:pPr>
            <w:r>
              <w:rPr>
                <w:rFonts w:eastAsiaTheme="minorEastAsia"/>
                <w:color w:val="000000" w:themeColor="text1"/>
                <w:szCs w:val="21"/>
              </w:rPr>
              <w:t>626.39%</w:t>
            </w:r>
          </w:p>
        </w:tc>
        <w:tc>
          <w:tcPr>
            <w:tcW w:w="1291" w:type="dxa"/>
            <w:vAlign w:val="center"/>
          </w:tcPr>
          <w:p w:rsidR="003F1B6B" w:rsidRDefault="003A7E24">
            <w:pPr>
              <w:jc w:val="right"/>
            </w:pPr>
            <w:r>
              <w:rPr>
                <w:rFonts w:eastAsiaTheme="minorEastAsia"/>
                <w:color w:val="000000" w:themeColor="text1"/>
                <w:szCs w:val="21"/>
              </w:rPr>
              <w:t>1.57%</w:t>
            </w:r>
          </w:p>
        </w:tc>
        <w:tc>
          <w:tcPr>
            <w:tcW w:w="1291" w:type="dxa"/>
            <w:vAlign w:val="center"/>
          </w:tcPr>
          <w:p w:rsidR="003F1B6B" w:rsidRDefault="003A7E24">
            <w:pPr>
              <w:jc w:val="right"/>
            </w:pPr>
            <w:r>
              <w:rPr>
                <w:rFonts w:eastAsiaTheme="minorEastAsia"/>
                <w:color w:val="000000" w:themeColor="text1"/>
                <w:szCs w:val="21"/>
              </w:rPr>
              <w:t>288.40%</w:t>
            </w:r>
          </w:p>
        </w:tc>
        <w:tc>
          <w:tcPr>
            <w:tcW w:w="1291" w:type="dxa"/>
            <w:vAlign w:val="center"/>
          </w:tcPr>
          <w:p w:rsidR="003F1B6B" w:rsidRDefault="003A7E24">
            <w:pPr>
              <w:jc w:val="right"/>
            </w:pPr>
            <w:r>
              <w:rPr>
                <w:rFonts w:eastAsiaTheme="minorEastAsia"/>
                <w:color w:val="000000" w:themeColor="text1"/>
                <w:szCs w:val="21"/>
              </w:rPr>
              <w:t>1.34%</w:t>
            </w:r>
          </w:p>
        </w:tc>
        <w:tc>
          <w:tcPr>
            <w:tcW w:w="1291" w:type="dxa"/>
            <w:vAlign w:val="center"/>
          </w:tcPr>
          <w:p w:rsidR="003F1B6B" w:rsidRDefault="003A7E24">
            <w:pPr>
              <w:jc w:val="right"/>
            </w:pPr>
            <w:r>
              <w:rPr>
                <w:rFonts w:eastAsiaTheme="minorEastAsia"/>
                <w:color w:val="000000" w:themeColor="text1"/>
                <w:szCs w:val="21"/>
              </w:rPr>
              <w:t>337.99%</w:t>
            </w:r>
          </w:p>
        </w:tc>
        <w:tc>
          <w:tcPr>
            <w:tcW w:w="1291" w:type="dxa"/>
            <w:vAlign w:val="center"/>
          </w:tcPr>
          <w:p w:rsidR="003F1B6B" w:rsidRDefault="003A7E24">
            <w:pPr>
              <w:jc w:val="right"/>
            </w:pPr>
            <w:r>
              <w:rPr>
                <w:rFonts w:eastAsiaTheme="minorEastAsia"/>
                <w:color w:val="000000" w:themeColor="text1"/>
                <w:szCs w:val="21"/>
              </w:rPr>
              <w:t>0.23%</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上投摩根阿尔法混合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F1B6B">
        <w:tc>
          <w:tcPr>
            <w:tcW w:w="1290" w:type="dxa"/>
            <w:vAlign w:val="center"/>
          </w:tcPr>
          <w:p w:rsidR="003F1B6B" w:rsidRDefault="003A7E24">
            <w:pPr>
              <w:jc w:val="left"/>
            </w:pPr>
            <w:r>
              <w:rPr>
                <w:rFonts w:eastAsiaTheme="minorEastAsia"/>
                <w:color w:val="000000" w:themeColor="text1"/>
                <w:szCs w:val="21"/>
              </w:rPr>
              <w:t>过去三个月</w:t>
            </w:r>
          </w:p>
        </w:tc>
        <w:tc>
          <w:tcPr>
            <w:tcW w:w="1291" w:type="dxa"/>
            <w:vAlign w:val="center"/>
          </w:tcPr>
          <w:p w:rsidR="003F1B6B" w:rsidRDefault="003A7E24">
            <w:pPr>
              <w:jc w:val="right"/>
            </w:pPr>
            <w:r>
              <w:rPr>
                <w:rFonts w:eastAsiaTheme="minorEastAsia"/>
                <w:color w:val="000000" w:themeColor="text1"/>
                <w:szCs w:val="21"/>
              </w:rPr>
              <w:t>-17.30%</w:t>
            </w:r>
          </w:p>
        </w:tc>
        <w:tc>
          <w:tcPr>
            <w:tcW w:w="1291" w:type="dxa"/>
            <w:vAlign w:val="center"/>
          </w:tcPr>
          <w:p w:rsidR="003F1B6B" w:rsidRDefault="003A7E24">
            <w:pPr>
              <w:jc w:val="right"/>
            </w:pPr>
            <w:r>
              <w:rPr>
                <w:rFonts w:eastAsiaTheme="minorEastAsia"/>
                <w:color w:val="000000" w:themeColor="text1"/>
                <w:szCs w:val="21"/>
              </w:rPr>
              <w:t>1.08%</w:t>
            </w:r>
          </w:p>
        </w:tc>
        <w:tc>
          <w:tcPr>
            <w:tcW w:w="1291" w:type="dxa"/>
            <w:vAlign w:val="center"/>
          </w:tcPr>
          <w:p w:rsidR="003F1B6B" w:rsidRDefault="003A7E24">
            <w:pPr>
              <w:jc w:val="right"/>
            </w:pPr>
            <w:r>
              <w:rPr>
                <w:rFonts w:eastAsiaTheme="minorEastAsia"/>
                <w:color w:val="000000" w:themeColor="text1"/>
                <w:szCs w:val="21"/>
              </w:rPr>
              <w:t>-11.96%</w:t>
            </w:r>
          </w:p>
        </w:tc>
        <w:tc>
          <w:tcPr>
            <w:tcW w:w="1291" w:type="dxa"/>
            <w:vAlign w:val="center"/>
          </w:tcPr>
          <w:p w:rsidR="003F1B6B" w:rsidRDefault="003A7E24">
            <w:pPr>
              <w:jc w:val="right"/>
            </w:pPr>
            <w:r>
              <w:rPr>
                <w:rFonts w:eastAsiaTheme="minorEastAsia"/>
                <w:color w:val="000000" w:themeColor="text1"/>
                <w:szCs w:val="21"/>
              </w:rPr>
              <w:t>0.71%</w:t>
            </w:r>
          </w:p>
        </w:tc>
        <w:tc>
          <w:tcPr>
            <w:tcW w:w="1291" w:type="dxa"/>
            <w:vAlign w:val="center"/>
          </w:tcPr>
          <w:p w:rsidR="003F1B6B" w:rsidRDefault="003A7E24">
            <w:pPr>
              <w:jc w:val="right"/>
            </w:pPr>
            <w:r>
              <w:rPr>
                <w:rFonts w:eastAsiaTheme="minorEastAsia"/>
                <w:color w:val="000000" w:themeColor="text1"/>
                <w:szCs w:val="21"/>
              </w:rPr>
              <w:t>-5.34%</w:t>
            </w:r>
          </w:p>
        </w:tc>
        <w:tc>
          <w:tcPr>
            <w:tcW w:w="1291" w:type="dxa"/>
            <w:vAlign w:val="center"/>
          </w:tcPr>
          <w:p w:rsidR="003F1B6B" w:rsidRDefault="003A7E24">
            <w:pPr>
              <w:jc w:val="right"/>
            </w:pPr>
            <w:r>
              <w:rPr>
                <w:rFonts w:eastAsiaTheme="minorEastAsia"/>
                <w:color w:val="000000" w:themeColor="text1"/>
                <w:szCs w:val="21"/>
              </w:rPr>
              <w:t>0.37%</w:t>
            </w:r>
          </w:p>
        </w:tc>
      </w:tr>
      <w:tr w:rsidR="003F1B6B">
        <w:tc>
          <w:tcPr>
            <w:tcW w:w="1290" w:type="dxa"/>
            <w:vAlign w:val="center"/>
          </w:tcPr>
          <w:p w:rsidR="003F1B6B" w:rsidRDefault="003A7E24">
            <w:pPr>
              <w:jc w:val="left"/>
            </w:pPr>
            <w:r>
              <w:rPr>
                <w:rFonts w:eastAsiaTheme="minorEastAsia"/>
                <w:color w:val="000000" w:themeColor="text1"/>
                <w:szCs w:val="21"/>
              </w:rPr>
              <w:t>过去六个月</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r>
      <w:tr w:rsidR="003F1B6B">
        <w:tc>
          <w:tcPr>
            <w:tcW w:w="1290" w:type="dxa"/>
            <w:vAlign w:val="center"/>
          </w:tcPr>
          <w:p w:rsidR="003F1B6B" w:rsidRDefault="003A7E24">
            <w:pPr>
              <w:jc w:val="left"/>
            </w:pPr>
            <w:r>
              <w:rPr>
                <w:rFonts w:eastAsiaTheme="minorEastAsia"/>
                <w:color w:val="000000" w:themeColor="text1"/>
                <w:szCs w:val="21"/>
              </w:rPr>
              <w:t>过去一年</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r>
      <w:tr w:rsidR="003F1B6B">
        <w:tc>
          <w:tcPr>
            <w:tcW w:w="1290" w:type="dxa"/>
            <w:vAlign w:val="center"/>
          </w:tcPr>
          <w:p w:rsidR="003F1B6B" w:rsidRDefault="003A7E24">
            <w:pPr>
              <w:jc w:val="left"/>
            </w:pPr>
            <w:r>
              <w:rPr>
                <w:rFonts w:eastAsiaTheme="minorEastAsia"/>
                <w:color w:val="000000" w:themeColor="text1"/>
                <w:szCs w:val="21"/>
              </w:rPr>
              <w:t>过去三年</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r>
      <w:tr w:rsidR="003F1B6B">
        <w:tc>
          <w:tcPr>
            <w:tcW w:w="1290" w:type="dxa"/>
            <w:vAlign w:val="center"/>
          </w:tcPr>
          <w:p w:rsidR="003F1B6B" w:rsidRDefault="003A7E24">
            <w:pPr>
              <w:jc w:val="left"/>
            </w:pPr>
            <w:r>
              <w:rPr>
                <w:rFonts w:eastAsiaTheme="minorEastAsia"/>
                <w:color w:val="000000" w:themeColor="text1"/>
                <w:szCs w:val="21"/>
              </w:rPr>
              <w:t>过去五年</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c>
          <w:tcPr>
            <w:tcW w:w="1291" w:type="dxa"/>
            <w:vAlign w:val="center"/>
          </w:tcPr>
          <w:p w:rsidR="003F1B6B" w:rsidRDefault="003A7E24">
            <w:pPr>
              <w:jc w:val="right"/>
            </w:pPr>
            <w:r>
              <w:rPr>
                <w:rFonts w:eastAsiaTheme="minorEastAsia"/>
                <w:color w:val="000000" w:themeColor="text1"/>
                <w:szCs w:val="21"/>
              </w:rPr>
              <w:t>-</w:t>
            </w:r>
          </w:p>
        </w:tc>
      </w:tr>
      <w:tr w:rsidR="003F1B6B">
        <w:tc>
          <w:tcPr>
            <w:tcW w:w="1290" w:type="dxa"/>
            <w:vAlign w:val="center"/>
          </w:tcPr>
          <w:p w:rsidR="003F1B6B" w:rsidRDefault="003A7E24">
            <w:pPr>
              <w:jc w:val="left"/>
            </w:pPr>
            <w:r>
              <w:rPr>
                <w:rFonts w:eastAsiaTheme="minorEastAsia"/>
                <w:color w:val="000000" w:themeColor="text1"/>
                <w:szCs w:val="21"/>
              </w:rPr>
              <w:t>自基金合同生效起至今</w:t>
            </w:r>
          </w:p>
        </w:tc>
        <w:tc>
          <w:tcPr>
            <w:tcW w:w="1291" w:type="dxa"/>
            <w:vAlign w:val="center"/>
          </w:tcPr>
          <w:p w:rsidR="003F1B6B" w:rsidRDefault="003A7E24">
            <w:pPr>
              <w:jc w:val="right"/>
            </w:pPr>
            <w:r>
              <w:rPr>
                <w:rFonts w:eastAsiaTheme="minorEastAsia"/>
                <w:color w:val="000000" w:themeColor="text1"/>
                <w:szCs w:val="21"/>
              </w:rPr>
              <w:t>-3.82%</w:t>
            </w:r>
          </w:p>
        </w:tc>
        <w:tc>
          <w:tcPr>
            <w:tcW w:w="1291" w:type="dxa"/>
            <w:vAlign w:val="center"/>
          </w:tcPr>
          <w:p w:rsidR="003F1B6B" w:rsidRDefault="003A7E24">
            <w:pPr>
              <w:jc w:val="right"/>
            </w:pPr>
            <w:r>
              <w:rPr>
                <w:rFonts w:eastAsiaTheme="minorEastAsia"/>
                <w:color w:val="000000" w:themeColor="text1"/>
                <w:szCs w:val="21"/>
              </w:rPr>
              <w:t>1.24%</w:t>
            </w:r>
          </w:p>
        </w:tc>
        <w:tc>
          <w:tcPr>
            <w:tcW w:w="1291" w:type="dxa"/>
            <w:vAlign w:val="center"/>
          </w:tcPr>
          <w:p w:rsidR="003F1B6B" w:rsidRDefault="003A7E24">
            <w:pPr>
              <w:jc w:val="right"/>
            </w:pPr>
            <w:r>
              <w:rPr>
                <w:rFonts w:eastAsiaTheme="minorEastAsia"/>
                <w:color w:val="000000" w:themeColor="text1"/>
                <w:szCs w:val="21"/>
              </w:rPr>
              <w:t>-2.22%</w:t>
            </w:r>
          </w:p>
        </w:tc>
        <w:tc>
          <w:tcPr>
            <w:tcW w:w="1291" w:type="dxa"/>
            <w:vAlign w:val="center"/>
          </w:tcPr>
          <w:p w:rsidR="003F1B6B" w:rsidRDefault="003A7E24">
            <w:pPr>
              <w:jc w:val="right"/>
            </w:pPr>
            <w:r>
              <w:rPr>
                <w:rFonts w:eastAsiaTheme="minorEastAsia"/>
                <w:color w:val="000000" w:themeColor="text1"/>
                <w:szCs w:val="21"/>
              </w:rPr>
              <w:t>0.80%</w:t>
            </w:r>
          </w:p>
        </w:tc>
        <w:tc>
          <w:tcPr>
            <w:tcW w:w="1291" w:type="dxa"/>
            <w:vAlign w:val="center"/>
          </w:tcPr>
          <w:p w:rsidR="003F1B6B" w:rsidRDefault="003A7E24">
            <w:pPr>
              <w:jc w:val="right"/>
            </w:pPr>
            <w:r>
              <w:rPr>
                <w:rFonts w:eastAsiaTheme="minorEastAsia"/>
                <w:color w:val="000000" w:themeColor="text1"/>
                <w:szCs w:val="21"/>
              </w:rPr>
              <w:t>-1.60%</w:t>
            </w:r>
          </w:p>
        </w:tc>
        <w:tc>
          <w:tcPr>
            <w:tcW w:w="1291" w:type="dxa"/>
            <w:vAlign w:val="center"/>
          </w:tcPr>
          <w:p w:rsidR="003F1B6B" w:rsidRDefault="003A7E24">
            <w:pPr>
              <w:jc w:val="right"/>
            </w:pPr>
            <w:r>
              <w:rPr>
                <w:rFonts w:eastAsiaTheme="minorEastAsia"/>
                <w:color w:val="000000" w:themeColor="text1"/>
                <w:szCs w:val="21"/>
              </w:rPr>
              <w:t>0.44%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上投摩根阿尔法混合型证券投资基金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10</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．上投摩根阿尔法混合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w:t>
      </w:r>
      <w:r w:rsidRPr="00B27A29">
        <w:rPr>
          <w:rFonts w:eastAsiaTheme="minorEastAsia"/>
          <w:color w:val="000000" w:themeColor="text1"/>
          <w:szCs w:val="21"/>
        </w:rPr>
        <w:t>全指</w:t>
      </w:r>
      <w:r w:rsidRPr="00B27A29">
        <w:rPr>
          <w:rFonts w:eastAsiaTheme="minorEastAsia"/>
          <w:color w:val="000000" w:themeColor="text1"/>
          <w:szCs w:val="21"/>
        </w:rPr>
        <w:t>×80%+</w:t>
      </w:r>
      <w:r w:rsidRPr="00B27A29">
        <w:rPr>
          <w:rFonts w:eastAsiaTheme="minorEastAsia"/>
          <w:color w:val="000000" w:themeColor="text1"/>
          <w:szCs w:val="21"/>
        </w:rPr>
        <w:t>同业存款利率</w:t>
      </w:r>
      <w:r w:rsidRPr="00B27A29">
        <w:rPr>
          <w:rFonts w:eastAsiaTheme="minorEastAsia"/>
          <w:color w:val="000000" w:themeColor="text1"/>
          <w:szCs w:val="21"/>
        </w:rPr>
        <w:t>×20%”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×80%+</w:t>
      </w:r>
      <w:r w:rsidRPr="00B27A29">
        <w:rPr>
          <w:rFonts w:eastAsiaTheme="minorEastAsia"/>
          <w:color w:val="000000" w:themeColor="text1"/>
          <w:szCs w:val="21"/>
        </w:rPr>
        <w:t>中债总指数收益率</w:t>
      </w:r>
      <w:r w:rsidRPr="00B27A29">
        <w:rPr>
          <w:rFonts w:eastAsiaTheme="minorEastAsia"/>
          <w:color w:val="000000" w:themeColor="text1"/>
          <w:szCs w:val="21"/>
        </w:rPr>
        <w:t>×20%”</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．上投摩根阿尔法混合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w:t>
      </w:r>
      <w:r w:rsidRPr="00B27A29">
        <w:rPr>
          <w:rFonts w:eastAsiaTheme="minorEastAsia"/>
          <w:color w:val="000000" w:themeColor="text1"/>
          <w:szCs w:val="21"/>
        </w:rPr>
        <w:t>全指</w:t>
      </w:r>
      <w:r w:rsidRPr="00B27A29">
        <w:rPr>
          <w:rFonts w:eastAsiaTheme="minorEastAsia"/>
          <w:color w:val="000000" w:themeColor="text1"/>
          <w:szCs w:val="21"/>
        </w:rPr>
        <w:t>×80%+</w:t>
      </w:r>
      <w:r w:rsidRPr="00B27A29">
        <w:rPr>
          <w:rFonts w:eastAsiaTheme="minorEastAsia"/>
          <w:color w:val="000000" w:themeColor="text1"/>
          <w:szCs w:val="21"/>
        </w:rPr>
        <w:t>同业存款利率</w:t>
      </w:r>
      <w:r w:rsidRPr="00B27A29">
        <w:rPr>
          <w:rFonts w:eastAsiaTheme="minorEastAsia"/>
          <w:color w:val="000000" w:themeColor="text1"/>
          <w:szCs w:val="21"/>
        </w:rPr>
        <w:t>×20%”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×80%+</w:t>
      </w:r>
      <w:r w:rsidRPr="00B27A29">
        <w:rPr>
          <w:rFonts w:eastAsiaTheme="minorEastAsia"/>
          <w:color w:val="000000" w:themeColor="text1"/>
          <w:szCs w:val="21"/>
        </w:rPr>
        <w:t>中债总指数收益率</w:t>
      </w:r>
      <w:r w:rsidRPr="00B27A29">
        <w:rPr>
          <w:rFonts w:eastAsiaTheme="minorEastAsia"/>
          <w:color w:val="000000" w:themeColor="text1"/>
          <w:szCs w:val="21"/>
        </w:rPr>
        <w:t>×20%”</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F1B6B">
        <w:tc>
          <w:tcPr>
            <w:tcW w:w="952" w:type="dxa"/>
            <w:vAlign w:val="center"/>
          </w:tcPr>
          <w:p w:rsidR="003F1B6B" w:rsidRDefault="003A7E24">
            <w:pPr>
              <w:jc w:val="center"/>
            </w:pPr>
            <w:r>
              <w:rPr>
                <w:rFonts w:eastAsiaTheme="minorEastAsia"/>
                <w:color w:val="000000" w:themeColor="text1"/>
                <w:szCs w:val="21"/>
              </w:rPr>
              <w:t>李博</w:t>
            </w:r>
          </w:p>
        </w:tc>
        <w:tc>
          <w:tcPr>
            <w:tcW w:w="930" w:type="dxa"/>
            <w:vAlign w:val="center"/>
          </w:tcPr>
          <w:p w:rsidR="003F1B6B" w:rsidRDefault="003A7E24">
            <w:pPr>
              <w:jc w:val="center"/>
            </w:pPr>
            <w:r>
              <w:rPr>
                <w:rFonts w:eastAsiaTheme="minorEastAsia"/>
                <w:color w:val="000000" w:themeColor="text1"/>
                <w:szCs w:val="21"/>
              </w:rPr>
              <w:t>本基金</w:t>
            </w:r>
            <w:r>
              <w:rPr>
                <w:rFonts w:eastAsiaTheme="minorEastAsia"/>
                <w:color w:val="000000" w:themeColor="text1"/>
                <w:szCs w:val="21"/>
              </w:rPr>
              <w:lastRenderedPageBreak/>
              <w:t>基金经理</w:t>
            </w:r>
          </w:p>
        </w:tc>
        <w:tc>
          <w:tcPr>
            <w:tcW w:w="1210" w:type="dxa"/>
            <w:vAlign w:val="center"/>
          </w:tcPr>
          <w:p w:rsidR="003F1B6B" w:rsidRDefault="003A7E24">
            <w:pPr>
              <w:jc w:val="center"/>
            </w:pPr>
            <w:r>
              <w:rPr>
                <w:rFonts w:eastAsiaTheme="minorEastAsia"/>
                <w:color w:val="000000" w:themeColor="text1"/>
                <w:szCs w:val="21"/>
              </w:rPr>
              <w:lastRenderedPageBreak/>
              <w:t>2015-09-18</w:t>
            </w:r>
          </w:p>
        </w:tc>
        <w:tc>
          <w:tcPr>
            <w:tcW w:w="1309" w:type="dxa"/>
            <w:vAlign w:val="center"/>
          </w:tcPr>
          <w:p w:rsidR="003F1B6B" w:rsidRDefault="003A7E24">
            <w:pPr>
              <w:jc w:val="center"/>
            </w:pPr>
            <w:r>
              <w:rPr>
                <w:rFonts w:eastAsiaTheme="minorEastAsia"/>
                <w:color w:val="000000" w:themeColor="text1"/>
                <w:szCs w:val="21"/>
              </w:rPr>
              <w:t>-</w:t>
            </w:r>
          </w:p>
        </w:tc>
        <w:tc>
          <w:tcPr>
            <w:tcW w:w="1254" w:type="dxa"/>
            <w:vAlign w:val="center"/>
          </w:tcPr>
          <w:p w:rsidR="003F1B6B" w:rsidRDefault="003A7E24">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3F1B6B" w:rsidRDefault="003A7E24">
            <w:r>
              <w:rPr>
                <w:rFonts w:eastAsiaTheme="minorEastAsia"/>
                <w:color w:val="000000" w:themeColor="text1"/>
                <w:szCs w:val="21"/>
              </w:rPr>
              <w:t>李博先生，上海交通大学硕士，自</w:t>
            </w:r>
            <w:r>
              <w:rPr>
                <w:rFonts w:eastAsiaTheme="minorEastAsia"/>
                <w:color w:val="000000" w:themeColor="text1"/>
                <w:szCs w:val="21"/>
              </w:rPr>
              <w:lastRenderedPageBreak/>
              <w:t>2009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月在中银国际证券有限公司担任研究员，负责研究方面的工作。自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月起加入上投摩根基金管理有限公司，先后担任行业专家、基金经理、资深基金经理、国内权益投资部价值成长组组长兼资深基金经理，自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月起担任上投摩根核心成长股票型证券投资基金基金经理，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月同时担任上投摩根科技前沿灵活配置混合型证券投资基金基金经理，自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月起同时担任上投摩根阿尔法混合型证券投资基金基金经理，自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w:t>
            </w:r>
            <w:r>
              <w:rPr>
                <w:rFonts w:eastAsiaTheme="minorEastAsia"/>
                <w:color w:val="000000" w:themeColor="text1"/>
                <w:szCs w:val="21"/>
              </w:rPr>
              <w:t>摩根双息平衡混合型证券投资基金基金经理，自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月起同时担任上投摩根核心精选股票型证券投资基金基金经理，自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月起同时担任上投摩根行业睿选股票型证券投资基金基金经理。</w:t>
            </w:r>
          </w:p>
        </w:tc>
      </w:tr>
    </w:tbl>
    <w:p w:rsidR="003F1B6B" w:rsidRDefault="003A7E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阿尔法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w:t>
      </w:r>
      <w:r>
        <w:rPr>
          <w:rFonts w:eastAsiaTheme="minorEastAsia"/>
          <w:color w:val="000000" w:themeColor="text1"/>
          <w:szCs w:val="21"/>
        </w:rPr>
        <w:t>彻落实《证券投资基金管理公司公平交易制度指导意见》等相关法律法规和公司内部公平交易流程的各项要求，严格规范境内上市股票、债券的一级市场申购和二</w:t>
      </w:r>
      <w:r>
        <w:rPr>
          <w:rFonts w:eastAsiaTheme="minorEastAsia"/>
          <w:color w:val="000000" w:themeColor="text1"/>
          <w:szCs w:val="21"/>
        </w:rPr>
        <w:lastRenderedPageBreak/>
        <w:t>级市场交易等活动，通过系统和人工相结合的方式进行交易执行和监控分析，以确保本公司管理的不同投资组合在授权、研究分析、投资决策、交易执行、业绩评估等投资管理活动相关的环节均得到公平对待。</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w:t>
      </w:r>
      <w:r>
        <w:rPr>
          <w:rFonts w:eastAsiaTheme="minorEastAsia"/>
          <w:color w:val="000000" w:themeColor="text1"/>
          <w:szCs w:val="21"/>
        </w:rPr>
        <w:t>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三季度，市场在</w:t>
      </w:r>
      <w:r>
        <w:rPr>
          <w:rFonts w:eastAsiaTheme="minorEastAsia"/>
          <w:color w:val="000000" w:themeColor="text1"/>
          <w:szCs w:val="21"/>
        </w:rPr>
        <w:t>4</w:t>
      </w:r>
      <w:r>
        <w:rPr>
          <w:rFonts w:eastAsiaTheme="minorEastAsia"/>
          <w:color w:val="000000" w:themeColor="text1"/>
          <w:szCs w:val="21"/>
        </w:rPr>
        <w:t>月底反弹后出现了较大幅度下跌，沪深</w:t>
      </w:r>
      <w:r>
        <w:rPr>
          <w:rFonts w:eastAsiaTheme="minorEastAsia"/>
          <w:color w:val="000000" w:themeColor="text1"/>
          <w:szCs w:val="21"/>
        </w:rPr>
        <w:t>300</w:t>
      </w:r>
      <w:r>
        <w:rPr>
          <w:rFonts w:eastAsiaTheme="minorEastAsia"/>
          <w:color w:val="000000" w:themeColor="text1"/>
          <w:szCs w:val="21"/>
        </w:rPr>
        <w:t>下跌</w:t>
      </w:r>
      <w:r>
        <w:rPr>
          <w:rFonts w:eastAsiaTheme="minorEastAsia"/>
          <w:color w:val="000000" w:themeColor="text1"/>
          <w:szCs w:val="21"/>
        </w:rPr>
        <w:t>15.16%</w:t>
      </w:r>
      <w:r>
        <w:rPr>
          <w:rFonts w:eastAsiaTheme="minorEastAsia"/>
          <w:color w:val="000000" w:themeColor="text1"/>
          <w:szCs w:val="21"/>
        </w:rPr>
        <w:t>，创业板下跌</w:t>
      </w:r>
      <w:r>
        <w:rPr>
          <w:rFonts w:eastAsiaTheme="minorEastAsia"/>
          <w:color w:val="000000" w:themeColor="text1"/>
          <w:szCs w:val="21"/>
        </w:rPr>
        <w:t>18.56%</w:t>
      </w:r>
      <w:r>
        <w:rPr>
          <w:rFonts w:eastAsiaTheme="minorEastAsia"/>
          <w:color w:val="000000" w:themeColor="text1"/>
          <w:szCs w:val="21"/>
        </w:rPr>
        <w:t>。板块方面，煤炭板块领涨，电力及公用事业、石油石化跌幅较小，建材、电子和传媒领跌。从已公布的经济数据来看，经济复苏迹象明显，如</w:t>
      </w:r>
      <w:r>
        <w:rPr>
          <w:rFonts w:eastAsiaTheme="minorEastAsia"/>
          <w:color w:val="000000" w:themeColor="text1"/>
          <w:szCs w:val="21"/>
        </w:rPr>
        <w:t>8</w:t>
      </w:r>
      <w:r>
        <w:rPr>
          <w:rFonts w:eastAsiaTheme="minorEastAsia"/>
          <w:color w:val="000000" w:themeColor="text1"/>
          <w:szCs w:val="21"/>
        </w:rPr>
        <w:t>月我国规模以上工业增加值同比增长</w:t>
      </w:r>
      <w:r>
        <w:rPr>
          <w:rFonts w:eastAsiaTheme="minorEastAsia"/>
          <w:color w:val="000000" w:themeColor="text1"/>
          <w:szCs w:val="21"/>
        </w:rPr>
        <w:t>4.2%</w:t>
      </w:r>
      <w:r>
        <w:rPr>
          <w:rFonts w:eastAsiaTheme="minorEastAsia"/>
          <w:color w:val="000000" w:themeColor="text1"/>
          <w:szCs w:val="21"/>
        </w:rPr>
        <w:t>，环比增长</w:t>
      </w:r>
      <w:r>
        <w:rPr>
          <w:rFonts w:eastAsiaTheme="minorEastAsia"/>
          <w:color w:val="000000" w:themeColor="text1"/>
          <w:szCs w:val="21"/>
        </w:rPr>
        <w:t>0.32%</w:t>
      </w:r>
      <w:r>
        <w:rPr>
          <w:rFonts w:eastAsiaTheme="minorEastAsia"/>
          <w:color w:val="000000" w:themeColor="text1"/>
          <w:szCs w:val="21"/>
        </w:rPr>
        <w:t>，社会消费品零售总额同比增长</w:t>
      </w:r>
      <w:r>
        <w:rPr>
          <w:rFonts w:eastAsiaTheme="minorEastAsia"/>
          <w:color w:val="000000" w:themeColor="text1"/>
          <w:szCs w:val="21"/>
        </w:rPr>
        <w:t>5.4%</w:t>
      </w:r>
      <w:r>
        <w:rPr>
          <w:rFonts w:eastAsiaTheme="minorEastAsia"/>
          <w:color w:val="000000" w:themeColor="text1"/>
          <w:szCs w:val="21"/>
        </w:rPr>
        <w:t>，我们预计未来随着政策落地经济有望进一步修复。本基金重点配置了估值和成长相匹配的个股，此外，本季度还减持了部分前期超额收益较多个股，增持了部分市场关注度不高的成长股。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进入四季度，我们判断市场机会将大于风险，</w:t>
      </w:r>
      <w:r w:rsidRPr="00B27A29">
        <w:rPr>
          <w:rFonts w:eastAsiaTheme="minorEastAsia"/>
          <w:color w:val="000000" w:themeColor="text1"/>
          <w:szCs w:val="21"/>
        </w:rPr>
        <w:t>A</w:t>
      </w:r>
      <w:r w:rsidRPr="00B27A29">
        <w:rPr>
          <w:rFonts w:eastAsiaTheme="minorEastAsia"/>
          <w:color w:val="000000" w:themeColor="text1"/>
          <w:szCs w:val="21"/>
        </w:rPr>
        <w:t>股有望呈现结构性的投资机会。市场过去</w:t>
      </w:r>
      <w:r w:rsidRPr="00B27A29">
        <w:rPr>
          <w:rFonts w:eastAsiaTheme="minorEastAsia"/>
          <w:color w:val="000000" w:themeColor="text1"/>
          <w:szCs w:val="21"/>
        </w:rPr>
        <w:t>2</w:t>
      </w:r>
      <w:r w:rsidRPr="00B27A29">
        <w:rPr>
          <w:rFonts w:eastAsiaTheme="minorEastAsia"/>
          <w:color w:val="000000" w:themeColor="text1"/>
          <w:szCs w:val="21"/>
        </w:rPr>
        <w:t>年结构性分化较明显，高景气度赛道出现了较大幅度上涨，市场整体却出现一定程度下跌。站在目前的时点，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4.4.2</w:t>
      </w:r>
      <w:r w:rsidRPr="00B27A29">
        <w:rPr>
          <w:rFonts w:eastAsiaTheme="minorEastAsia"/>
          <w:color w:val="000000" w:themeColor="text1"/>
          <w:szCs w:val="21"/>
        </w:rPr>
        <w:t>报告期内基金的业绩表现</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本报告期上投摩根阿尔法混合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:-17.17%</w:t>
      </w:r>
      <w:r>
        <w:rPr>
          <w:rFonts w:eastAsiaTheme="minorEastAsia"/>
          <w:color w:val="000000" w:themeColor="text1"/>
          <w:szCs w:val="21"/>
        </w:rPr>
        <w:t>，同期业绩比较基准收益率为</w:t>
      </w:r>
      <w:r>
        <w:rPr>
          <w:rFonts w:eastAsiaTheme="minorEastAsia"/>
          <w:color w:val="000000" w:themeColor="text1"/>
          <w:szCs w:val="21"/>
        </w:rPr>
        <w:t>:-11.96%,</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上投摩根阿尔法混合</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:-17.30%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:-11.96%</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871,923,033.73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86.13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871,923,033.73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86.13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140,047,849.88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13.83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363,398.93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1,012,334,282.54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5,457,452.00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0.56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686,260,122.06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70.28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9,416,544.00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24,817,674.96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18,862,935.00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37,135,959.71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53,432,665.00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25,071,840.00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11,467,841.00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871,923,033.73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89.30</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3F1B6B">
        <w:tc>
          <w:tcPr>
            <w:tcW w:w="817" w:type="dxa"/>
            <w:vAlign w:val="center"/>
          </w:tcPr>
          <w:p w:rsidR="003F1B6B" w:rsidRDefault="003A7E24">
            <w:pPr>
              <w:jc w:val="center"/>
            </w:pPr>
            <w:r>
              <w:rPr>
                <w:rFonts w:eastAsiaTheme="minorEastAsia"/>
                <w:kern w:val="0"/>
                <w:szCs w:val="21"/>
              </w:rPr>
              <w:t>1</w:t>
            </w:r>
          </w:p>
        </w:tc>
        <w:tc>
          <w:tcPr>
            <w:tcW w:w="1276" w:type="dxa"/>
            <w:vAlign w:val="center"/>
          </w:tcPr>
          <w:p w:rsidR="003F1B6B" w:rsidRDefault="003A7E24">
            <w:pPr>
              <w:jc w:val="center"/>
            </w:pPr>
            <w:r>
              <w:rPr>
                <w:rFonts w:eastAsiaTheme="minorEastAsia"/>
                <w:kern w:val="0"/>
                <w:szCs w:val="21"/>
              </w:rPr>
              <w:t>002475</w:t>
            </w:r>
          </w:p>
        </w:tc>
        <w:tc>
          <w:tcPr>
            <w:tcW w:w="1701" w:type="dxa"/>
            <w:vAlign w:val="center"/>
          </w:tcPr>
          <w:p w:rsidR="003F1B6B" w:rsidRDefault="003A7E24">
            <w:pPr>
              <w:jc w:val="center"/>
            </w:pPr>
            <w:r>
              <w:rPr>
                <w:rFonts w:eastAsiaTheme="minorEastAsia"/>
                <w:kern w:val="0"/>
                <w:szCs w:val="21"/>
              </w:rPr>
              <w:t>立讯精密</w:t>
            </w:r>
          </w:p>
        </w:tc>
        <w:tc>
          <w:tcPr>
            <w:tcW w:w="1276" w:type="dxa"/>
            <w:vAlign w:val="center"/>
          </w:tcPr>
          <w:p w:rsidR="003F1B6B" w:rsidRDefault="003A7E24">
            <w:pPr>
              <w:jc w:val="right"/>
            </w:pPr>
            <w:r>
              <w:rPr>
                <w:rFonts w:eastAsiaTheme="minorEastAsia"/>
                <w:kern w:val="0"/>
                <w:szCs w:val="21"/>
              </w:rPr>
              <w:t>2,803,369</w:t>
            </w:r>
          </w:p>
        </w:tc>
        <w:tc>
          <w:tcPr>
            <w:tcW w:w="1842" w:type="dxa"/>
            <w:vAlign w:val="center"/>
          </w:tcPr>
          <w:p w:rsidR="003F1B6B" w:rsidRDefault="003A7E24">
            <w:pPr>
              <w:jc w:val="right"/>
            </w:pPr>
            <w:r>
              <w:rPr>
                <w:rFonts w:eastAsiaTheme="minorEastAsia"/>
                <w:kern w:val="0"/>
                <w:szCs w:val="21"/>
              </w:rPr>
              <w:t>82,419,048.60</w:t>
            </w:r>
          </w:p>
        </w:tc>
        <w:tc>
          <w:tcPr>
            <w:tcW w:w="1616" w:type="dxa"/>
            <w:vAlign w:val="center"/>
          </w:tcPr>
          <w:p w:rsidR="003F1B6B" w:rsidRDefault="003A7E24">
            <w:pPr>
              <w:jc w:val="right"/>
            </w:pPr>
            <w:r>
              <w:rPr>
                <w:rFonts w:eastAsiaTheme="minorEastAsia"/>
                <w:kern w:val="0"/>
                <w:szCs w:val="21"/>
              </w:rPr>
              <w:t>8.44</w:t>
            </w:r>
          </w:p>
        </w:tc>
      </w:tr>
      <w:tr w:rsidR="003F1B6B">
        <w:tc>
          <w:tcPr>
            <w:tcW w:w="817" w:type="dxa"/>
            <w:vAlign w:val="center"/>
          </w:tcPr>
          <w:p w:rsidR="003F1B6B" w:rsidRDefault="003A7E24">
            <w:pPr>
              <w:jc w:val="center"/>
            </w:pPr>
            <w:r>
              <w:rPr>
                <w:rFonts w:eastAsiaTheme="minorEastAsia"/>
                <w:kern w:val="0"/>
                <w:szCs w:val="21"/>
              </w:rPr>
              <w:t>2</w:t>
            </w:r>
          </w:p>
        </w:tc>
        <w:tc>
          <w:tcPr>
            <w:tcW w:w="1276" w:type="dxa"/>
            <w:vAlign w:val="center"/>
          </w:tcPr>
          <w:p w:rsidR="003F1B6B" w:rsidRDefault="003A7E24">
            <w:pPr>
              <w:jc w:val="center"/>
            </w:pPr>
            <w:r>
              <w:rPr>
                <w:rFonts w:eastAsiaTheme="minorEastAsia"/>
                <w:kern w:val="0"/>
                <w:szCs w:val="21"/>
              </w:rPr>
              <w:t>002236</w:t>
            </w:r>
          </w:p>
        </w:tc>
        <w:tc>
          <w:tcPr>
            <w:tcW w:w="1701" w:type="dxa"/>
            <w:vAlign w:val="center"/>
          </w:tcPr>
          <w:p w:rsidR="003F1B6B" w:rsidRDefault="003A7E24">
            <w:pPr>
              <w:jc w:val="center"/>
            </w:pPr>
            <w:r>
              <w:rPr>
                <w:rFonts w:eastAsiaTheme="minorEastAsia"/>
                <w:kern w:val="0"/>
                <w:szCs w:val="21"/>
              </w:rPr>
              <w:t>大华股份</w:t>
            </w:r>
          </w:p>
        </w:tc>
        <w:tc>
          <w:tcPr>
            <w:tcW w:w="1276" w:type="dxa"/>
            <w:vAlign w:val="center"/>
          </w:tcPr>
          <w:p w:rsidR="003F1B6B" w:rsidRDefault="003A7E24">
            <w:pPr>
              <w:jc w:val="right"/>
            </w:pPr>
            <w:r>
              <w:rPr>
                <w:rFonts w:eastAsiaTheme="minorEastAsia"/>
                <w:kern w:val="0"/>
                <w:szCs w:val="21"/>
              </w:rPr>
              <w:t>5,134,778</w:t>
            </w:r>
          </w:p>
        </w:tc>
        <w:tc>
          <w:tcPr>
            <w:tcW w:w="1842" w:type="dxa"/>
            <w:vAlign w:val="center"/>
          </w:tcPr>
          <w:p w:rsidR="003F1B6B" w:rsidRDefault="003A7E24">
            <w:pPr>
              <w:jc w:val="right"/>
            </w:pPr>
            <w:r>
              <w:rPr>
                <w:rFonts w:eastAsiaTheme="minorEastAsia"/>
                <w:kern w:val="0"/>
                <w:szCs w:val="21"/>
              </w:rPr>
              <w:t>65,981,897.30</w:t>
            </w:r>
          </w:p>
        </w:tc>
        <w:tc>
          <w:tcPr>
            <w:tcW w:w="1616" w:type="dxa"/>
            <w:vAlign w:val="center"/>
          </w:tcPr>
          <w:p w:rsidR="003F1B6B" w:rsidRDefault="003A7E24">
            <w:pPr>
              <w:jc w:val="right"/>
            </w:pPr>
            <w:r>
              <w:rPr>
                <w:rFonts w:eastAsiaTheme="minorEastAsia"/>
                <w:kern w:val="0"/>
                <w:szCs w:val="21"/>
              </w:rPr>
              <w:t>6.76</w:t>
            </w:r>
          </w:p>
        </w:tc>
      </w:tr>
      <w:tr w:rsidR="003F1B6B">
        <w:tc>
          <w:tcPr>
            <w:tcW w:w="817" w:type="dxa"/>
            <w:vAlign w:val="center"/>
          </w:tcPr>
          <w:p w:rsidR="003F1B6B" w:rsidRDefault="003A7E24">
            <w:pPr>
              <w:jc w:val="center"/>
            </w:pPr>
            <w:r>
              <w:rPr>
                <w:rFonts w:eastAsiaTheme="minorEastAsia"/>
                <w:kern w:val="0"/>
                <w:szCs w:val="21"/>
              </w:rPr>
              <w:t>3</w:t>
            </w:r>
          </w:p>
        </w:tc>
        <w:tc>
          <w:tcPr>
            <w:tcW w:w="1276" w:type="dxa"/>
            <w:vAlign w:val="center"/>
          </w:tcPr>
          <w:p w:rsidR="003F1B6B" w:rsidRDefault="003A7E24">
            <w:pPr>
              <w:jc w:val="center"/>
            </w:pPr>
            <w:r>
              <w:rPr>
                <w:rFonts w:eastAsiaTheme="minorEastAsia"/>
                <w:kern w:val="0"/>
                <w:szCs w:val="21"/>
              </w:rPr>
              <w:t>002572</w:t>
            </w:r>
          </w:p>
        </w:tc>
        <w:tc>
          <w:tcPr>
            <w:tcW w:w="1701" w:type="dxa"/>
            <w:vAlign w:val="center"/>
          </w:tcPr>
          <w:p w:rsidR="003F1B6B" w:rsidRDefault="003A7E24">
            <w:pPr>
              <w:jc w:val="center"/>
            </w:pPr>
            <w:r>
              <w:rPr>
                <w:rFonts w:eastAsiaTheme="minorEastAsia"/>
                <w:kern w:val="0"/>
                <w:szCs w:val="21"/>
              </w:rPr>
              <w:t>索菲亚</w:t>
            </w:r>
          </w:p>
        </w:tc>
        <w:tc>
          <w:tcPr>
            <w:tcW w:w="1276" w:type="dxa"/>
            <w:vAlign w:val="center"/>
          </w:tcPr>
          <w:p w:rsidR="003F1B6B" w:rsidRDefault="003A7E24">
            <w:pPr>
              <w:jc w:val="right"/>
            </w:pPr>
            <w:r>
              <w:rPr>
                <w:rFonts w:eastAsiaTheme="minorEastAsia"/>
                <w:kern w:val="0"/>
                <w:szCs w:val="21"/>
              </w:rPr>
              <w:t>2,163,800</w:t>
            </w:r>
          </w:p>
        </w:tc>
        <w:tc>
          <w:tcPr>
            <w:tcW w:w="1842" w:type="dxa"/>
            <w:vAlign w:val="center"/>
          </w:tcPr>
          <w:p w:rsidR="003F1B6B" w:rsidRDefault="003A7E24">
            <w:pPr>
              <w:jc w:val="right"/>
            </w:pPr>
            <w:r>
              <w:rPr>
                <w:rFonts w:eastAsiaTheme="minorEastAsia"/>
                <w:kern w:val="0"/>
                <w:szCs w:val="21"/>
              </w:rPr>
              <w:t>36,330,202.00</w:t>
            </w:r>
          </w:p>
        </w:tc>
        <w:tc>
          <w:tcPr>
            <w:tcW w:w="1616" w:type="dxa"/>
            <w:vAlign w:val="center"/>
          </w:tcPr>
          <w:p w:rsidR="003F1B6B" w:rsidRDefault="003A7E24">
            <w:pPr>
              <w:jc w:val="right"/>
            </w:pPr>
            <w:r>
              <w:rPr>
                <w:rFonts w:eastAsiaTheme="minorEastAsia"/>
                <w:kern w:val="0"/>
                <w:szCs w:val="21"/>
              </w:rPr>
              <w:t>3.72</w:t>
            </w:r>
          </w:p>
        </w:tc>
      </w:tr>
      <w:tr w:rsidR="003F1B6B">
        <w:tc>
          <w:tcPr>
            <w:tcW w:w="817" w:type="dxa"/>
            <w:vAlign w:val="center"/>
          </w:tcPr>
          <w:p w:rsidR="003F1B6B" w:rsidRDefault="003A7E24">
            <w:pPr>
              <w:jc w:val="center"/>
            </w:pPr>
            <w:r>
              <w:rPr>
                <w:rFonts w:eastAsiaTheme="minorEastAsia"/>
                <w:kern w:val="0"/>
                <w:szCs w:val="21"/>
              </w:rPr>
              <w:t>4</w:t>
            </w:r>
          </w:p>
        </w:tc>
        <w:tc>
          <w:tcPr>
            <w:tcW w:w="1276" w:type="dxa"/>
            <w:vAlign w:val="center"/>
          </w:tcPr>
          <w:p w:rsidR="003F1B6B" w:rsidRDefault="003A7E24">
            <w:pPr>
              <w:jc w:val="center"/>
            </w:pPr>
            <w:r>
              <w:rPr>
                <w:rFonts w:eastAsiaTheme="minorEastAsia"/>
                <w:kern w:val="0"/>
                <w:szCs w:val="21"/>
              </w:rPr>
              <w:t>000651</w:t>
            </w:r>
          </w:p>
        </w:tc>
        <w:tc>
          <w:tcPr>
            <w:tcW w:w="1701" w:type="dxa"/>
            <w:vAlign w:val="center"/>
          </w:tcPr>
          <w:p w:rsidR="003F1B6B" w:rsidRDefault="003A7E24">
            <w:pPr>
              <w:jc w:val="center"/>
            </w:pPr>
            <w:r>
              <w:rPr>
                <w:rFonts w:eastAsiaTheme="minorEastAsia"/>
                <w:kern w:val="0"/>
                <w:szCs w:val="21"/>
              </w:rPr>
              <w:t>格力电器</w:t>
            </w:r>
          </w:p>
        </w:tc>
        <w:tc>
          <w:tcPr>
            <w:tcW w:w="1276" w:type="dxa"/>
            <w:vAlign w:val="center"/>
          </w:tcPr>
          <w:p w:rsidR="003F1B6B" w:rsidRDefault="003A7E24">
            <w:pPr>
              <w:jc w:val="right"/>
            </w:pPr>
            <w:r>
              <w:rPr>
                <w:rFonts w:eastAsiaTheme="minorEastAsia"/>
                <w:kern w:val="0"/>
                <w:szCs w:val="21"/>
              </w:rPr>
              <w:t>907,600</w:t>
            </w:r>
          </w:p>
        </w:tc>
        <w:tc>
          <w:tcPr>
            <w:tcW w:w="1842" w:type="dxa"/>
            <w:vAlign w:val="center"/>
          </w:tcPr>
          <w:p w:rsidR="003F1B6B" w:rsidRDefault="003A7E24">
            <w:pPr>
              <w:jc w:val="right"/>
            </w:pPr>
            <w:r>
              <w:rPr>
                <w:rFonts w:eastAsiaTheme="minorEastAsia"/>
                <w:kern w:val="0"/>
                <w:szCs w:val="21"/>
              </w:rPr>
              <w:t>29,433,468.00</w:t>
            </w:r>
          </w:p>
        </w:tc>
        <w:tc>
          <w:tcPr>
            <w:tcW w:w="1616" w:type="dxa"/>
            <w:vAlign w:val="center"/>
          </w:tcPr>
          <w:p w:rsidR="003F1B6B" w:rsidRDefault="003A7E24">
            <w:pPr>
              <w:jc w:val="right"/>
            </w:pPr>
            <w:r>
              <w:rPr>
                <w:rFonts w:eastAsiaTheme="minorEastAsia"/>
                <w:kern w:val="0"/>
                <w:szCs w:val="21"/>
              </w:rPr>
              <w:t>3.01</w:t>
            </w:r>
          </w:p>
        </w:tc>
      </w:tr>
      <w:tr w:rsidR="003F1B6B">
        <w:tc>
          <w:tcPr>
            <w:tcW w:w="817" w:type="dxa"/>
            <w:vAlign w:val="center"/>
          </w:tcPr>
          <w:p w:rsidR="003F1B6B" w:rsidRDefault="003A7E24">
            <w:pPr>
              <w:jc w:val="center"/>
            </w:pPr>
            <w:r>
              <w:rPr>
                <w:rFonts w:eastAsiaTheme="minorEastAsia"/>
                <w:kern w:val="0"/>
                <w:szCs w:val="21"/>
              </w:rPr>
              <w:t>5</w:t>
            </w:r>
          </w:p>
        </w:tc>
        <w:tc>
          <w:tcPr>
            <w:tcW w:w="1276" w:type="dxa"/>
            <w:vAlign w:val="center"/>
          </w:tcPr>
          <w:p w:rsidR="003F1B6B" w:rsidRDefault="003A7E24">
            <w:pPr>
              <w:jc w:val="center"/>
            </w:pPr>
            <w:r>
              <w:rPr>
                <w:rFonts w:eastAsiaTheme="minorEastAsia"/>
                <w:kern w:val="0"/>
                <w:szCs w:val="21"/>
              </w:rPr>
              <w:t>002555</w:t>
            </w:r>
          </w:p>
        </w:tc>
        <w:tc>
          <w:tcPr>
            <w:tcW w:w="1701" w:type="dxa"/>
            <w:vAlign w:val="center"/>
          </w:tcPr>
          <w:p w:rsidR="003F1B6B" w:rsidRDefault="003A7E24">
            <w:pPr>
              <w:jc w:val="center"/>
            </w:pPr>
            <w:r>
              <w:rPr>
                <w:rFonts w:eastAsiaTheme="minorEastAsia"/>
                <w:kern w:val="0"/>
                <w:szCs w:val="21"/>
              </w:rPr>
              <w:t>三七互娱</w:t>
            </w:r>
          </w:p>
        </w:tc>
        <w:tc>
          <w:tcPr>
            <w:tcW w:w="1276" w:type="dxa"/>
            <w:vAlign w:val="center"/>
          </w:tcPr>
          <w:p w:rsidR="003F1B6B" w:rsidRDefault="003A7E24">
            <w:pPr>
              <w:jc w:val="right"/>
            </w:pPr>
            <w:r>
              <w:rPr>
                <w:rFonts w:eastAsiaTheme="minorEastAsia"/>
                <w:kern w:val="0"/>
                <w:szCs w:val="21"/>
              </w:rPr>
              <w:t>1,452,249</w:t>
            </w:r>
          </w:p>
        </w:tc>
        <w:tc>
          <w:tcPr>
            <w:tcW w:w="1842" w:type="dxa"/>
            <w:vAlign w:val="center"/>
          </w:tcPr>
          <w:p w:rsidR="003F1B6B" w:rsidRDefault="003A7E24">
            <w:pPr>
              <w:jc w:val="right"/>
            </w:pPr>
            <w:r>
              <w:rPr>
                <w:rFonts w:eastAsiaTheme="minorEastAsia"/>
                <w:kern w:val="0"/>
                <w:szCs w:val="21"/>
              </w:rPr>
              <w:t>25,298,177.58</w:t>
            </w:r>
          </w:p>
        </w:tc>
        <w:tc>
          <w:tcPr>
            <w:tcW w:w="1616" w:type="dxa"/>
            <w:vAlign w:val="center"/>
          </w:tcPr>
          <w:p w:rsidR="003F1B6B" w:rsidRDefault="003A7E24">
            <w:pPr>
              <w:jc w:val="right"/>
            </w:pPr>
            <w:r>
              <w:rPr>
                <w:rFonts w:eastAsiaTheme="minorEastAsia"/>
                <w:kern w:val="0"/>
                <w:szCs w:val="21"/>
              </w:rPr>
              <w:t>2.59</w:t>
            </w:r>
          </w:p>
        </w:tc>
      </w:tr>
      <w:tr w:rsidR="003F1B6B">
        <w:tc>
          <w:tcPr>
            <w:tcW w:w="817" w:type="dxa"/>
            <w:vAlign w:val="center"/>
          </w:tcPr>
          <w:p w:rsidR="003F1B6B" w:rsidRDefault="003A7E24">
            <w:pPr>
              <w:jc w:val="center"/>
            </w:pPr>
            <w:r>
              <w:rPr>
                <w:rFonts w:eastAsiaTheme="minorEastAsia"/>
                <w:kern w:val="0"/>
                <w:szCs w:val="21"/>
              </w:rPr>
              <w:t>6</w:t>
            </w:r>
          </w:p>
        </w:tc>
        <w:tc>
          <w:tcPr>
            <w:tcW w:w="1276" w:type="dxa"/>
            <w:vAlign w:val="center"/>
          </w:tcPr>
          <w:p w:rsidR="003F1B6B" w:rsidRDefault="003A7E24">
            <w:pPr>
              <w:jc w:val="center"/>
            </w:pPr>
            <w:r>
              <w:rPr>
                <w:rFonts w:eastAsiaTheme="minorEastAsia"/>
                <w:kern w:val="0"/>
                <w:szCs w:val="21"/>
              </w:rPr>
              <w:t>002027</w:t>
            </w:r>
          </w:p>
        </w:tc>
        <w:tc>
          <w:tcPr>
            <w:tcW w:w="1701" w:type="dxa"/>
            <w:vAlign w:val="center"/>
          </w:tcPr>
          <w:p w:rsidR="003F1B6B" w:rsidRDefault="003A7E24">
            <w:pPr>
              <w:jc w:val="center"/>
            </w:pPr>
            <w:r>
              <w:rPr>
                <w:rFonts w:eastAsiaTheme="minorEastAsia"/>
                <w:kern w:val="0"/>
                <w:szCs w:val="21"/>
              </w:rPr>
              <w:t>分众传媒</w:t>
            </w:r>
          </w:p>
        </w:tc>
        <w:tc>
          <w:tcPr>
            <w:tcW w:w="1276" w:type="dxa"/>
            <w:vAlign w:val="center"/>
          </w:tcPr>
          <w:p w:rsidR="003F1B6B" w:rsidRDefault="003A7E24">
            <w:pPr>
              <w:jc w:val="right"/>
            </w:pPr>
            <w:r>
              <w:rPr>
                <w:rFonts w:eastAsiaTheme="minorEastAsia"/>
                <w:kern w:val="0"/>
                <w:szCs w:val="21"/>
              </w:rPr>
              <w:t>4,542,000</w:t>
            </w:r>
          </w:p>
        </w:tc>
        <w:tc>
          <w:tcPr>
            <w:tcW w:w="1842" w:type="dxa"/>
            <w:vAlign w:val="center"/>
          </w:tcPr>
          <w:p w:rsidR="003F1B6B" w:rsidRDefault="003A7E24">
            <w:pPr>
              <w:jc w:val="right"/>
            </w:pPr>
            <w:r>
              <w:rPr>
                <w:rFonts w:eastAsiaTheme="minorEastAsia"/>
                <w:kern w:val="0"/>
                <w:szCs w:val="21"/>
              </w:rPr>
              <w:t>25,071,840.00</w:t>
            </w:r>
          </w:p>
        </w:tc>
        <w:tc>
          <w:tcPr>
            <w:tcW w:w="1616" w:type="dxa"/>
            <w:vAlign w:val="center"/>
          </w:tcPr>
          <w:p w:rsidR="003F1B6B" w:rsidRDefault="003A7E24">
            <w:pPr>
              <w:jc w:val="right"/>
            </w:pPr>
            <w:r>
              <w:rPr>
                <w:rFonts w:eastAsiaTheme="minorEastAsia"/>
                <w:kern w:val="0"/>
                <w:szCs w:val="21"/>
              </w:rPr>
              <w:t>2.57</w:t>
            </w:r>
          </w:p>
        </w:tc>
      </w:tr>
      <w:tr w:rsidR="003F1B6B">
        <w:tc>
          <w:tcPr>
            <w:tcW w:w="817" w:type="dxa"/>
            <w:vAlign w:val="center"/>
          </w:tcPr>
          <w:p w:rsidR="003F1B6B" w:rsidRDefault="003A7E24">
            <w:pPr>
              <w:jc w:val="center"/>
            </w:pPr>
            <w:r>
              <w:rPr>
                <w:rFonts w:eastAsiaTheme="minorEastAsia"/>
                <w:kern w:val="0"/>
                <w:szCs w:val="21"/>
              </w:rPr>
              <w:t>7</w:t>
            </w:r>
          </w:p>
        </w:tc>
        <w:tc>
          <w:tcPr>
            <w:tcW w:w="1276" w:type="dxa"/>
            <w:vAlign w:val="center"/>
          </w:tcPr>
          <w:p w:rsidR="003F1B6B" w:rsidRDefault="003A7E24">
            <w:pPr>
              <w:jc w:val="center"/>
            </w:pPr>
            <w:r>
              <w:rPr>
                <w:rFonts w:eastAsiaTheme="minorEastAsia"/>
                <w:kern w:val="0"/>
                <w:szCs w:val="21"/>
              </w:rPr>
              <w:t>603057</w:t>
            </w:r>
          </w:p>
        </w:tc>
        <w:tc>
          <w:tcPr>
            <w:tcW w:w="1701" w:type="dxa"/>
            <w:vAlign w:val="center"/>
          </w:tcPr>
          <w:p w:rsidR="003F1B6B" w:rsidRDefault="003A7E24">
            <w:pPr>
              <w:jc w:val="center"/>
            </w:pPr>
            <w:r>
              <w:rPr>
                <w:rFonts w:eastAsiaTheme="minorEastAsia"/>
                <w:kern w:val="0"/>
                <w:szCs w:val="21"/>
              </w:rPr>
              <w:t>紫燕食品</w:t>
            </w:r>
          </w:p>
        </w:tc>
        <w:tc>
          <w:tcPr>
            <w:tcW w:w="1276" w:type="dxa"/>
            <w:vAlign w:val="center"/>
          </w:tcPr>
          <w:p w:rsidR="003F1B6B" w:rsidRDefault="003A7E24">
            <w:pPr>
              <w:jc w:val="right"/>
            </w:pPr>
            <w:r>
              <w:rPr>
                <w:rFonts w:eastAsiaTheme="minorEastAsia"/>
                <w:kern w:val="0"/>
                <w:szCs w:val="21"/>
              </w:rPr>
              <w:t>779,027</w:t>
            </w:r>
          </w:p>
        </w:tc>
        <w:tc>
          <w:tcPr>
            <w:tcW w:w="1842" w:type="dxa"/>
            <w:vAlign w:val="center"/>
          </w:tcPr>
          <w:p w:rsidR="003F1B6B" w:rsidRDefault="003A7E24">
            <w:pPr>
              <w:jc w:val="right"/>
            </w:pPr>
            <w:r>
              <w:rPr>
                <w:rFonts w:eastAsiaTheme="minorEastAsia"/>
                <w:kern w:val="0"/>
                <w:szCs w:val="21"/>
              </w:rPr>
              <w:t>24,882,122.38</w:t>
            </w:r>
          </w:p>
        </w:tc>
        <w:tc>
          <w:tcPr>
            <w:tcW w:w="1616" w:type="dxa"/>
            <w:vAlign w:val="center"/>
          </w:tcPr>
          <w:p w:rsidR="003F1B6B" w:rsidRDefault="003A7E24">
            <w:pPr>
              <w:jc w:val="right"/>
            </w:pPr>
            <w:r>
              <w:rPr>
                <w:rFonts w:eastAsiaTheme="minorEastAsia"/>
                <w:kern w:val="0"/>
                <w:szCs w:val="21"/>
              </w:rPr>
              <w:t>2.55</w:t>
            </w:r>
          </w:p>
        </w:tc>
      </w:tr>
      <w:tr w:rsidR="003F1B6B">
        <w:tc>
          <w:tcPr>
            <w:tcW w:w="817" w:type="dxa"/>
            <w:vAlign w:val="center"/>
          </w:tcPr>
          <w:p w:rsidR="003F1B6B" w:rsidRDefault="003A7E24">
            <w:pPr>
              <w:jc w:val="center"/>
            </w:pPr>
            <w:r>
              <w:rPr>
                <w:rFonts w:eastAsiaTheme="minorEastAsia"/>
                <w:kern w:val="0"/>
                <w:szCs w:val="21"/>
              </w:rPr>
              <w:lastRenderedPageBreak/>
              <w:t>8</w:t>
            </w:r>
          </w:p>
        </w:tc>
        <w:tc>
          <w:tcPr>
            <w:tcW w:w="1276" w:type="dxa"/>
            <w:vAlign w:val="center"/>
          </w:tcPr>
          <w:p w:rsidR="003F1B6B" w:rsidRDefault="003A7E24">
            <w:pPr>
              <w:jc w:val="center"/>
            </w:pPr>
            <w:r>
              <w:rPr>
                <w:rFonts w:eastAsiaTheme="minorEastAsia"/>
                <w:kern w:val="0"/>
                <w:szCs w:val="21"/>
              </w:rPr>
              <w:t>002727</w:t>
            </w:r>
          </w:p>
        </w:tc>
        <w:tc>
          <w:tcPr>
            <w:tcW w:w="1701" w:type="dxa"/>
            <w:vAlign w:val="center"/>
          </w:tcPr>
          <w:p w:rsidR="003F1B6B" w:rsidRDefault="003A7E24">
            <w:pPr>
              <w:jc w:val="center"/>
            </w:pPr>
            <w:r>
              <w:rPr>
                <w:rFonts w:eastAsiaTheme="minorEastAsia"/>
                <w:kern w:val="0"/>
                <w:szCs w:val="21"/>
              </w:rPr>
              <w:t>一心堂</w:t>
            </w:r>
          </w:p>
        </w:tc>
        <w:tc>
          <w:tcPr>
            <w:tcW w:w="1276" w:type="dxa"/>
            <w:vAlign w:val="center"/>
          </w:tcPr>
          <w:p w:rsidR="003F1B6B" w:rsidRDefault="003A7E24">
            <w:pPr>
              <w:jc w:val="right"/>
            </w:pPr>
            <w:r>
              <w:rPr>
                <w:rFonts w:eastAsiaTheme="minorEastAsia"/>
                <w:kern w:val="0"/>
                <w:szCs w:val="21"/>
              </w:rPr>
              <w:t>1,026,372</w:t>
            </w:r>
          </w:p>
        </w:tc>
        <w:tc>
          <w:tcPr>
            <w:tcW w:w="1842" w:type="dxa"/>
            <w:vAlign w:val="center"/>
          </w:tcPr>
          <w:p w:rsidR="003F1B6B" w:rsidRDefault="003A7E24">
            <w:pPr>
              <w:jc w:val="right"/>
            </w:pPr>
            <w:r>
              <w:rPr>
                <w:rFonts w:eastAsiaTheme="minorEastAsia"/>
                <w:kern w:val="0"/>
                <w:szCs w:val="21"/>
              </w:rPr>
              <w:t>24,817,674.96</w:t>
            </w:r>
          </w:p>
        </w:tc>
        <w:tc>
          <w:tcPr>
            <w:tcW w:w="1616" w:type="dxa"/>
            <w:vAlign w:val="center"/>
          </w:tcPr>
          <w:p w:rsidR="003F1B6B" w:rsidRDefault="003A7E24">
            <w:pPr>
              <w:jc w:val="right"/>
            </w:pPr>
            <w:r>
              <w:rPr>
                <w:rFonts w:eastAsiaTheme="minorEastAsia"/>
                <w:kern w:val="0"/>
                <w:szCs w:val="21"/>
              </w:rPr>
              <w:t>2.54</w:t>
            </w:r>
          </w:p>
        </w:tc>
      </w:tr>
      <w:tr w:rsidR="003F1B6B">
        <w:tc>
          <w:tcPr>
            <w:tcW w:w="817" w:type="dxa"/>
            <w:vAlign w:val="center"/>
          </w:tcPr>
          <w:p w:rsidR="003F1B6B" w:rsidRDefault="003A7E24">
            <w:pPr>
              <w:jc w:val="center"/>
            </w:pPr>
            <w:r>
              <w:rPr>
                <w:rFonts w:eastAsiaTheme="minorEastAsia"/>
                <w:kern w:val="0"/>
                <w:szCs w:val="21"/>
              </w:rPr>
              <w:t>9</w:t>
            </w:r>
          </w:p>
        </w:tc>
        <w:tc>
          <w:tcPr>
            <w:tcW w:w="1276" w:type="dxa"/>
            <w:vAlign w:val="center"/>
          </w:tcPr>
          <w:p w:rsidR="003F1B6B" w:rsidRDefault="003A7E24">
            <w:pPr>
              <w:jc w:val="center"/>
            </w:pPr>
            <w:r>
              <w:rPr>
                <w:rFonts w:eastAsiaTheme="minorEastAsia"/>
                <w:kern w:val="0"/>
                <w:szCs w:val="21"/>
              </w:rPr>
              <w:t>600079</w:t>
            </w:r>
          </w:p>
        </w:tc>
        <w:tc>
          <w:tcPr>
            <w:tcW w:w="1701" w:type="dxa"/>
            <w:vAlign w:val="center"/>
          </w:tcPr>
          <w:p w:rsidR="003F1B6B" w:rsidRDefault="003A7E24">
            <w:pPr>
              <w:jc w:val="center"/>
            </w:pPr>
            <w:r>
              <w:rPr>
                <w:rFonts w:eastAsiaTheme="minorEastAsia"/>
                <w:kern w:val="0"/>
                <w:szCs w:val="21"/>
              </w:rPr>
              <w:t>人福医药</w:t>
            </w:r>
          </w:p>
        </w:tc>
        <w:tc>
          <w:tcPr>
            <w:tcW w:w="1276" w:type="dxa"/>
            <w:vAlign w:val="center"/>
          </w:tcPr>
          <w:p w:rsidR="003F1B6B" w:rsidRDefault="003A7E24">
            <w:pPr>
              <w:jc w:val="right"/>
            </w:pPr>
            <w:r>
              <w:rPr>
                <w:rFonts w:eastAsiaTheme="minorEastAsia"/>
                <w:kern w:val="0"/>
                <w:szCs w:val="21"/>
              </w:rPr>
              <w:t>1,350,400</w:t>
            </w:r>
          </w:p>
        </w:tc>
        <w:tc>
          <w:tcPr>
            <w:tcW w:w="1842" w:type="dxa"/>
            <w:vAlign w:val="center"/>
          </w:tcPr>
          <w:p w:rsidR="003F1B6B" w:rsidRDefault="003A7E24">
            <w:pPr>
              <w:jc w:val="right"/>
            </w:pPr>
            <w:r>
              <w:rPr>
                <w:rFonts w:eastAsiaTheme="minorEastAsia"/>
                <w:kern w:val="0"/>
                <w:szCs w:val="21"/>
              </w:rPr>
              <w:t>23,672,512.00</w:t>
            </w:r>
          </w:p>
        </w:tc>
        <w:tc>
          <w:tcPr>
            <w:tcW w:w="1616" w:type="dxa"/>
            <w:vAlign w:val="center"/>
          </w:tcPr>
          <w:p w:rsidR="003F1B6B" w:rsidRDefault="003A7E24">
            <w:pPr>
              <w:jc w:val="right"/>
            </w:pPr>
            <w:r>
              <w:rPr>
                <w:rFonts w:eastAsiaTheme="minorEastAsia"/>
                <w:kern w:val="0"/>
                <w:szCs w:val="21"/>
              </w:rPr>
              <w:t>2.42</w:t>
            </w:r>
          </w:p>
        </w:tc>
      </w:tr>
      <w:tr w:rsidR="003F1B6B">
        <w:tc>
          <w:tcPr>
            <w:tcW w:w="817" w:type="dxa"/>
            <w:vAlign w:val="center"/>
          </w:tcPr>
          <w:p w:rsidR="003F1B6B" w:rsidRDefault="003A7E24">
            <w:pPr>
              <w:jc w:val="center"/>
            </w:pPr>
            <w:r>
              <w:rPr>
                <w:rFonts w:eastAsiaTheme="minorEastAsia"/>
                <w:kern w:val="0"/>
                <w:szCs w:val="21"/>
              </w:rPr>
              <w:t>10</w:t>
            </w:r>
          </w:p>
        </w:tc>
        <w:tc>
          <w:tcPr>
            <w:tcW w:w="1276" w:type="dxa"/>
            <w:vAlign w:val="center"/>
          </w:tcPr>
          <w:p w:rsidR="003F1B6B" w:rsidRDefault="003A7E24">
            <w:pPr>
              <w:jc w:val="center"/>
            </w:pPr>
            <w:r>
              <w:rPr>
                <w:rFonts w:eastAsiaTheme="minorEastAsia"/>
                <w:kern w:val="0"/>
                <w:szCs w:val="21"/>
              </w:rPr>
              <w:t>688599</w:t>
            </w:r>
          </w:p>
        </w:tc>
        <w:tc>
          <w:tcPr>
            <w:tcW w:w="1701" w:type="dxa"/>
            <w:vAlign w:val="center"/>
          </w:tcPr>
          <w:p w:rsidR="003F1B6B" w:rsidRDefault="003A7E24">
            <w:pPr>
              <w:jc w:val="center"/>
            </w:pPr>
            <w:r>
              <w:rPr>
                <w:rFonts w:eastAsiaTheme="minorEastAsia"/>
                <w:kern w:val="0"/>
                <w:szCs w:val="21"/>
              </w:rPr>
              <w:t>天合光能</w:t>
            </w:r>
          </w:p>
        </w:tc>
        <w:tc>
          <w:tcPr>
            <w:tcW w:w="1276" w:type="dxa"/>
            <w:vAlign w:val="center"/>
          </w:tcPr>
          <w:p w:rsidR="003F1B6B" w:rsidRDefault="003A7E24">
            <w:pPr>
              <w:jc w:val="right"/>
            </w:pPr>
            <w:r>
              <w:rPr>
                <w:rFonts w:eastAsiaTheme="minorEastAsia"/>
                <w:kern w:val="0"/>
                <w:szCs w:val="21"/>
              </w:rPr>
              <w:t>365,738</w:t>
            </w:r>
          </w:p>
        </w:tc>
        <w:tc>
          <w:tcPr>
            <w:tcW w:w="1842" w:type="dxa"/>
            <w:vAlign w:val="center"/>
          </w:tcPr>
          <w:p w:rsidR="003F1B6B" w:rsidRDefault="003A7E24">
            <w:pPr>
              <w:jc w:val="right"/>
            </w:pPr>
            <w:r>
              <w:rPr>
                <w:rFonts w:eastAsiaTheme="minorEastAsia"/>
                <w:kern w:val="0"/>
                <w:szCs w:val="21"/>
              </w:rPr>
              <w:t>23,447,463.18</w:t>
            </w:r>
          </w:p>
        </w:tc>
        <w:tc>
          <w:tcPr>
            <w:tcW w:w="1616" w:type="dxa"/>
            <w:vAlign w:val="center"/>
          </w:tcPr>
          <w:p w:rsidR="003F1B6B" w:rsidRDefault="003A7E24">
            <w:pPr>
              <w:jc w:val="right"/>
            </w:pPr>
            <w:r>
              <w:rPr>
                <w:rFonts w:eastAsiaTheme="minorEastAsia"/>
                <w:kern w:val="0"/>
                <w:szCs w:val="21"/>
              </w:rPr>
              <w:t>2.40</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243,432.61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119,966.32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363,398.93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上投摩根阿尔法混合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上投摩根阿尔法混合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227,153,303.05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83,026.46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3,287,208.45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168,083.28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6,469,106.34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90,478.29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223,971,405.16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160,631.45</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中国证监会批准上投摩根阿尔法混合型证券投资基金设立的文件；</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《上投摩根阿尔法混合型证券投资基金基金合同》；</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《上投摩根阿尔法混合型证券投资基金托管协议》；</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3F1B6B" w:rsidRDefault="003A7E2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二〇二二年十月二十六日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A7E24">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A7E24">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A7E24">
      <w:rPr>
        <w:rStyle w:val="af6"/>
        <w:noProof/>
      </w:rPr>
      <w:t>13</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上投摩根阿尔法混合型证券投资基金</w:t>
    </w:r>
    <w:r>
      <w:t>2022</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A7E24"/>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1B6B"/>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C1589C-C405-4D33-A002-B2E1ED9C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23</TotalTime>
  <Pages>13</Pages>
  <Words>1149</Words>
  <Characters>6554</Characters>
  <Application>Microsoft Office Word</Application>
  <DocSecurity>0</DocSecurity>
  <Lines>54</Lines>
  <Paragraphs>15</Paragraphs>
  <ScaleCrop>false</ScaleCrop>
  <Company>TRT. Ltd. Co.</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218</cp:revision>
  <cp:lastPrinted>2007-07-19T00:46:00Z</cp:lastPrinted>
  <dcterms:created xsi:type="dcterms:W3CDTF">2013-06-21T06:56:00Z</dcterms:created>
  <dcterms:modified xsi:type="dcterms:W3CDTF">2022-10-25T05:29:00Z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