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上投摩根阿尔法混合型证券投资基金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报告送出日期：二〇二三年一月二十日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上投摩根阿尔法混合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2005</w:t>
            </w:r>
            <w:r w:rsidRPr="00B27A29">
              <w:rPr>
                <w:rFonts w:eastAsiaTheme="minorEastAsia"/>
                <w:color w:val="000000" w:themeColor="text1"/>
                <w:kern w:val="0"/>
                <w:szCs w:val="21"/>
              </w:rPr>
              <w:t>年</w:t>
            </w:r>
            <w:r w:rsidRPr="00B27A29">
              <w:rPr>
                <w:rFonts w:eastAsiaTheme="minorEastAsia"/>
                <w:color w:val="000000" w:themeColor="text1"/>
                <w:kern w:val="0"/>
                <w:szCs w:val="21"/>
              </w:rPr>
              <w:t>10</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223,738,135.42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本基金采用哑铃式投资技术</w:t>
            </w:r>
            <w:r w:rsidRPr="00B27A29">
              <w:rPr>
                <w:rFonts w:eastAsiaTheme="minorEastAsia"/>
                <w:color w:val="000000" w:themeColor="text1"/>
                <w:kern w:val="0"/>
                <w:szCs w:val="21"/>
              </w:rPr>
              <w:t>(Barbell Approach)</w:t>
            </w:r>
            <w:r w:rsidRPr="00B27A29">
              <w:rPr>
                <w:rFonts w:eastAsiaTheme="minorEastAsia"/>
                <w:color w:val="000000" w:themeColor="text1"/>
                <w:kern w:val="0"/>
                <w:szCs w:val="21"/>
              </w:rPr>
              <w:t>，同步以</w:t>
            </w:r>
            <w:r w:rsidRPr="00B27A29">
              <w:rPr>
                <w:rFonts w:eastAsiaTheme="minorEastAsia"/>
                <w:color w:val="000000" w:themeColor="text1"/>
                <w:kern w:val="0"/>
                <w:szCs w:val="21"/>
              </w:rPr>
              <w:t>“</w:t>
            </w:r>
            <w:r w:rsidRPr="00B27A29">
              <w:rPr>
                <w:rFonts w:eastAsiaTheme="minorEastAsia"/>
                <w:color w:val="000000" w:themeColor="text1"/>
                <w:kern w:val="0"/>
                <w:szCs w:val="21"/>
              </w:rPr>
              <w:t>成长</w:t>
            </w:r>
            <w:r w:rsidRPr="00B27A29">
              <w:rPr>
                <w:rFonts w:eastAsiaTheme="minorEastAsia"/>
                <w:color w:val="000000" w:themeColor="text1"/>
                <w:kern w:val="0"/>
                <w:szCs w:val="21"/>
              </w:rPr>
              <w:t>”</w:t>
            </w:r>
            <w:r w:rsidRPr="00B27A29">
              <w:rPr>
                <w:rFonts w:eastAsiaTheme="minorEastAsia"/>
                <w:color w:val="000000" w:themeColor="text1"/>
                <w:kern w:val="0"/>
                <w:szCs w:val="21"/>
              </w:rPr>
              <w:t>与</w:t>
            </w:r>
            <w:r w:rsidRPr="00B27A29">
              <w:rPr>
                <w:rFonts w:eastAsiaTheme="minorEastAsia"/>
                <w:color w:val="000000" w:themeColor="text1"/>
                <w:kern w:val="0"/>
                <w:szCs w:val="21"/>
              </w:rPr>
              <w:t>“</w:t>
            </w:r>
            <w:r w:rsidRPr="00B27A29">
              <w:rPr>
                <w:rFonts w:eastAsiaTheme="minorEastAsia"/>
                <w:color w:val="000000" w:themeColor="text1"/>
                <w:kern w:val="0"/>
                <w:szCs w:val="21"/>
              </w:rPr>
              <w:t>价值</w:t>
            </w:r>
            <w:r w:rsidRPr="00B27A29">
              <w:rPr>
                <w:rFonts w:eastAsiaTheme="minorEastAsia"/>
                <w:color w:val="000000" w:themeColor="text1"/>
                <w:kern w:val="0"/>
                <w:szCs w:val="21"/>
              </w:rPr>
              <w:t>”</w:t>
            </w:r>
            <w:r w:rsidRPr="00B27A29">
              <w:rPr>
                <w:rFonts w:eastAsiaTheme="minorEastAsia"/>
                <w:color w:val="000000" w:themeColor="text1"/>
                <w:kern w:val="0"/>
                <w:szCs w:val="21"/>
              </w:rPr>
              <w:t>双重量化指标进行股票选择。在基于由下而上的择股流程中，精选个股，纪律执行，构造出相对均衡的不同风格类资产组合。同时结合公司质量、行业布局、风险因子等深入分析，对资产配置进行适度调整，努力控制投资组合的市场适应性，以求多空环境中都能创造超越业绩基准的主动管理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502DC" w:rsidRDefault="00210B9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本基金充分借鉴摩根资产管理集团全球行之有效的投资理念和技术，依据中国资本市场的具体特征，引入集团在</w:t>
            </w:r>
            <w:r>
              <w:rPr>
                <w:rFonts w:eastAsiaTheme="minorEastAsia"/>
                <w:color w:val="000000" w:themeColor="text1"/>
                <w:kern w:val="0"/>
                <w:szCs w:val="21"/>
              </w:rPr>
              <w:lastRenderedPageBreak/>
              <w:t>海外市场成功运作的</w:t>
            </w:r>
            <w:r>
              <w:rPr>
                <w:rFonts w:eastAsiaTheme="minorEastAsia"/>
                <w:color w:val="000000" w:themeColor="text1"/>
                <w:kern w:val="0"/>
                <w:szCs w:val="21"/>
              </w:rPr>
              <w:t xml:space="preserve">“Dynamic </w:t>
            </w:r>
            <w:r>
              <w:rPr>
                <w:rFonts w:eastAsiaTheme="minorEastAsia"/>
                <w:color w:val="000000" w:themeColor="text1"/>
                <w:kern w:val="0"/>
                <w:szCs w:val="21"/>
              </w:rPr>
              <w:t>Fund”</w:t>
            </w:r>
            <w:r>
              <w:rPr>
                <w:rFonts w:eastAsiaTheme="minorEastAsia"/>
                <w:color w:val="000000" w:themeColor="text1"/>
                <w:kern w:val="0"/>
                <w:szCs w:val="21"/>
              </w:rPr>
              <w:t>基金产品概念。具体而言，本基金将以量化指标分析为基础，通过严格的证券选择，积极构建并持续优化</w:t>
            </w:r>
            <w:r>
              <w:rPr>
                <w:rFonts w:eastAsiaTheme="minorEastAsia"/>
                <w:color w:val="000000" w:themeColor="text1"/>
                <w:kern w:val="0"/>
                <w:szCs w:val="21"/>
              </w:rPr>
              <w:t>“</w:t>
            </w:r>
            <w:r>
              <w:rPr>
                <w:rFonts w:eastAsiaTheme="minorEastAsia"/>
                <w:color w:val="000000" w:themeColor="text1"/>
                <w:kern w:val="0"/>
                <w:szCs w:val="21"/>
              </w:rPr>
              <w:t>哑铃式</w:t>
            </w:r>
            <w:r>
              <w:rPr>
                <w:rFonts w:eastAsiaTheme="minorEastAsia"/>
                <w:color w:val="000000" w:themeColor="text1"/>
                <w:kern w:val="0"/>
                <w:szCs w:val="21"/>
              </w:rPr>
              <w:t>”</w:t>
            </w:r>
            <w:r>
              <w:rPr>
                <w:rFonts w:eastAsiaTheme="minorEastAsia"/>
                <w:color w:val="000000" w:themeColor="text1"/>
                <w:kern w:val="0"/>
                <w:szCs w:val="21"/>
              </w:rPr>
              <w:t>资产组合，结合严密的风险监控，不断谋求超越业绩比较基准的稳定回报。</w:t>
            </w:r>
          </w:p>
          <w:p w:rsidR="00F502DC" w:rsidRDefault="00210B9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、股票投资策略</w:t>
            </w:r>
          </w:p>
          <w:p w:rsidR="00F502DC" w:rsidRDefault="00210B9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包括</w:t>
            </w:r>
            <w:r>
              <w:rPr>
                <w:rFonts w:eastAsiaTheme="minorEastAsia"/>
                <w:color w:val="000000" w:themeColor="text1"/>
                <w:kern w:val="0"/>
                <w:szCs w:val="21"/>
              </w:rPr>
              <w:t>1</w:t>
            </w:r>
            <w:r>
              <w:rPr>
                <w:rFonts w:eastAsiaTheme="minorEastAsia"/>
                <w:color w:val="000000" w:themeColor="text1"/>
                <w:kern w:val="0"/>
                <w:szCs w:val="21"/>
              </w:rPr>
              <w:t>）选取价值</w:t>
            </w:r>
            <w:r>
              <w:rPr>
                <w:rFonts w:eastAsiaTheme="minorEastAsia"/>
                <w:color w:val="000000" w:themeColor="text1"/>
                <w:kern w:val="0"/>
                <w:szCs w:val="21"/>
              </w:rPr>
              <w:t>/</w:t>
            </w:r>
            <w:r>
              <w:rPr>
                <w:rFonts w:eastAsiaTheme="minorEastAsia"/>
                <w:color w:val="000000" w:themeColor="text1"/>
                <w:kern w:val="0"/>
                <w:szCs w:val="21"/>
              </w:rPr>
              <w:t>成长因子、</w:t>
            </w:r>
            <w:r>
              <w:rPr>
                <w:rFonts w:eastAsiaTheme="minorEastAsia"/>
                <w:color w:val="000000" w:themeColor="text1"/>
                <w:kern w:val="0"/>
                <w:szCs w:val="21"/>
              </w:rPr>
              <w:t>2</w:t>
            </w:r>
            <w:r>
              <w:rPr>
                <w:rFonts w:eastAsiaTheme="minorEastAsia"/>
                <w:color w:val="000000" w:themeColor="text1"/>
                <w:kern w:val="0"/>
                <w:szCs w:val="21"/>
              </w:rPr>
              <w:t>）计算股票风格等级、</w:t>
            </w:r>
            <w:r>
              <w:rPr>
                <w:rFonts w:eastAsiaTheme="minorEastAsia"/>
                <w:color w:val="000000" w:themeColor="text1"/>
                <w:kern w:val="0"/>
                <w:szCs w:val="21"/>
              </w:rPr>
              <w:t>3</w:t>
            </w:r>
            <w:r>
              <w:rPr>
                <w:rFonts w:eastAsiaTheme="minorEastAsia"/>
                <w:color w:val="000000" w:themeColor="text1"/>
                <w:kern w:val="0"/>
                <w:szCs w:val="21"/>
              </w:rPr>
              <w:t>）创造主动管理报酬。</w:t>
            </w:r>
          </w:p>
          <w:p w:rsidR="00F502DC" w:rsidRDefault="00210B9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F502DC" w:rsidRDefault="00210B9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本基金以股票投资为主，为控制股票投资风险，优化组合流动性管理，本基金会适度考虑配置防御性资产，进行债券、货币市场工具等品种的投资。</w:t>
            </w:r>
          </w:p>
          <w:p w:rsidR="00F502DC" w:rsidRDefault="00210B9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502DC" w:rsidRDefault="00210B9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本基金是混合型证券投资基金，预期收益及预期风险水平低于股票型基金，高于债券型基金和货币市场基金，属于较高预期收益和预期风险水平的投资品种。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015637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223,568,400.61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169,734.81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-29,966,058.29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-21,917.47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-7,496,650.20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-4,768.48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966,428,720.21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731,128.20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4.3227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4.3075</w:t>
            </w:r>
          </w:p>
        </w:tc>
      </w:tr>
    </w:tbl>
    <w:p w:rsidR="00F502DC" w:rsidRDefault="00210B9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F502DC" w:rsidRDefault="00210B9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5</w:t>
      </w:r>
      <w:r w:rsidRPr="00B27A29">
        <w:rPr>
          <w:rFonts w:eastAsiaTheme="minorEastAsia"/>
          <w:color w:val="000000" w:themeColor="text1"/>
          <w:szCs w:val="21"/>
        </w:rPr>
        <w:t>月</w:t>
      </w:r>
      <w:r w:rsidRPr="00B27A29">
        <w:rPr>
          <w:rFonts w:eastAsiaTheme="minorEastAsia"/>
          <w:color w:val="000000" w:themeColor="text1"/>
          <w:szCs w:val="21"/>
        </w:rPr>
        <w:t>6</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上投摩根阿尔法混合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502DC">
        <w:tc>
          <w:tcPr>
            <w:tcW w:w="1290" w:type="dxa"/>
            <w:vAlign w:val="center"/>
          </w:tcPr>
          <w:p w:rsidR="00F502DC" w:rsidRDefault="00210B93">
            <w:pPr>
              <w:jc w:val="left"/>
            </w:pPr>
            <w:r>
              <w:rPr>
                <w:rFonts w:eastAsiaTheme="minorEastAsia"/>
                <w:color w:val="000000" w:themeColor="text1"/>
                <w:szCs w:val="21"/>
              </w:rPr>
              <w:t>过去三个月</w:t>
            </w:r>
          </w:p>
        </w:tc>
        <w:tc>
          <w:tcPr>
            <w:tcW w:w="1291" w:type="dxa"/>
            <w:vAlign w:val="center"/>
          </w:tcPr>
          <w:p w:rsidR="00F502DC" w:rsidRDefault="00210B93">
            <w:pPr>
              <w:jc w:val="right"/>
            </w:pPr>
            <w:r>
              <w:rPr>
                <w:rFonts w:eastAsiaTheme="minorEastAsia"/>
                <w:color w:val="000000" w:themeColor="text1"/>
                <w:szCs w:val="21"/>
              </w:rPr>
              <w:t>-0.78%</w:t>
            </w:r>
          </w:p>
        </w:tc>
        <w:tc>
          <w:tcPr>
            <w:tcW w:w="1291" w:type="dxa"/>
            <w:vAlign w:val="center"/>
          </w:tcPr>
          <w:p w:rsidR="00F502DC" w:rsidRDefault="00210B93">
            <w:pPr>
              <w:jc w:val="right"/>
            </w:pPr>
            <w:r>
              <w:rPr>
                <w:rFonts w:eastAsiaTheme="minorEastAsia"/>
                <w:color w:val="000000" w:themeColor="text1"/>
                <w:szCs w:val="21"/>
              </w:rPr>
              <w:t>1.27%</w:t>
            </w:r>
          </w:p>
        </w:tc>
        <w:tc>
          <w:tcPr>
            <w:tcW w:w="1291" w:type="dxa"/>
            <w:vAlign w:val="center"/>
          </w:tcPr>
          <w:p w:rsidR="00F502DC" w:rsidRDefault="00210B93">
            <w:pPr>
              <w:jc w:val="right"/>
            </w:pPr>
            <w:r>
              <w:rPr>
                <w:rFonts w:eastAsiaTheme="minorEastAsia"/>
                <w:color w:val="000000" w:themeColor="text1"/>
                <w:szCs w:val="21"/>
              </w:rPr>
              <w:t>1.33%</w:t>
            </w:r>
          </w:p>
        </w:tc>
        <w:tc>
          <w:tcPr>
            <w:tcW w:w="1291" w:type="dxa"/>
            <w:vAlign w:val="center"/>
          </w:tcPr>
          <w:p w:rsidR="00F502DC" w:rsidRDefault="00210B93">
            <w:pPr>
              <w:jc w:val="right"/>
            </w:pPr>
            <w:r>
              <w:rPr>
                <w:rFonts w:eastAsiaTheme="minorEastAsia"/>
                <w:color w:val="000000" w:themeColor="text1"/>
                <w:szCs w:val="21"/>
              </w:rPr>
              <w:t>1.03%</w:t>
            </w:r>
          </w:p>
        </w:tc>
        <w:tc>
          <w:tcPr>
            <w:tcW w:w="1291" w:type="dxa"/>
            <w:vAlign w:val="center"/>
          </w:tcPr>
          <w:p w:rsidR="00F502DC" w:rsidRDefault="00210B93">
            <w:pPr>
              <w:jc w:val="right"/>
            </w:pPr>
            <w:r>
              <w:rPr>
                <w:rFonts w:eastAsiaTheme="minorEastAsia"/>
                <w:color w:val="000000" w:themeColor="text1"/>
                <w:szCs w:val="21"/>
              </w:rPr>
              <w:t>-2.11%</w:t>
            </w:r>
          </w:p>
        </w:tc>
        <w:tc>
          <w:tcPr>
            <w:tcW w:w="1291" w:type="dxa"/>
            <w:vAlign w:val="center"/>
          </w:tcPr>
          <w:p w:rsidR="00F502DC" w:rsidRDefault="00210B93">
            <w:pPr>
              <w:jc w:val="right"/>
            </w:pPr>
            <w:r>
              <w:rPr>
                <w:rFonts w:eastAsiaTheme="minorEastAsia"/>
                <w:color w:val="000000" w:themeColor="text1"/>
                <w:szCs w:val="21"/>
              </w:rPr>
              <w:t>0.24%</w:t>
            </w:r>
          </w:p>
        </w:tc>
      </w:tr>
      <w:tr w:rsidR="00F502DC">
        <w:tc>
          <w:tcPr>
            <w:tcW w:w="1290" w:type="dxa"/>
            <w:vAlign w:val="center"/>
          </w:tcPr>
          <w:p w:rsidR="00F502DC" w:rsidRDefault="00210B93">
            <w:pPr>
              <w:jc w:val="left"/>
            </w:pPr>
            <w:r>
              <w:rPr>
                <w:rFonts w:eastAsiaTheme="minorEastAsia"/>
                <w:color w:val="000000" w:themeColor="text1"/>
                <w:szCs w:val="21"/>
              </w:rPr>
              <w:t>过去六个月</w:t>
            </w:r>
          </w:p>
        </w:tc>
        <w:tc>
          <w:tcPr>
            <w:tcW w:w="1291" w:type="dxa"/>
            <w:vAlign w:val="center"/>
          </w:tcPr>
          <w:p w:rsidR="00F502DC" w:rsidRDefault="00210B93">
            <w:pPr>
              <w:jc w:val="right"/>
            </w:pPr>
            <w:r>
              <w:rPr>
                <w:rFonts w:eastAsiaTheme="minorEastAsia"/>
                <w:color w:val="000000" w:themeColor="text1"/>
                <w:szCs w:val="21"/>
              </w:rPr>
              <w:t>-17.82%</w:t>
            </w:r>
          </w:p>
        </w:tc>
        <w:tc>
          <w:tcPr>
            <w:tcW w:w="1291" w:type="dxa"/>
            <w:vAlign w:val="center"/>
          </w:tcPr>
          <w:p w:rsidR="00F502DC" w:rsidRDefault="00210B93">
            <w:pPr>
              <w:jc w:val="right"/>
            </w:pPr>
            <w:r>
              <w:rPr>
                <w:rFonts w:eastAsiaTheme="minorEastAsia"/>
                <w:color w:val="000000" w:themeColor="text1"/>
                <w:szCs w:val="21"/>
              </w:rPr>
              <w:t>1.18%</w:t>
            </w:r>
          </w:p>
        </w:tc>
        <w:tc>
          <w:tcPr>
            <w:tcW w:w="1291" w:type="dxa"/>
            <w:vAlign w:val="center"/>
          </w:tcPr>
          <w:p w:rsidR="00F502DC" w:rsidRDefault="00210B93">
            <w:pPr>
              <w:jc w:val="right"/>
            </w:pPr>
            <w:r>
              <w:rPr>
                <w:rFonts w:eastAsiaTheme="minorEastAsia"/>
                <w:color w:val="000000" w:themeColor="text1"/>
                <w:szCs w:val="21"/>
              </w:rPr>
              <w:t>-10.85%</w:t>
            </w:r>
          </w:p>
        </w:tc>
        <w:tc>
          <w:tcPr>
            <w:tcW w:w="1291" w:type="dxa"/>
            <w:vAlign w:val="center"/>
          </w:tcPr>
          <w:p w:rsidR="00F502DC" w:rsidRDefault="00210B93">
            <w:pPr>
              <w:jc w:val="right"/>
            </w:pPr>
            <w:r>
              <w:rPr>
                <w:rFonts w:eastAsiaTheme="minorEastAsia"/>
                <w:color w:val="000000" w:themeColor="text1"/>
                <w:szCs w:val="21"/>
              </w:rPr>
              <w:t>0.88%</w:t>
            </w:r>
          </w:p>
        </w:tc>
        <w:tc>
          <w:tcPr>
            <w:tcW w:w="1291" w:type="dxa"/>
            <w:vAlign w:val="center"/>
          </w:tcPr>
          <w:p w:rsidR="00F502DC" w:rsidRDefault="00210B93">
            <w:pPr>
              <w:jc w:val="right"/>
            </w:pPr>
            <w:r>
              <w:rPr>
                <w:rFonts w:eastAsiaTheme="minorEastAsia"/>
                <w:color w:val="000000" w:themeColor="text1"/>
                <w:szCs w:val="21"/>
              </w:rPr>
              <w:t>-6.97%</w:t>
            </w:r>
          </w:p>
        </w:tc>
        <w:tc>
          <w:tcPr>
            <w:tcW w:w="1291" w:type="dxa"/>
            <w:vAlign w:val="center"/>
          </w:tcPr>
          <w:p w:rsidR="00F502DC" w:rsidRDefault="00210B93">
            <w:pPr>
              <w:jc w:val="right"/>
            </w:pPr>
            <w:r>
              <w:rPr>
                <w:rFonts w:eastAsiaTheme="minorEastAsia"/>
                <w:color w:val="000000" w:themeColor="text1"/>
                <w:szCs w:val="21"/>
              </w:rPr>
              <w:t>0.30%</w:t>
            </w:r>
          </w:p>
        </w:tc>
      </w:tr>
      <w:tr w:rsidR="00F502DC">
        <w:tc>
          <w:tcPr>
            <w:tcW w:w="1290" w:type="dxa"/>
            <w:vAlign w:val="center"/>
          </w:tcPr>
          <w:p w:rsidR="00F502DC" w:rsidRDefault="00210B93">
            <w:pPr>
              <w:jc w:val="left"/>
            </w:pPr>
            <w:r>
              <w:rPr>
                <w:rFonts w:eastAsiaTheme="minorEastAsia"/>
                <w:color w:val="000000" w:themeColor="text1"/>
                <w:szCs w:val="21"/>
              </w:rPr>
              <w:t>过去一年</w:t>
            </w:r>
          </w:p>
        </w:tc>
        <w:tc>
          <w:tcPr>
            <w:tcW w:w="1291" w:type="dxa"/>
            <w:vAlign w:val="center"/>
          </w:tcPr>
          <w:p w:rsidR="00F502DC" w:rsidRDefault="00210B93">
            <w:pPr>
              <w:jc w:val="right"/>
            </w:pPr>
            <w:r>
              <w:rPr>
                <w:rFonts w:eastAsiaTheme="minorEastAsia"/>
                <w:color w:val="000000" w:themeColor="text1"/>
                <w:szCs w:val="21"/>
              </w:rPr>
              <w:t>-25.21%</w:t>
            </w:r>
          </w:p>
        </w:tc>
        <w:tc>
          <w:tcPr>
            <w:tcW w:w="1291" w:type="dxa"/>
            <w:vAlign w:val="center"/>
          </w:tcPr>
          <w:p w:rsidR="00F502DC" w:rsidRDefault="00210B93">
            <w:pPr>
              <w:jc w:val="right"/>
            </w:pPr>
            <w:r>
              <w:rPr>
                <w:rFonts w:eastAsiaTheme="minorEastAsia"/>
                <w:color w:val="000000" w:themeColor="text1"/>
                <w:szCs w:val="21"/>
              </w:rPr>
              <w:t>1.39%</w:t>
            </w:r>
          </w:p>
        </w:tc>
        <w:tc>
          <w:tcPr>
            <w:tcW w:w="1291" w:type="dxa"/>
            <w:vAlign w:val="center"/>
          </w:tcPr>
          <w:p w:rsidR="00F502DC" w:rsidRDefault="00210B93">
            <w:pPr>
              <w:jc w:val="right"/>
            </w:pPr>
            <w:r>
              <w:rPr>
                <w:rFonts w:eastAsiaTheme="minorEastAsia"/>
                <w:color w:val="000000" w:themeColor="text1"/>
                <w:szCs w:val="21"/>
              </w:rPr>
              <w:t>-17.27%</w:t>
            </w:r>
          </w:p>
        </w:tc>
        <w:tc>
          <w:tcPr>
            <w:tcW w:w="1291" w:type="dxa"/>
            <w:vAlign w:val="center"/>
          </w:tcPr>
          <w:p w:rsidR="00F502DC" w:rsidRDefault="00210B93">
            <w:pPr>
              <w:jc w:val="right"/>
            </w:pPr>
            <w:r>
              <w:rPr>
                <w:rFonts w:eastAsiaTheme="minorEastAsia"/>
                <w:color w:val="000000" w:themeColor="text1"/>
                <w:szCs w:val="21"/>
              </w:rPr>
              <w:t>1.02%</w:t>
            </w:r>
          </w:p>
        </w:tc>
        <w:tc>
          <w:tcPr>
            <w:tcW w:w="1291" w:type="dxa"/>
            <w:vAlign w:val="center"/>
          </w:tcPr>
          <w:p w:rsidR="00F502DC" w:rsidRDefault="00210B93">
            <w:pPr>
              <w:jc w:val="right"/>
            </w:pPr>
            <w:r>
              <w:rPr>
                <w:rFonts w:eastAsiaTheme="minorEastAsia"/>
                <w:color w:val="000000" w:themeColor="text1"/>
                <w:szCs w:val="21"/>
              </w:rPr>
              <w:t>-7.94%</w:t>
            </w:r>
          </w:p>
        </w:tc>
        <w:tc>
          <w:tcPr>
            <w:tcW w:w="1291" w:type="dxa"/>
            <w:vAlign w:val="center"/>
          </w:tcPr>
          <w:p w:rsidR="00F502DC" w:rsidRDefault="00210B93">
            <w:pPr>
              <w:jc w:val="right"/>
            </w:pPr>
            <w:r>
              <w:rPr>
                <w:rFonts w:eastAsiaTheme="minorEastAsia"/>
                <w:color w:val="000000" w:themeColor="text1"/>
                <w:szCs w:val="21"/>
              </w:rPr>
              <w:t>0.37%</w:t>
            </w:r>
          </w:p>
        </w:tc>
      </w:tr>
      <w:tr w:rsidR="00F502DC">
        <w:tc>
          <w:tcPr>
            <w:tcW w:w="1290" w:type="dxa"/>
            <w:vAlign w:val="center"/>
          </w:tcPr>
          <w:p w:rsidR="00F502DC" w:rsidRDefault="00210B93">
            <w:pPr>
              <w:jc w:val="left"/>
            </w:pPr>
            <w:r>
              <w:rPr>
                <w:rFonts w:eastAsiaTheme="minorEastAsia"/>
                <w:color w:val="000000" w:themeColor="text1"/>
                <w:szCs w:val="21"/>
              </w:rPr>
              <w:t>过去三年</w:t>
            </w:r>
          </w:p>
        </w:tc>
        <w:tc>
          <w:tcPr>
            <w:tcW w:w="1291" w:type="dxa"/>
            <w:vAlign w:val="center"/>
          </w:tcPr>
          <w:p w:rsidR="00F502DC" w:rsidRDefault="00210B93">
            <w:pPr>
              <w:jc w:val="right"/>
            </w:pPr>
            <w:r>
              <w:rPr>
                <w:rFonts w:eastAsiaTheme="minorEastAsia"/>
                <w:color w:val="000000" w:themeColor="text1"/>
                <w:szCs w:val="21"/>
              </w:rPr>
              <w:t>26.15%</w:t>
            </w:r>
          </w:p>
        </w:tc>
        <w:tc>
          <w:tcPr>
            <w:tcW w:w="1291" w:type="dxa"/>
            <w:vAlign w:val="center"/>
          </w:tcPr>
          <w:p w:rsidR="00F502DC" w:rsidRDefault="00210B93">
            <w:pPr>
              <w:jc w:val="right"/>
            </w:pPr>
            <w:r>
              <w:rPr>
                <w:rFonts w:eastAsiaTheme="minorEastAsia"/>
                <w:color w:val="000000" w:themeColor="text1"/>
                <w:szCs w:val="21"/>
              </w:rPr>
              <w:t>1.31%</w:t>
            </w:r>
          </w:p>
        </w:tc>
        <w:tc>
          <w:tcPr>
            <w:tcW w:w="1291" w:type="dxa"/>
            <w:vAlign w:val="center"/>
          </w:tcPr>
          <w:p w:rsidR="00F502DC" w:rsidRDefault="00210B93">
            <w:pPr>
              <w:jc w:val="right"/>
            </w:pPr>
            <w:r>
              <w:rPr>
                <w:rFonts w:eastAsiaTheme="minorEastAsia"/>
                <w:color w:val="000000" w:themeColor="text1"/>
                <w:szCs w:val="21"/>
              </w:rPr>
              <w:t>-3.93%</w:t>
            </w:r>
          </w:p>
        </w:tc>
        <w:tc>
          <w:tcPr>
            <w:tcW w:w="1291" w:type="dxa"/>
            <w:vAlign w:val="center"/>
          </w:tcPr>
          <w:p w:rsidR="00F502DC" w:rsidRDefault="00210B93">
            <w:pPr>
              <w:jc w:val="right"/>
            </w:pPr>
            <w:r>
              <w:rPr>
                <w:rFonts w:eastAsiaTheme="minorEastAsia"/>
                <w:color w:val="000000" w:themeColor="text1"/>
                <w:szCs w:val="21"/>
              </w:rPr>
              <w:t>1.04%</w:t>
            </w:r>
          </w:p>
        </w:tc>
        <w:tc>
          <w:tcPr>
            <w:tcW w:w="1291" w:type="dxa"/>
            <w:vAlign w:val="center"/>
          </w:tcPr>
          <w:p w:rsidR="00F502DC" w:rsidRDefault="00210B93">
            <w:pPr>
              <w:jc w:val="right"/>
            </w:pPr>
            <w:r>
              <w:rPr>
                <w:rFonts w:eastAsiaTheme="minorEastAsia"/>
                <w:color w:val="000000" w:themeColor="text1"/>
                <w:szCs w:val="21"/>
              </w:rPr>
              <w:t>30.08%</w:t>
            </w:r>
          </w:p>
        </w:tc>
        <w:tc>
          <w:tcPr>
            <w:tcW w:w="1291" w:type="dxa"/>
            <w:vAlign w:val="center"/>
          </w:tcPr>
          <w:p w:rsidR="00F502DC" w:rsidRDefault="00210B93">
            <w:pPr>
              <w:jc w:val="right"/>
            </w:pPr>
            <w:r>
              <w:rPr>
                <w:rFonts w:eastAsiaTheme="minorEastAsia"/>
                <w:color w:val="000000" w:themeColor="text1"/>
                <w:szCs w:val="21"/>
              </w:rPr>
              <w:t>0.27%</w:t>
            </w:r>
          </w:p>
        </w:tc>
      </w:tr>
      <w:tr w:rsidR="00F502DC">
        <w:tc>
          <w:tcPr>
            <w:tcW w:w="1290" w:type="dxa"/>
            <w:vAlign w:val="center"/>
          </w:tcPr>
          <w:p w:rsidR="00F502DC" w:rsidRDefault="00210B93">
            <w:pPr>
              <w:jc w:val="left"/>
            </w:pPr>
            <w:r>
              <w:rPr>
                <w:rFonts w:eastAsiaTheme="minorEastAsia"/>
                <w:color w:val="000000" w:themeColor="text1"/>
                <w:szCs w:val="21"/>
              </w:rPr>
              <w:lastRenderedPageBreak/>
              <w:t>过去五年</w:t>
            </w:r>
          </w:p>
        </w:tc>
        <w:tc>
          <w:tcPr>
            <w:tcW w:w="1291" w:type="dxa"/>
            <w:vAlign w:val="center"/>
          </w:tcPr>
          <w:p w:rsidR="00F502DC" w:rsidRDefault="00210B93">
            <w:pPr>
              <w:jc w:val="right"/>
            </w:pPr>
            <w:r>
              <w:rPr>
                <w:rFonts w:eastAsiaTheme="minorEastAsia"/>
                <w:color w:val="000000" w:themeColor="text1"/>
                <w:szCs w:val="21"/>
              </w:rPr>
              <w:t>13.94%</w:t>
            </w:r>
          </w:p>
        </w:tc>
        <w:tc>
          <w:tcPr>
            <w:tcW w:w="1291" w:type="dxa"/>
            <w:vAlign w:val="center"/>
          </w:tcPr>
          <w:p w:rsidR="00F502DC" w:rsidRDefault="00210B93">
            <w:pPr>
              <w:jc w:val="right"/>
            </w:pPr>
            <w:r>
              <w:rPr>
                <w:rFonts w:eastAsiaTheme="minorEastAsia"/>
                <w:color w:val="000000" w:themeColor="text1"/>
                <w:szCs w:val="21"/>
              </w:rPr>
              <w:t>1.38%</w:t>
            </w:r>
          </w:p>
        </w:tc>
        <w:tc>
          <w:tcPr>
            <w:tcW w:w="1291" w:type="dxa"/>
            <w:vAlign w:val="center"/>
          </w:tcPr>
          <w:p w:rsidR="00F502DC" w:rsidRDefault="00210B93">
            <w:pPr>
              <w:jc w:val="right"/>
            </w:pPr>
            <w:r>
              <w:rPr>
                <w:rFonts w:eastAsiaTheme="minorEastAsia"/>
                <w:color w:val="000000" w:themeColor="text1"/>
                <w:szCs w:val="21"/>
              </w:rPr>
              <w:t>-1.20%</w:t>
            </w:r>
          </w:p>
        </w:tc>
        <w:tc>
          <w:tcPr>
            <w:tcW w:w="1291" w:type="dxa"/>
            <w:vAlign w:val="center"/>
          </w:tcPr>
          <w:p w:rsidR="00F502DC" w:rsidRDefault="00210B93">
            <w:pPr>
              <w:jc w:val="right"/>
            </w:pPr>
            <w:r>
              <w:rPr>
                <w:rFonts w:eastAsiaTheme="minorEastAsia"/>
                <w:color w:val="000000" w:themeColor="text1"/>
                <w:szCs w:val="21"/>
              </w:rPr>
              <w:t>1.03%</w:t>
            </w:r>
          </w:p>
        </w:tc>
        <w:tc>
          <w:tcPr>
            <w:tcW w:w="1291" w:type="dxa"/>
            <w:vAlign w:val="center"/>
          </w:tcPr>
          <w:p w:rsidR="00F502DC" w:rsidRDefault="00210B93">
            <w:pPr>
              <w:jc w:val="right"/>
            </w:pPr>
            <w:r>
              <w:rPr>
                <w:rFonts w:eastAsiaTheme="minorEastAsia"/>
                <w:color w:val="000000" w:themeColor="text1"/>
                <w:szCs w:val="21"/>
              </w:rPr>
              <w:t>15.14%</w:t>
            </w:r>
          </w:p>
        </w:tc>
        <w:tc>
          <w:tcPr>
            <w:tcW w:w="1291" w:type="dxa"/>
            <w:vAlign w:val="center"/>
          </w:tcPr>
          <w:p w:rsidR="00F502DC" w:rsidRDefault="00210B93">
            <w:pPr>
              <w:jc w:val="right"/>
            </w:pPr>
            <w:r>
              <w:rPr>
                <w:rFonts w:eastAsiaTheme="minorEastAsia"/>
                <w:color w:val="000000" w:themeColor="text1"/>
                <w:szCs w:val="21"/>
              </w:rPr>
              <w:t>0.35%</w:t>
            </w:r>
          </w:p>
        </w:tc>
      </w:tr>
      <w:tr w:rsidR="00F502DC">
        <w:tc>
          <w:tcPr>
            <w:tcW w:w="1290" w:type="dxa"/>
            <w:vAlign w:val="center"/>
          </w:tcPr>
          <w:p w:rsidR="00F502DC" w:rsidRDefault="00210B93">
            <w:pPr>
              <w:jc w:val="left"/>
            </w:pPr>
            <w:r>
              <w:rPr>
                <w:rFonts w:eastAsiaTheme="minorEastAsia"/>
                <w:color w:val="000000" w:themeColor="text1"/>
                <w:szCs w:val="21"/>
              </w:rPr>
              <w:t>自基金合同生效起至今</w:t>
            </w:r>
          </w:p>
        </w:tc>
        <w:tc>
          <w:tcPr>
            <w:tcW w:w="1291" w:type="dxa"/>
            <w:vAlign w:val="center"/>
          </w:tcPr>
          <w:p w:rsidR="00F502DC" w:rsidRDefault="00210B93">
            <w:pPr>
              <w:jc w:val="right"/>
            </w:pPr>
            <w:r>
              <w:rPr>
                <w:rFonts w:eastAsiaTheme="minorEastAsia"/>
                <w:color w:val="000000" w:themeColor="text1"/>
                <w:szCs w:val="21"/>
              </w:rPr>
              <w:t>620.76%</w:t>
            </w:r>
          </w:p>
        </w:tc>
        <w:tc>
          <w:tcPr>
            <w:tcW w:w="1291" w:type="dxa"/>
            <w:vAlign w:val="center"/>
          </w:tcPr>
          <w:p w:rsidR="00F502DC" w:rsidRDefault="00210B93">
            <w:pPr>
              <w:jc w:val="right"/>
            </w:pPr>
            <w:r>
              <w:rPr>
                <w:rFonts w:eastAsiaTheme="minorEastAsia"/>
                <w:color w:val="000000" w:themeColor="text1"/>
                <w:szCs w:val="21"/>
              </w:rPr>
              <w:t>1.57%</w:t>
            </w:r>
          </w:p>
        </w:tc>
        <w:tc>
          <w:tcPr>
            <w:tcW w:w="1291" w:type="dxa"/>
            <w:vAlign w:val="center"/>
          </w:tcPr>
          <w:p w:rsidR="00F502DC" w:rsidRDefault="00210B93">
            <w:pPr>
              <w:jc w:val="right"/>
            </w:pPr>
            <w:r>
              <w:rPr>
                <w:rFonts w:eastAsiaTheme="minorEastAsia"/>
                <w:color w:val="000000" w:themeColor="text1"/>
                <w:szCs w:val="21"/>
              </w:rPr>
              <w:t>293.92%</w:t>
            </w:r>
          </w:p>
        </w:tc>
        <w:tc>
          <w:tcPr>
            <w:tcW w:w="1291" w:type="dxa"/>
            <w:vAlign w:val="center"/>
          </w:tcPr>
          <w:p w:rsidR="00F502DC" w:rsidRDefault="00210B93">
            <w:pPr>
              <w:jc w:val="right"/>
            </w:pPr>
            <w:r>
              <w:rPr>
                <w:rFonts w:eastAsiaTheme="minorEastAsia"/>
                <w:color w:val="000000" w:themeColor="text1"/>
                <w:szCs w:val="21"/>
              </w:rPr>
              <w:t>1.33%</w:t>
            </w:r>
          </w:p>
        </w:tc>
        <w:tc>
          <w:tcPr>
            <w:tcW w:w="1291" w:type="dxa"/>
            <w:vAlign w:val="center"/>
          </w:tcPr>
          <w:p w:rsidR="00F502DC" w:rsidRDefault="00210B93">
            <w:pPr>
              <w:jc w:val="right"/>
            </w:pPr>
            <w:r>
              <w:rPr>
                <w:rFonts w:eastAsiaTheme="minorEastAsia"/>
                <w:color w:val="000000" w:themeColor="text1"/>
                <w:szCs w:val="21"/>
              </w:rPr>
              <w:t>326.84%</w:t>
            </w:r>
          </w:p>
        </w:tc>
        <w:tc>
          <w:tcPr>
            <w:tcW w:w="1291" w:type="dxa"/>
            <w:vAlign w:val="center"/>
          </w:tcPr>
          <w:p w:rsidR="00F502DC" w:rsidRDefault="00210B93">
            <w:pPr>
              <w:jc w:val="right"/>
            </w:pPr>
            <w:r>
              <w:rPr>
                <w:rFonts w:eastAsiaTheme="minorEastAsia"/>
                <w:color w:val="000000" w:themeColor="text1"/>
                <w:szCs w:val="21"/>
              </w:rPr>
              <w:t>0.24%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上投摩根阿尔法混合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502DC">
        <w:tc>
          <w:tcPr>
            <w:tcW w:w="1290" w:type="dxa"/>
            <w:vAlign w:val="center"/>
          </w:tcPr>
          <w:p w:rsidR="00F502DC" w:rsidRDefault="00210B93">
            <w:pPr>
              <w:jc w:val="left"/>
            </w:pPr>
            <w:r>
              <w:rPr>
                <w:rFonts w:eastAsiaTheme="minorEastAsia"/>
                <w:color w:val="000000" w:themeColor="text1"/>
                <w:szCs w:val="21"/>
              </w:rPr>
              <w:t>过去三个月</w:t>
            </w:r>
          </w:p>
        </w:tc>
        <w:tc>
          <w:tcPr>
            <w:tcW w:w="1291" w:type="dxa"/>
            <w:vAlign w:val="center"/>
          </w:tcPr>
          <w:p w:rsidR="00F502DC" w:rsidRDefault="00210B93">
            <w:pPr>
              <w:jc w:val="right"/>
            </w:pPr>
            <w:r>
              <w:rPr>
                <w:rFonts w:eastAsiaTheme="minorEastAsia"/>
                <w:color w:val="000000" w:themeColor="text1"/>
                <w:szCs w:val="21"/>
              </w:rPr>
              <w:t>-0.92%</w:t>
            </w:r>
          </w:p>
        </w:tc>
        <w:tc>
          <w:tcPr>
            <w:tcW w:w="1291" w:type="dxa"/>
            <w:vAlign w:val="center"/>
          </w:tcPr>
          <w:p w:rsidR="00F502DC" w:rsidRDefault="00210B93">
            <w:pPr>
              <w:jc w:val="right"/>
            </w:pPr>
            <w:r>
              <w:rPr>
                <w:rFonts w:eastAsiaTheme="minorEastAsia"/>
                <w:color w:val="000000" w:themeColor="text1"/>
                <w:szCs w:val="21"/>
              </w:rPr>
              <w:t>1.27%</w:t>
            </w:r>
          </w:p>
        </w:tc>
        <w:tc>
          <w:tcPr>
            <w:tcW w:w="1291" w:type="dxa"/>
            <w:vAlign w:val="center"/>
          </w:tcPr>
          <w:p w:rsidR="00F502DC" w:rsidRDefault="00210B93">
            <w:pPr>
              <w:jc w:val="right"/>
            </w:pPr>
            <w:r>
              <w:rPr>
                <w:rFonts w:eastAsiaTheme="minorEastAsia"/>
                <w:color w:val="000000" w:themeColor="text1"/>
                <w:szCs w:val="21"/>
              </w:rPr>
              <w:t>1.33%</w:t>
            </w:r>
          </w:p>
        </w:tc>
        <w:tc>
          <w:tcPr>
            <w:tcW w:w="1291" w:type="dxa"/>
            <w:vAlign w:val="center"/>
          </w:tcPr>
          <w:p w:rsidR="00F502DC" w:rsidRDefault="00210B93">
            <w:pPr>
              <w:jc w:val="right"/>
            </w:pPr>
            <w:r>
              <w:rPr>
                <w:rFonts w:eastAsiaTheme="minorEastAsia"/>
                <w:color w:val="000000" w:themeColor="text1"/>
                <w:szCs w:val="21"/>
              </w:rPr>
              <w:t>1.03%</w:t>
            </w:r>
          </w:p>
        </w:tc>
        <w:tc>
          <w:tcPr>
            <w:tcW w:w="1291" w:type="dxa"/>
            <w:vAlign w:val="center"/>
          </w:tcPr>
          <w:p w:rsidR="00F502DC" w:rsidRDefault="00210B93">
            <w:pPr>
              <w:jc w:val="right"/>
            </w:pPr>
            <w:r>
              <w:rPr>
                <w:rFonts w:eastAsiaTheme="minorEastAsia"/>
                <w:color w:val="000000" w:themeColor="text1"/>
                <w:szCs w:val="21"/>
              </w:rPr>
              <w:t>-2.25%</w:t>
            </w:r>
          </w:p>
        </w:tc>
        <w:tc>
          <w:tcPr>
            <w:tcW w:w="1291" w:type="dxa"/>
            <w:vAlign w:val="center"/>
          </w:tcPr>
          <w:p w:rsidR="00F502DC" w:rsidRDefault="00210B93">
            <w:pPr>
              <w:jc w:val="right"/>
            </w:pPr>
            <w:r>
              <w:rPr>
                <w:rFonts w:eastAsiaTheme="minorEastAsia"/>
                <w:color w:val="000000" w:themeColor="text1"/>
                <w:szCs w:val="21"/>
              </w:rPr>
              <w:t>0.24%</w:t>
            </w:r>
          </w:p>
        </w:tc>
      </w:tr>
      <w:tr w:rsidR="00F502DC">
        <w:tc>
          <w:tcPr>
            <w:tcW w:w="1290" w:type="dxa"/>
            <w:vAlign w:val="center"/>
          </w:tcPr>
          <w:p w:rsidR="00F502DC" w:rsidRDefault="00210B93">
            <w:pPr>
              <w:jc w:val="left"/>
            </w:pPr>
            <w:r>
              <w:rPr>
                <w:rFonts w:eastAsiaTheme="minorEastAsia"/>
                <w:color w:val="000000" w:themeColor="text1"/>
                <w:szCs w:val="21"/>
              </w:rPr>
              <w:t>过去六个月</w:t>
            </w:r>
          </w:p>
        </w:tc>
        <w:tc>
          <w:tcPr>
            <w:tcW w:w="1291" w:type="dxa"/>
            <w:vAlign w:val="center"/>
          </w:tcPr>
          <w:p w:rsidR="00F502DC" w:rsidRDefault="00210B93">
            <w:pPr>
              <w:jc w:val="right"/>
            </w:pPr>
            <w:r>
              <w:rPr>
                <w:rFonts w:eastAsiaTheme="minorEastAsia"/>
                <w:color w:val="000000" w:themeColor="text1"/>
                <w:szCs w:val="21"/>
              </w:rPr>
              <w:t>-18.06%</w:t>
            </w:r>
          </w:p>
        </w:tc>
        <w:tc>
          <w:tcPr>
            <w:tcW w:w="1291" w:type="dxa"/>
            <w:vAlign w:val="center"/>
          </w:tcPr>
          <w:p w:rsidR="00F502DC" w:rsidRDefault="00210B93">
            <w:pPr>
              <w:jc w:val="right"/>
            </w:pPr>
            <w:r>
              <w:rPr>
                <w:rFonts w:eastAsiaTheme="minorEastAsia"/>
                <w:color w:val="000000" w:themeColor="text1"/>
                <w:szCs w:val="21"/>
              </w:rPr>
              <w:t>1.18%</w:t>
            </w:r>
          </w:p>
        </w:tc>
        <w:tc>
          <w:tcPr>
            <w:tcW w:w="1291" w:type="dxa"/>
            <w:vAlign w:val="center"/>
          </w:tcPr>
          <w:p w:rsidR="00F502DC" w:rsidRDefault="00210B93">
            <w:pPr>
              <w:jc w:val="right"/>
            </w:pPr>
            <w:r>
              <w:rPr>
                <w:rFonts w:eastAsiaTheme="minorEastAsia"/>
                <w:color w:val="000000" w:themeColor="text1"/>
                <w:szCs w:val="21"/>
              </w:rPr>
              <w:t>-10.85%</w:t>
            </w:r>
          </w:p>
        </w:tc>
        <w:tc>
          <w:tcPr>
            <w:tcW w:w="1291" w:type="dxa"/>
            <w:vAlign w:val="center"/>
          </w:tcPr>
          <w:p w:rsidR="00F502DC" w:rsidRDefault="00210B93">
            <w:pPr>
              <w:jc w:val="right"/>
            </w:pPr>
            <w:r>
              <w:rPr>
                <w:rFonts w:eastAsiaTheme="minorEastAsia"/>
                <w:color w:val="000000" w:themeColor="text1"/>
                <w:szCs w:val="21"/>
              </w:rPr>
              <w:t>0.88%</w:t>
            </w:r>
          </w:p>
        </w:tc>
        <w:tc>
          <w:tcPr>
            <w:tcW w:w="1291" w:type="dxa"/>
            <w:vAlign w:val="center"/>
          </w:tcPr>
          <w:p w:rsidR="00F502DC" w:rsidRDefault="00210B93">
            <w:pPr>
              <w:jc w:val="right"/>
            </w:pPr>
            <w:r>
              <w:rPr>
                <w:rFonts w:eastAsiaTheme="minorEastAsia"/>
                <w:color w:val="000000" w:themeColor="text1"/>
                <w:szCs w:val="21"/>
              </w:rPr>
              <w:t>-7.21%</w:t>
            </w:r>
          </w:p>
        </w:tc>
        <w:tc>
          <w:tcPr>
            <w:tcW w:w="1291" w:type="dxa"/>
            <w:vAlign w:val="center"/>
          </w:tcPr>
          <w:p w:rsidR="00F502DC" w:rsidRDefault="00210B93">
            <w:pPr>
              <w:jc w:val="right"/>
            </w:pPr>
            <w:r>
              <w:rPr>
                <w:rFonts w:eastAsiaTheme="minorEastAsia"/>
                <w:color w:val="000000" w:themeColor="text1"/>
                <w:szCs w:val="21"/>
              </w:rPr>
              <w:t>0.30%</w:t>
            </w:r>
          </w:p>
        </w:tc>
      </w:tr>
      <w:tr w:rsidR="00F502DC">
        <w:tc>
          <w:tcPr>
            <w:tcW w:w="1290" w:type="dxa"/>
            <w:vAlign w:val="center"/>
          </w:tcPr>
          <w:p w:rsidR="00F502DC" w:rsidRDefault="00210B93">
            <w:pPr>
              <w:jc w:val="left"/>
            </w:pPr>
            <w:r>
              <w:rPr>
                <w:rFonts w:eastAsiaTheme="minorEastAsia"/>
                <w:color w:val="000000" w:themeColor="text1"/>
                <w:szCs w:val="21"/>
              </w:rPr>
              <w:t>过去一年</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r>
      <w:tr w:rsidR="00F502DC">
        <w:tc>
          <w:tcPr>
            <w:tcW w:w="1290" w:type="dxa"/>
            <w:vAlign w:val="center"/>
          </w:tcPr>
          <w:p w:rsidR="00F502DC" w:rsidRDefault="00210B93">
            <w:pPr>
              <w:jc w:val="left"/>
            </w:pPr>
            <w:r>
              <w:rPr>
                <w:rFonts w:eastAsiaTheme="minorEastAsia"/>
                <w:color w:val="000000" w:themeColor="text1"/>
                <w:szCs w:val="21"/>
              </w:rPr>
              <w:t>过去三年</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r>
      <w:tr w:rsidR="00F502DC">
        <w:tc>
          <w:tcPr>
            <w:tcW w:w="1290" w:type="dxa"/>
            <w:vAlign w:val="center"/>
          </w:tcPr>
          <w:p w:rsidR="00F502DC" w:rsidRDefault="00210B93">
            <w:pPr>
              <w:jc w:val="left"/>
            </w:pPr>
            <w:r>
              <w:rPr>
                <w:rFonts w:eastAsiaTheme="minorEastAsia"/>
                <w:color w:val="000000" w:themeColor="text1"/>
                <w:szCs w:val="21"/>
              </w:rPr>
              <w:t>过去五年</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c>
          <w:tcPr>
            <w:tcW w:w="1291" w:type="dxa"/>
            <w:vAlign w:val="center"/>
          </w:tcPr>
          <w:p w:rsidR="00F502DC" w:rsidRDefault="00210B93">
            <w:pPr>
              <w:jc w:val="right"/>
            </w:pPr>
            <w:r>
              <w:rPr>
                <w:rFonts w:eastAsiaTheme="minorEastAsia"/>
                <w:color w:val="000000" w:themeColor="text1"/>
                <w:szCs w:val="21"/>
              </w:rPr>
              <w:t>-</w:t>
            </w:r>
          </w:p>
        </w:tc>
      </w:tr>
      <w:tr w:rsidR="00F502DC">
        <w:tc>
          <w:tcPr>
            <w:tcW w:w="1290" w:type="dxa"/>
            <w:vAlign w:val="center"/>
          </w:tcPr>
          <w:p w:rsidR="00F502DC" w:rsidRDefault="00210B93">
            <w:pPr>
              <w:jc w:val="left"/>
            </w:pPr>
            <w:r>
              <w:rPr>
                <w:rFonts w:eastAsiaTheme="minorEastAsia"/>
                <w:color w:val="000000" w:themeColor="text1"/>
                <w:szCs w:val="21"/>
              </w:rPr>
              <w:t>自基金合同生效起至今</w:t>
            </w:r>
          </w:p>
        </w:tc>
        <w:tc>
          <w:tcPr>
            <w:tcW w:w="1291" w:type="dxa"/>
            <w:vAlign w:val="center"/>
          </w:tcPr>
          <w:p w:rsidR="00F502DC" w:rsidRDefault="00210B93">
            <w:pPr>
              <w:jc w:val="right"/>
            </w:pPr>
            <w:r>
              <w:rPr>
                <w:rFonts w:eastAsiaTheme="minorEastAsia"/>
                <w:color w:val="000000" w:themeColor="text1"/>
                <w:szCs w:val="21"/>
              </w:rPr>
              <w:t>-4.71%</w:t>
            </w:r>
          </w:p>
        </w:tc>
        <w:tc>
          <w:tcPr>
            <w:tcW w:w="1291" w:type="dxa"/>
            <w:vAlign w:val="center"/>
          </w:tcPr>
          <w:p w:rsidR="00F502DC" w:rsidRDefault="00210B93">
            <w:pPr>
              <w:jc w:val="right"/>
            </w:pPr>
            <w:r>
              <w:rPr>
                <w:rFonts w:eastAsiaTheme="minorEastAsia"/>
                <w:color w:val="000000" w:themeColor="text1"/>
                <w:szCs w:val="21"/>
              </w:rPr>
              <w:t>1.25%</w:t>
            </w:r>
          </w:p>
        </w:tc>
        <w:tc>
          <w:tcPr>
            <w:tcW w:w="1291" w:type="dxa"/>
            <w:vAlign w:val="center"/>
          </w:tcPr>
          <w:p w:rsidR="00F502DC" w:rsidRDefault="00210B93">
            <w:pPr>
              <w:jc w:val="right"/>
            </w:pPr>
            <w:r>
              <w:rPr>
                <w:rFonts w:eastAsiaTheme="minorEastAsia"/>
                <w:color w:val="000000" w:themeColor="text1"/>
                <w:szCs w:val="21"/>
              </w:rPr>
              <w:t>-0.94%</w:t>
            </w:r>
          </w:p>
        </w:tc>
        <w:tc>
          <w:tcPr>
            <w:tcW w:w="1291" w:type="dxa"/>
            <w:vAlign w:val="center"/>
          </w:tcPr>
          <w:p w:rsidR="00F502DC" w:rsidRDefault="00210B93">
            <w:pPr>
              <w:jc w:val="right"/>
            </w:pPr>
            <w:r>
              <w:rPr>
                <w:rFonts w:eastAsiaTheme="minorEastAsia"/>
                <w:color w:val="000000" w:themeColor="text1"/>
                <w:szCs w:val="21"/>
              </w:rPr>
              <w:t>0.89%</w:t>
            </w:r>
          </w:p>
        </w:tc>
        <w:tc>
          <w:tcPr>
            <w:tcW w:w="1291" w:type="dxa"/>
            <w:vAlign w:val="center"/>
          </w:tcPr>
          <w:p w:rsidR="00F502DC" w:rsidRDefault="00210B93">
            <w:pPr>
              <w:jc w:val="right"/>
            </w:pPr>
            <w:r>
              <w:rPr>
                <w:rFonts w:eastAsiaTheme="minorEastAsia"/>
                <w:color w:val="000000" w:themeColor="text1"/>
                <w:szCs w:val="21"/>
              </w:rPr>
              <w:t>-3.77%</w:t>
            </w:r>
          </w:p>
        </w:tc>
        <w:tc>
          <w:tcPr>
            <w:tcW w:w="1291" w:type="dxa"/>
            <w:vAlign w:val="center"/>
          </w:tcPr>
          <w:p w:rsidR="00F502DC" w:rsidRDefault="00210B93">
            <w:pPr>
              <w:jc w:val="right"/>
            </w:pPr>
            <w:r>
              <w:rPr>
                <w:rFonts w:eastAsiaTheme="minorEastAsia"/>
                <w:color w:val="000000" w:themeColor="text1"/>
                <w:szCs w:val="21"/>
              </w:rPr>
              <w:t>0.36%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上投摩根阿尔法混合型证券投资基金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10</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．上投摩根阿尔法混合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w:t>
      </w:r>
      <w:r w:rsidRPr="00B27A29">
        <w:rPr>
          <w:rFonts w:eastAsiaTheme="minorEastAsia"/>
          <w:color w:val="000000" w:themeColor="text1"/>
          <w:szCs w:val="21"/>
        </w:rPr>
        <w:t>全指</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．上投摩根阿尔法混合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w:t>
      </w:r>
      <w:r>
        <w:rPr>
          <w:rFonts w:eastAsiaTheme="minorEastAsia"/>
          <w:color w:val="000000" w:themeColor="text1"/>
          <w:szCs w:val="21"/>
        </w:rPr>
        <w:t>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w:t>
      </w:r>
      <w:r w:rsidRPr="00B27A29">
        <w:rPr>
          <w:rFonts w:eastAsiaTheme="minorEastAsia"/>
          <w:color w:val="000000" w:themeColor="text1"/>
          <w:szCs w:val="21"/>
        </w:rPr>
        <w:t>全指</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502DC">
        <w:tc>
          <w:tcPr>
            <w:tcW w:w="952" w:type="dxa"/>
            <w:vAlign w:val="center"/>
          </w:tcPr>
          <w:p w:rsidR="00F502DC" w:rsidRDefault="00210B93">
            <w:pPr>
              <w:jc w:val="center"/>
            </w:pPr>
            <w:r>
              <w:rPr>
                <w:rFonts w:eastAsiaTheme="minorEastAsia"/>
                <w:color w:val="000000" w:themeColor="text1"/>
                <w:szCs w:val="21"/>
              </w:rPr>
              <w:t>李博</w:t>
            </w:r>
          </w:p>
        </w:tc>
        <w:tc>
          <w:tcPr>
            <w:tcW w:w="930" w:type="dxa"/>
            <w:vAlign w:val="center"/>
          </w:tcPr>
          <w:p w:rsidR="00F502DC" w:rsidRDefault="00210B93">
            <w:pPr>
              <w:jc w:val="center"/>
            </w:pPr>
            <w:r>
              <w:rPr>
                <w:rFonts w:eastAsiaTheme="minorEastAsia"/>
                <w:color w:val="000000" w:themeColor="text1"/>
                <w:szCs w:val="21"/>
              </w:rPr>
              <w:t>本基金基金经理</w:t>
            </w:r>
          </w:p>
        </w:tc>
        <w:tc>
          <w:tcPr>
            <w:tcW w:w="1210" w:type="dxa"/>
            <w:vAlign w:val="center"/>
          </w:tcPr>
          <w:p w:rsidR="00F502DC" w:rsidRDefault="00210B93">
            <w:pPr>
              <w:jc w:val="center"/>
            </w:pPr>
            <w:r>
              <w:rPr>
                <w:rFonts w:eastAsiaTheme="minorEastAsia"/>
                <w:color w:val="000000" w:themeColor="text1"/>
                <w:szCs w:val="21"/>
              </w:rPr>
              <w:t>2015-09-18</w:t>
            </w:r>
          </w:p>
        </w:tc>
        <w:tc>
          <w:tcPr>
            <w:tcW w:w="1309" w:type="dxa"/>
            <w:vAlign w:val="center"/>
          </w:tcPr>
          <w:p w:rsidR="00F502DC" w:rsidRDefault="00210B93">
            <w:pPr>
              <w:jc w:val="center"/>
            </w:pPr>
            <w:r>
              <w:rPr>
                <w:rFonts w:eastAsiaTheme="minorEastAsia"/>
                <w:color w:val="000000" w:themeColor="text1"/>
                <w:szCs w:val="21"/>
              </w:rPr>
              <w:t>-</w:t>
            </w:r>
          </w:p>
        </w:tc>
        <w:tc>
          <w:tcPr>
            <w:tcW w:w="1254" w:type="dxa"/>
            <w:vAlign w:val="center"/>
          </w:tcPr>
          <w:p w:rsidR="00F502DC" w:rsidRDefault="00210B93">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F502DC" w:rsidRDefault="00210B93">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w:t>
            </w:r>
            <w:r>
              <w:rPr>
                <w:rFonts w:eastAsiaTheme="minorEastAsia"/>
                <w:color w:val="000000" w:themeColor="text1"/>
                <w:szCs w:val="21"/>
              </w:rPr>
              <w:t>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月起同时担任上投摩根行业睿选股票型证券投资基金基金经理。</w:t>
            </w:r>
          </w:p>
        </w:tc>
      </w:tr>
    </w:tbl>
    <w:p w:rsidR="00F502DC" w:rsidRDefault="00210B9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阿尔法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w:t>
      </w:r>
      <w:r>
        <w:rPr>
          <w:rFonts w:eastAsiaTheme="minorEastAsia"/>
          <w:color w:val="000000" w:themeColor="text1"/>
          <w:szCs w:val="2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w:t>
      </w:r>
      <w:r>
        <w:rPr>
          <w:rFonts w:eastAsiaTheme="minorEastAsia"/>
          <w:color w:val="000000" w:themeColor="text1"/>
          <w:szCs w:val="21"/>
        </w:rPr>
        <w:t>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四季度，市场小幅上涨，沪深</w:t>
      </w:r>
      <w:r>
        <w:rPr>
          <w:rFonts w:eastAsiaTheme="minorEastAsia"/>
          <w:color w:val="000000" w:themeColor="text1"/>
          <w:szCs w:val="21"/>
        </w:rPr>
        <w:t>300</w:t>
      </w:r>
      <w:r>
        <w:rPr>
          <w:rFonts w:eastAsiaTheme="minorEastAsia"/>
          <w:color w:val="000000" w:themeColor="text1"/>
          <w:szCs w:val="21"/>
        </w:rPr>
        <w:t>上涨</w:t>
      </w:r>
      <w:r>
        <w:rPr>
          <w:rFonts w:eastAsiaTheme="minorEastAsia"/>
          <w:color w:val="000000" w:themeColor="text1"/>
          <w:szCs w:val="21"/>
        </w:rPr>
        <w:t>1.75%</w:t>
      </w:r>
      <w:r>
        <w:rPr>
          <w:rFonts w:eastAsiaTheme="minorEastAsia"/>
          <w:color w:val="000000" w:themeColor="text1"/>
          <w:szCs w:val="21"/>
        </w:rPr>
        <w:t>，创业板上涨</w:t>
      </w:r>
      <w:r>
        <w:rPr>
          <w:rFonts w:eastAsiaTheme="minorEastAsia"/>
          <w:color w:val="000000" w:themeColor="text1"/>
          <w:szCs w:val="21"/>
        </w:rPr>
        <w:t>2.53%</w:t>
      </w:r>
      <w:r>
        <w:rPr>
          <w:rFonts w:eastAsiaTheme="minorEastAsia"/>
          <w:color w:val="000000" w:themeColor="text1"/>
          <w:szCs w:val="21"/>
        </w:rPr>
        <w:t>。板块方面，以申万行业分类统计来看，社会服务、计算机、传媒、综合、医药生物表现相对靠前，房地产、有色金属、电力设备、石油石化、煤炭表现相对落后。经济增速出现一定幅度回落，如</w:t>
      </w:r>
      <w:r>
        <w:rPr>
          <w:rFonts w:eastAsiaTheme="minorEastAsia"/>
          <w:color w:val="000000" w:themeColor="text1"/>
          <w:szCs w:val="21"/>
        </w:rPr>
        <w:t>10</w:t>
      </w:r>
      <w:r>
        <w:rPr>
          <w:rFonts w:eastAsiaTheme="minorEastAsia"/>
          <w:color w:val="000000" w:themeColor="text1"/>
          <w:szCs w:val="21"/>
        </w:rPr>
        <w:t>、</w:t>
      </w:r>
      <w:r>
        <w:rPr>
          <w:rFonts w:eastAsiaTheme="minorEastAsia"/>
          <w:color w:val="000000" w:themeColor="text1"/>
          <w:szCs w:val="21"/>
        </w:rPr>
        <w:t>11</w:t>
      </w:r>
      <w:r>
        <w:rPr>
          <w:rFonts w:eastAsiaTheme="minorEastAsia"/>
          <w:color w:val="000000" w:themeColor="text1"/>
          <w:szCs w:val="21"/>
        </w:rPr>
        <w:t>月我国规模以上工业增加值分别同比增长</w:t>
      </w:r>
      <w:r>
        <w:rPr>
          <w:rFonts w:eastAsiaTheme="minorEastAsia"/>
          <w:color w:val="000000" w:themeColor="text1"/>
          <w:szCs w:val="21"/>
        </w:rPr>
        <w:t>5.0%</w:t>
      </w:r>
      <w:r>
        <w:rPr>
          <w:rFonts w:eastAsiaTheme="minorEastAsia"/>
          <w:color w:val="000000" w:themeColor="text1"/>
          <w:szCs w:val="21"/>
        </w:rPr>
        <w:t>、</w:t>
      </w:r>
      <w:r>
        <w:rPr>
          <w:rFonts w:eastAsiaTheme="minorEastAsia"/>
          <w:color w:val="000000" w:themeColor="text1"/>
          <w:szCs w:val="21"/>
        </w:rPr>
        <w:t>2.2%</w:t>
      </w:r>
      <w:r>
        <w:rPr>
          <w:rFonts w:eastAsiaTheme="minorEastAsia"/>
          <w:color w:val="000000" w:themeColor="text1"/>
          <w:szCs w:val="21"/>
        </w:rPr>
        <w:t>，社会消费品零售总额分别同比下降</w:t>
      </w:r>
      <w:r>
        <w:rPr>
          <w:rFonts w:eastAsiaTheme="minorEastAsia"/>
          <w:color w:val="000000" w:themeColor="text1"/>
          <w:szCs w:val="21"/>
        </w:rPr>
        <w:t>0.5%</w:t>
      </w:r>
      <w:r>
        <w:rPr>
          <w:rFonts w:eastAsiaTheme="minorEastAsia"/>
          <w:color w:val="000000" w:themeColor="text1"/>
          <w:szCs w:val="21"/>
        </w:rPr>
        <w:t>、</w:t>
      </w:r>
      <w:r>
        <w:rPr>
          <w:rFonts w:eastAsiaTheme="minorEastAsia"/>
          <w:color w:val="000000" w:themeColor="text1"/>
          <w:szCs w:val="21"/>
        </w:rPr>
        <w:t>5.9%</w:t>
      </w:r>
      <w:r>
        <w:rPr>
          <w:rFonts w:eastAsiaTheme="minorEastAsia"/>
          <w:color w:val="000000" w:themeColor="text1"/>
          <w:szCs w:val="21"/>
        </w:rPr>
        <w:t>，我们预计未来随着政策落地经济有望修复。本基金重点配置了估值和成长相匹配的个股，此外，本季度还减持了部分前期超额收益较多个股，增持了部分市场关注度不高的成长股</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进入</w:t>
      </w:r>
      <w:r w:rsidRPr="00B27A29">
        <w:rPr>
          <w:rFonts w:eastAsiaTheme="minorEastAsia"/>
          <w:color w:val="000000" w:themeColor="text1"/>
          <w:szCs w:val="21"/>
        </w:rPr>
        <w:t>2023</w:t>
      </w:r>
      <w:r w:rsidRPr="00B27A29">
        <w:rPr>
          <w:rFonts w:eastAsiaTheme="minorEastAsia"/>
          <w:color w:val="000000" w:themeColor="text1"/>
          <w:szCs w:val="21"/>
        </w:rPr>
        <w:t>年，我们判断市场机会将大于风险，</w:t>
      </w:r>
      <w:r w:rsidRPr="00B27A29">
        <w:rPr>
          <w:rFonts w:eastAsiaTheme="minorEastAsia"/>
          <w:color w:val="000000" w:themeColor="text1"/>
          <w:szCs w:val="21"/>
        </w:rPr>
        <w:t>A</w:t>
      </w:r>
      <w:r w:rsidRPr="00B27A29">
        <w:rPr>
          <w:rFonts w:eastAsiaTheme="minorEastAsia"/>
          <w:color w:val="000000" w:themeColor="text1"/>
          <w:szCs w:val="21"/>
        </w:rPr>
        <w:t>股有望呈现结构性的投资机会。市场经历了</w:t>
      </w:r>
      <w:r w:rsidRPr="00B27A29">
        <w:rPr>
          <w:rFonts w:eastAsiaTheme="minorEastAsia"/>
          <w:color w:val="000000" w:themeColor="text1"/>
          <w:szCs w:val="21"/>
        </w:rPr>
        <w:t>2022</w:t>
      </w:r>
      <w:r w:rsidRPr="00B27A29">
        <w:rPr>
          <w:rFonts w:eastAsiaTheme="minorEastAsia"/>
          <w:color w:val="000000" w:themeColor="text1"/>
          <w:szCs w:val="21"/>
        </w:rPr>
        <w:t>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本报告期上投摩根阿尔法混合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:-0.78%</w:t>
      </w:r>
      <w:r>
        <w:rPr>
          <w:rFonts w:eastAsiaTheme="minorEastAsia"/>
          <w:color w:val="000000" w:themeColor="text1"/>
          <w:szCs w:val="21"/>
        </w:rPr>
        <w:t>，同期业绩比较基准收益</w:t>
      </w:r>
      <w:r>
        <w:rPr>
          <w:rFonts w:eastAsiaTheme="minorEastAsia"/>
          <w:color w:val="000000" w:themeColor="text1"/>
          <w:szCs w:val="21"/>
        </w:rPr>
        <w:t>率为</w:t>
      </w:r>
      <w:r>
        <w:rPr>
          <w:rFonts w:eastAsiaTheme="minorEastAsia"/>
          <w:color w:val="000000" w:themeColor="text1"/>
          <w:szCs w:val="21"/>
        </w:rPr>
        <w:t>:1.33%,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:-0.92%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:1.33%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814,254,697.57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83.96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814,254,697.57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83.96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155,215,869.97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299,419.24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969,769,986.78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4,879,875.00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8,079,180.00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768,024,535.32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79.41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219,246.58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10,014,672.00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7,622,530.49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11,122,691.38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4,291,966.80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814,254,697.57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84.19</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502DC">
        <w:tc>
          <w:tcPr>
            <w:tcW w:w="817" w:type="dxa"/>
            <w:vAlign w:val="center"/>
          </w:tcPr>
          <w:p w:rsidR="00F502DC" w:rsidRDefault="00210B93">
            <w:pPr>
              <w:jc w:val="center"/>
            </w:pPr>
            <w:r>
              <w:rPr>
                <w:rFonts w:eastAsiaTheme="minorEastAsia"/>
                <w:kern w:val="0"/>
                <w:szCs w:val="21"/>
              </w:rPr>
              <w:t>1</w:t>
            </w:r>
          </w:p>
        </w:tc>
        <w:tc>
          <w:tcPr>
            <w:tcW w:w="1276" w:type="dxa"/>
            <w:vAlign w:val="center"/>
          </w:tcPr>
          <w:p w:rsidR="00F502DC" w:rsidRDefault="00210B93">
            <w:pPr>
              <w:jc w:val="center"/>
            </w:pPr>
            <w:r>
              <w:rPr>
                <w:rFonts w:eastAsiaTheme="minorEastAsia"/>
                <w:kern w:val="0"/>
                <w:szCs w:val="21"/>
              </w:rPr>
              <w:t>002475</w:t>
            </w:r>
          </w:p>
        </w:tc>
        <w:tc>
          <w:tcPr>
            <w:tcW w:w="1701" w:type="dxa"/>
            <w:vAlign w:val="center"/>
          </w:tcPr>
          <w:p w:rsidR="00F502DC" w:rsidRDefault="00210B93">
            <w:pPr>
              <w:jc w:val="center"/>
            </w:pPr>
            <w:r>
              <w:rPr>
                <w:rFonts w:eastAsiaTheme="minorEastAsia"/>
                <w:kern w:val="0"/>
                <w:szCs w:val="21"/>
              </w:rPr>
              <w:t>立讯精密</w:t>
            </w:r>
          </w:p>
        </w:tc>
        <w:tc>
          <w:tcPr>
            <w:tcW w:w="1276" w:type="dxa"/>
            <w:vAlign w:val="center"/>
          </w:tcPr>
          <w:p w:rsidR="00F502DC" w:rsidRDefault="00210B93">
            <w:pPr>
              <w:jc w:val="right"/>
            </w:pPr>
            <w:r>
              <w:rPr>
                <w:rFonts w:eastAsiaTheme="minorEastAsia"/>
                <w:kern w:val="0"/>
                <w:szCs w:val="21"/>
              </w:rPr>
              <w:t>2,988,769</w:t>
            </w:r>
          </w:p>
        </w:tc>
        <w:tc>
          <w:tcPr>
            <w:tcW w:w="1842" w:type="dxa"/>
            <w:vAlign w:val="center"/>
          </w:tcPr>
          <w:p w:rsidR="00F502DC" w:rsidRDefault="00210B93">
            <w:pPr>
              <w:jc w:val="right"/>
            </w:pPr>
            <w:r>
              <w:rPr>
                <w:rFonts w:eastAsiaTheme="minorEastAsia"/>
                <w:kern w:val="0"/>
                <w:szCs w:val="21"/>
              </w:rPr>
              <w:t>94,893,415.75</w:t>
            </w:r>
          </w:p>
        </w:tc>
        <w:tc>
          <w:tcPr>
            <w:tcW w:w="1616" w:type="dxa"/>
            <w:vAlign w:val="center"/>
          </w:tcPr>
          <w:p w:rsidR="00F502DC" w:rsidRDefault="00210B93">
            <w:pPr>
              <w:jc w:val="right"/>
            </w:pPr>
            <w:r>
              <w:rPr>
                <w:rFonts w:eastAsiaTheme="minorEastAsia"/>
                <w:kern w:val="0"/>
                <w:szCs w:val="21"/>
              </w:rPr>
              <w:t>9.81</w:t>
            </w:r>
          </w:p>
        </w:tc>
      </w:tr>
      <w:tr w:rsidR="00F502DC">
        <w:tc>
          <w:tcPr>
            <w:tcW w:w="817" w:type="dxa"/>
            <w:vAlign w:val="center"/>
          </w:tcPr>
          <w:p w:rsidR="00F502DC" w:rsidRDefault="00210B93">
            <w:pPr>
              <w:jc w:val="center"/>
            </w:pPr>
            <w:r>
              <w:rPr>
                <w:rFonts w:eastAsiaTheme="minorEastAsia"/>
                <w:kern w:val="0"/>
                <w:szCs w:val="21"/>
              </w:rPr>
              <w:t>2</w:t>
            </w:r>
          </w:p>
        </w:tc>
        <w:tc>
          <w:tcPr>
            <w:tcW w:w="1276" w:type="dxa"/>
            <w:vAlign w:val="center"/>
          </w:tcPr>
          <w:p w:rsidR="00F502DC" w:rsidRDefault="00210B93">
            <w:pPr>
              <w:jc w:val="center"/>
            </w:pPr>
            <w:r>
              <w:rPr>
                <w:rFonts w:eastAsiaTheme="minorEastAsia"/>
                <w:kern w:val="0"/>
                <w:szCs w:val="21"/>
              </w:rPr>
              <w:t>002572</w:t>
            </w:r>
          </w:p>
        </w:tc>
        <w:tc>
          <w:tcPr>
            <w:tcW w:w="1701" w:type="dxa"/>
            <w:vAlign w:val="center"/>
          </w:tcPr>
          <w:p w:rsidR="00F502DC" w:rsidRDefault="00210B93">
            <w:pPr>
              <w:jc w:val="center"/>
            </w:pPr>
            <w:r>
              <w:rPr>
                <w:rFonts w:eastAsiaTheme="minorEastAsia"/>
                <w:kern w:val="0"/>
                <w:szCs w:val="21"/>
              </w:rPr>
              <w:t>索菲亚</w:t>
            </w:r>
          </w:p>
        </w:tc>
        <w:tc>
          <w:tcPr>
            <w:tcW w:w="1276" w:type="dxa"/>
            <w:vAlign w:val="center"/>
          </w:tcPr>
          <w:p w:rsidR="00F502DC" w:rsidRDefault="00210B93">
            <w:pPr>
              <w:jc w:val="right"/>
            </w:pPr>
            <w:r>
              <w:rPr>
                <w:rFonts w:eastAsiaTheme="minorEastAsia"/>
                <w:kern w:val="0"/>
                <w:szCs w:val="21"/>
              </w:rPr>
              <w:t>3,267,500</w:t>
            </w:r>
          </w:p>
        </w:tc>
        <w:tc>
          <w:tcPr>
            <w:tcW w:w="1842" w:type="dxa"/>
            <w:vAlign w:val="center"/>
          </w:tcPr>
          <w:p w:rsidR="00F502DC" w:rsidRDefault="00210B93">
            <w:pPr>
              <w:jc w:val="right"/>
            </w:pPr>
            <w:r>
              <w:rPr>
                <w:rFonts w:eastAsiaTheme="minorEastAsia"/>
                <w:kern w:val="0"/>
                <w:szCs w:val="21"/>
              </w:rPr>
              <w:t>59,337,800.00</w:t>
            </w:r>
          </w:p>
        </w:tc>
        <w:tc>
          <w:tcPr>
            <w:tcW w:w="1616" w:type="dxa"/>
            <w:vAlign w:val="center"/>
          </w:tcPr>
          <w:p w:rsidR="00F502DC" w:rsidRDefault="00210B93">
            <w:pPr>
              <w:jc w:val="right"/>
            </w:pPr>
            <w:r>
              <w:rPr>
                <w:rFonts w:eastAsiaTheme="minorEastAsia"/>
                <w:kern w:val="0"/>
                <w:szCs w:val="21"/>
              </w:rPr>
              <w:t>6.14</w:t>
            </w:r>
          </w:p>
        </w:tc>
      </w:tr>
      <w:tr w:rsidR="00F502DC">
        <w:tc>
          <w:tcPr>
            <w:tcW w:w="817" w:type="dxa"/>
            <w:vAlign w:val="center"/>
          </w:tcPr>
          <w:p w:rsidR="00F502DC" w:rsidRDefault="00210B93">
            <w:pPr>
              <w:jc w:val="center"/>
            </w:pPr>
            <w:r>
              <w:rPr>
                <w:rFonts w:eastAsiaTheme="minorEastAsia"/>
                <w:kern w:val="0"/>
                <w:szCs w:val="21"/>
              </w:rPr>
              <w:t>3</w:t>
            </w:r>
          </w:p>
        </w:tc>
        <w:tc>
          <w:tcPr>
            <w:tcW w:w="1276" w:type="dxa"/>
            <w:vAlign w:val="center"/>
          </w:tcPr>
          <w:p w:rsidR="00F502DC" w:rsidRDefault="00210B93">
            <w:pPr>
              <w:jc w:val="center"/>
            </w:pPr>
            <w:r>
              <w:rPr>
                <w:rFonts w:eastAsiaTheme="minorEastAsia"/>
                <w:kern w:val="0"/>
                <w:szCs w:val="21"/>
              </w:rPr>
              <w:t>002236</w:t>
            </w:r>
          </w:p>
        </w:tc>
        <w:tc>
          <w:tcPr>
            <w:tcW w:w="1701" w:type="dxa"/>
            <w:vAlign w:val="center"/>
          </w:tcPr>
          <w:p w:rsidR="00F502DC" w:rsidRDefault="00210B93">
            <w:pPr>
              <w:jc w:val="center"/>
            </w:pPr>
            <w:r>
              <w:rPr>
                <w:rFonts w:eastAsiaTheme="minorEastAsia"/>
                <w:kern w:val="0"/>
                <w:szCs w:val="21"/>
              </w:rPr>
              <w:t>大华股份</w:t>
            </w:r>
          </w:p>
        </w:tc>
        <w:tc>
          <w:tcPr>
            <w:tcW w:w="1276" w:type="dxa"/>
            <w:vAlign w:val="center"/>
          </w:tcPr>
          <w:p w:rsidR="00F502DC" w:rsidRDefault="00210B93">
            <w:pPr>
              <w:jc w:val="right"/>
            </w:pPr>
            <w:r>
              <w:rPr>
                <w:rFonts w:eastAsiaTheme="minorEastAsia"/>
                <w:kern w:val="0"/>
                <w:szCs w:val="21"/>
              </w:rPr>
              <w:t>4,912,578</w:t>
            </w:r>
          </w:p>
        </w:tc>
        <w:tc>
          <w:tcPr>
            <w:tcW w:w="1842" w:type="dxa"/>
            <w:vAlign w:val="center"/>
          </w:tcPr>
          <w:p w:rsidR="00F502DC" w:rsidRDefault="00210B93">
            <w:pPr>
              <w:jc w:val="right"/>
            </w:pPr>
            <w:r>
              <w:rPr>
                <w:rFonts w:eastAsiaTheme="minorEastAsia"/>
                <w:kern w:val="0"/>
                <w:szCs w:val="21"/>
              </w:rPr>
              <w:t>55,561,257.18</w:t>
            </w:r>
          </w:p>
        </w:tc>
        <w:tc>
          <w:tcPr>
            <w:tcW w:w="1616" w:type="dxa"/>
            <w:vAlign w:val="center"/>
          </w:tcPr>
          <w:p w:rsidR="00F502DC" w:rsidRDefault="00210B93">
            <w:pPr>
              <w:jc w:val="right"/>
            </w:pPr>
            <w:r>
              <w:rPr>
                <w:rFonts w:eastAsiaTheme="minorEastAsia"/>
                <w:kern w:val="0"/>
                <w:szCs w:val="21"/>
              </w:rPr>
              <w:t>5.74</w:t>
            </w:r>
          </w:p>
        </w:tc>
      </w:tr>
      <w:tr w:rsidR="00F502DC">
        <w:tc>
          <w:tcPr>
            <w:tcW w:w="817" w:type="dxa"/>
            <w:vAlign w:val="center"/>
          </w:tcPr>
          <w:p w:rsidR="00F502DC" w:rsidRDefault="00210B93">
            <w:pPr>
              <w:jc w:val="center"/>
            </w:pPr>
            <w:r>
              <w:rPr>
                <w:rFonts w:eastAsiaTheme="minorEastAsia"/>
                <w:kern w:val="0"/>
                <w:szCs w:val="21"/>
              </w:rPr>
              <w:t>4</w:t>
            </w:r>
          </w:p>
        </w:tc>
        <w:tc>
          <w:tcPr>
            <w:tcW w:w="1276" w:type="dxa"/>
            <w:vAlign w:val="center"/>
          </w:tcPr>
          <w:p w:rsidR="00F502DC" w:rsidRDefault="00210B93">
            <w:pPr>
              <w:jc w:val="center"/>
            </w:pPr>
            <w:r>
              <w:rPr>
                <w:rFonts w:eastAsiaTheme="minorEastAsia"/>
                <w:kern w:val="0"/>
                <w:szCs w:val="21"/>
              </w:rPr>
              <w:t>688599</w:t>
            </w:r>
          </w:p>
        </w:tc>
        <w:tc>
          <w:tcPr>
            <w:tcW w:w="1701" w:type="dxa"/>
            <w:vAlign w:val="center"/>
          </w:tcPr>
          <w:p w:rsidR="00F502DC" w:rsidRDefault="00210B93">
            <w:pPr>
              <w:jc w:val="center"/>
            </w:pPr>
            <w:r>
              <w:rPr>
                <w:rFonts w:eastAsiaTheme="minorEastAsia"/>
                <w:kern w:val="0"/>
                <w:szCs w:val="21"/>
              </w:rPr>
              <w:t>天合光能</w:t>
            </w:r>
          </w:p>
        </w:tc>
        <w:tc>
          <w:tcPr>
            <w:tcW w:w="1276" w:type="dxa"/>
            <w:vAlign w:val="center"/>
          </w:tcPr>
          <w:p w:rsidR="00F502DC" w:rsidRDefault="00210B93">
            <w:pPr>
              <w:jc w:val="right"/>
            </w:pPr>
            <w:r>
              <w:rPr>
                <w:rFonts w:eastAsiaTheme="minorEastAsia"/>
                <w:kern w:val="0"/>
                <w:szCs w:val="21"/>
              </w:rPr>
              <w:t>720,713</w:t>
            </w:r>
          </w:p>
        </w:tc>
        <w:tc>
          <w:tcPr>
            <w:tcW w:w="1842" w:type="dxa"/>
            <w:vAlign w:val="center"/>
          </w:tcPr>
          <w:p w:rsidR="00F502DC" w:rsidRDefault="00210B93">
            <w:pPr>
              <w:jc w:val="right"/>
            </w:pPr>
            <w:r>
              <w:rPr>
                <w:rFonts w:eastAsiaTheme="minorEastAsia"/>
                <w:kern w:val="0"/>
                <w:szCs w:val="21"/>
              </w:rPr>
              <w:t>45,952,660.88</w:t>
            </w:r>
          </w:p>
        </w:tc>
        <w:tc>
          <w:tcPr>
            <w:tcW w:w="1616" w:type="dxa"/>
            <w:vAlign w:val="center"/>
          </w:tcPr>
          <w:p w:rsidR="00F502DC" w:rsidRDefault="00210B93">
            <w:pPr>
              <w:jc w:val="right"/>
            </w:pPr>
            <w:r>
              <w:rPr>
                <w:rFonts w:eastAsiaTheme="minorEastAsia"/>
                <w:kern w:val="0"/>
                <w:szCs w:val="21"/>
              </w:rPr>
              <w:t>4.75</w:t>
            </w:r>
          </w:p>
        </w:tc>
      </w:tr>
      <w:tr w:rsidR="00F502DC">
        <w:tc>
          <w:tcPr>
            <w:tcW w:w="817" w:type="dxa"/>
            <w:vAlign w:val="center"/>
          </w:tcPr>
          <w:p w:rsidR="00F502DC" w:rsidRDefault="00210B93">
            <w:pPr>
              <w:jc w:val="center"/>
            </w:pPr>
            <w:r>
              <w:rPr>
                <w:rFonts w:eastAsiaTheme="minorEastAsia"/>
                <w:kern w:val="0"/>
                <w:szCs w:val="21"/>
              </w:rPr>
              <w:t>5</w:t>
            </w:r>
          </w:p>
        </w:tc>
        <w:tc>
          <w:tcPr>
            <w:tcW w:w="1276" w:type="dxa"/>
            <w:vAlign w:val="center"/>
          </w:tcPr>
          <w:p w:rsidR="00F502DC" w:rsidRDefault="00210B93">
            <w:pPr>
              <w:jc w:val="center"/>
            </w:pPr>
            <w:r>
              <w:rPr>
                <w:rFonts w:eastAsiaTheme="minorEastAsia"/>
                <w:kern w:val="0"/>
                <w:szCs w:val="21"/>
              </w:rPr>
              <w:t>300014</w:t>
            </w:r>
          </w:p>
        </w:tc>
        <w:tc>
          <w:tcPr>
            <w:tcW w:w="1701" w:type="dxa"/>
            <w:vAlign w:val="center"/>
          </w:tcPr>
          <w:p w:rsidR="00F502DC" w:rsidRDefault="00210B93">
            <w:pPr>
              <w:jc w:val="center"/>
            </w:pPr>
            <w:r>
              <w:rPr>
                <w:rFonts w:eastAsiaTheme="minorEastAsia"/>
                <w:kern w:val="0"/>
                <w:szCs w:val="21"/>
              </w:rPr>
              <w:t>亿纬锂能</w:t>
            </w:r>
          </w:p>
        </w:tc>
        <w:tc>
          <w:tcPr>
            <w:tcW w:w="1276" w:type="dxa"/>
            <w:vAlign w:val="center"/>
          </w:tcPr>
          <w:p w:rsidR="00F502DC" w:rsidRDefault="00210B93">
            <w:pPr>
              <w:jc w:val="right"/>
            </w:pPr>
            <w:r>
              <w:rPr>
                <w:rFonts w:eastAsiaTheme="minorEastAsia"/>
                <w:kern w:val="0"/>
                <w:szCs w:val="21"/>
              </w:rPr>
              <w:t>340,341</w:t>
            </w:r>
          </w:p>
        </w:tc>
        <w:tc>
          <w:tcPr>
            <w:tcW w:w="1842" w:type="dxa"/>
            <w:vAlign w:val="center"/>
          </w:tcPr>
          <w:p w:rsidR="00F502DC" w:rsidRDefault="00210B93">
            <w:pPr>
              <w:jc w:val="right"/>
            </w:pPr>
            <w:r>
              <w:rPr>
                <w:rFonts w:eastAsiaTheme="minorEastAsia"/>
                <w:kern w:val="0"/>
                <w:szCs w:val="21"/>
              </w:rPr>
              <w:t>29,915,973.90</w:t>
            </w:r>
          </w:p>
        </w:tc>
        <w:tc>
          <w:tcPr>
            <w:tcW w:w="1616" w:type="dxa"/>
            <w:vAlign w:val="center"/>
          </w:tcPr>
          <w:p w:rsidR="00F502DC" w:rsidRDefault="00210B93">
            <w:pPr>
              <w:jc w:val="right"/>
            </w:pPr>
            <w:r>
              <w:rPr>
                <w:rFonts w:eastAsiaTheme="minorEastAsia"/>
                <w:kern w:val="0"/>
                <w:szCs w:val="21"/>
              </w:rPr>
              <w:t>3.09</w:t>
            </w:r>
          </w:p>
        </w:tc>
      </w:tr>
      <w:tr w:rsidR="00F502DC">
        <w:tc>
          <w:tcPr>
            <w:tcW w:w="817" w:type="dxa"/>
            <w:vAlign w:val="center"/>
          </w:tcPr>
          <w:p w:rsidR="00F502DC" w:rsidRDefault="00210B93">
            <w:pPr>
              <w:jc w:val="center"/>
            </w:pPr>
            <w:r>
              <w:rPr>
                <w:rFonts w:eastAsiaTheme="minorEastAsia"/>
                <w:kern w:val="0"/>
                <w:szCs w:val="21"/>
              </w:rPr>
              <w:t>6</w:t>
            </w:r>
          </w:p>
        </w:tc>
        <w:tc>
          <w:tcPr>
            <w:tcW w:w="1276" w:type="dxa"/>
            <w:vAlign w:val="center"/>
          </w:tcPr>
          <w:p w:rsidR="00F502DC" w:rsidRDefault="00210B93">
            <w:pPr>
              <w:jc w:val="center"/>
            </w:pPr>
            <w:r>
              <w:rPr>
                <w:rFonts w:eastAsiaTheme="minorEastAsia"/>
                <w:kern w:val="0"/>
                <w:szCs w:val="21"/>
              </w:rPr>
              <w:t>000651</w:t>
            </w:r>
          </w:p>
        </w:tc>
        <w:tc>
          <w:tcPr>
            <w:tcW w:w="1701" w:type="dxa"/>
            <w:vAlign w:val="center"/>
          </w:tcPr>
          <w:p w:rsidR="00F502DC" w:rsidRDefault="00210B93">
            <w:pPr>
              <w:jc w:val="center"/>
            </w:pPr>
            <w:r>
              <w:rPr>
                <w:rFonts w:eastAsiaTheme="minorEastAsia"/>
                <w:kern w:val="0"/>
                <w:szCs w:val="21"/>
              </w:rPr>
              <w:t>格力电器</w:t>
            </w:r>
          </w:p>
        </w:tc>
        <w:tc>
          <w:tcPr>
            <w:tcW w:w="1276" w:type="dxa"/>
            <w:vAlign w:val="center"/>
          </w:tcPr>
          <w:p w:rsidR="00F502DC" w:rsidRDefault="00210B93">
            <w:pPr>
              <w:jc w:val="right"/>
            </w:pPr>
            <w:r>
              <w:rPr>
                <w:rFonts w:eastAsiaTheme="minorEastAsia"/>
                <w:kern w:val="0"/>
                <w:szCs w:val="21"/>
              </w:rPr>
              <w:t>907,600</w:t>
            </w:r>
          </w:p>
        </w:tc>
        <w:tc>
          <w:tcPr>
            <w:tcW w:w="1842" w:type="dxa"/>
            <w:vAlign w:val="center"/>
          </w:tcPr>
          <w:p w:rsidR="00F502DC" w:rsidRDefault="00210B93">
            <w:pPr>
              <w:jc w:val="right"/>
            </w:pPr>
            <w:r>
              <w:rPr>
                <w:rFonts w:eastAsiaTheme="minorEastAsia"/>
                <w:kern w:val="0"/>
                <w:szCs w:val="21"/>
              </w:rPr>
              <w:t>29,333,632.00</w:t>
            </w:r>
          </w:p>
        </w:tc>
        <w:tc>
          <w:tcPr>
            <w:tcW w:w="1616" w:type="dxa"/>
            <w:vAlign w:val="center"/>
          </w:tcPr>
          <w:p w:rsidR="00F502DC" w:rsidRDefault="00210B93">
            <w:pPr>
              <w:jc w:val="right"/>
            </w:pPr>
            <w:r>
              <w:rPr>
                <w:rFonts w:eastAsiaTheme="minorEastAsia"/>
                <w:kern w:val="0"/>
                <w:szCs w:val="21"/>
              </w:rPr>
              <w:t>3.03</w:t>
            </w:r>
          </w:p>
        </w:tc>
      </w:tr>
      <w:tr w:rsidR="00F502DC">
        <w:tc>
          <w:tcPr>
            <w:tcW w:w="817" w:type="dxa"/>
            <w:vAlign w:val="center"/>
          </w:tcPr>
          <w:p w:rsidR="00F502DC" w:rsidRDefault="00210B93">
            <w:pPr>
              <w:jc w:val="center"/>
            </w:pPr>
            <w:r>
              <w:rPr>
                <w:rFonts w:eastAsiaTheme="minorEastAsia"/>
                <w:kern w:val="0"/>
                <w:szCs w:val="21"/>
              </w:rPr>
              <w:t>7</w:t>
            </w:r>
          </w:p>
        </w:tc>
        <w:tc>
          <w:tcPr>
            <w:tcW w:w="1276" w:type="dxa"/>
            <w:vAlign w:val="center"/>
          </w:tcPr>
          <w:p w:rsidR="00F502DC" w:rsidRDefault="00210B93">
            <w:pPr>
              <w:jc w:val="center"/>
            </w:pPr>
            <w:r>
              <w:rPr>
                <w:rFonts w:eastAsiaTheme="minorEastAsia"/>
                <w:kern w:val="0"/>
                <w:szCs w:val="21"/>
              </w:rPr>
              <w:t>002812</w:t>
            </w:r>
          </w:p>
        </w:tc>
        <w:tc>
          <w:tcPr>
            <w:tcW w:w="1701" w:type="dxa"/>
            <w:vAlign w:val="center"/>
          </w:tcPr>
          <w:p w:rsidR="00F502DC" w:rsidRDefault="00210B93">
            <w:pPr>
              <w:jc w:val="center"/>
            </w:pPr>
            <w:r>
              <w:rPr>
                <w:rFonts w:eastAsiaTheme="minorEastAsia"/>
                <w:kern w:val="0"/>
                <w:szCs w:val="21"/>
              </w:rPr>
              <w:t>恩捷股份</w:t>
            </w:r>
          </w:p>
        </w:tc>
        <w:tc>
          <w:tcPr>
            <w:tcW w:w="1276" w:type="dxa"/>
            <w:vAlign w:val="center"/>
          </w:tcPr>
          <w:p w:rsidR="00F502DC" w:rsidRDefault="00210B93">
            <w:pPr>
              <w:jc w:val="right"/>
            </w:pPr>
            <w:r>
              <w:rPr>
                <w:rFonts w:eastAsiaTheme="minorEastAsia"/>
                <w:kern w:val="0"/>
                <w:szCs w:val="21"/>
              </w:rPr>
              <w:t>209,700</w:t>
            </w:r>
          </w:p>
        </w:tc>
        <w:tc>
          <w:tcPr>
            <w:tcW w:w="1842" w:type="dxa"/>
            <w:vAlign w:val="center"/>
          </w:tcPr>
          <w:p w:rsidR="00F502DC" w:rsidRDefault="00210B93">
            <w:pPr>
              <w:jc w:val="right"/>
            </w:pPr>
            <w:r>
              <w:rPr>
                <w:rFonts w:eastAsiaTheme="minorEastAsia"/>
                <w:kern w:val="0"/>
                <w:szCs w:val="21"/>
              </w:rPr>
              <w:t>27,531,513.00</w:t>
            </w:r>
          </w:p>
        </w:tc>
        <w:tc>
          <w:tcPr>
            <w:tcW w:w="1616" w:type="dxa"/>
            <w:vAlign w:val="center"/>
          </w:tcPr>
          <w:p w:rsidR="00F502DC" w:rsidRDefault="00210B93">
            <w:pPr>
              <w:jc w:val="right"/>
            </w:pPr>
            <w:r>
              <w:rPr>
                <w:rFonts w:eastAsiaTheme="minorEastAsia"/>
                <w:kern w:val="0"/>
                <w:szCs w:val="21"/>
              </w:rPr>
              <w:t>2.85</w:t>
            </w:r>
          </w:p>
        </w:tc>
      </w:tr>
      <w:tr w:rsidR="00F502DC">
        <w:tc>
          <w:tcPr>
            <w:tcW w:w="817" w:type="dxa"/>
            <w:vAlign w:val="center"/>
          </w:tcPr>
          <w:p w:rsidR="00F502DC" w:rsidRDefault="00210B93">
            <w:pPr>
              <w:jc w:val="center"/>
            </w:pPr>
            <w:r>
              <w:rPr>
                <w:rFonts w:eastAsiaTheme="minorEastAsia"/>
                <w:kern w:val="0"/>
                <w:szCs w:val="21"/>
              </w:rPr>
              <w:t>8</w:t>
            </w:r>
          </w:p>
        </w:tc>
        <w:tc>
          <w:tcPr>
            <w:tcW w:w="1276" w:type="dxa"/>
            <w:vAlign w:val="center"/>
          </w:tcPr>
          <w:p w:rsidR="00F502DC" w:rsidRDefault="00210B93">
            <w:pPr>
              <w:jc w:val="center"/>
            </w:pPr>
            <w:r>
              <w:rPr>
                <w:rFonts w:eastAsiaTheme="minorEastAsia"/>
                <w:kern w:val="0"/>
                <w:szCs w:val="21"/>
              </w:rPr>
              <w:t>002594</w:t>
            </w:r>
          </w:p>
        </w:tc>
        <w:tc>
          <w:tcPr>
            <w:tcW w:w="1701" w:type="dxa"/>
            <w:vAlign w:val="center"/>
          </w:tcPr>
          <w:p w:rsidR="00F502DC" w:rsidRDefault="00210B93">
            <w:pPr>
              <w:jc w:val="center"/>
            </w:pPr>
            <w:r>
              <w:rPr>
                <w:rFonts w:eastAsiaTheme="minorEastAsia"/>
                <w:kern w:val="0"/>
                <w:szCs w:val="21"/>
              </w:rPr>
              <w:t>比亚迪</w:t>
            </w:r>
          </w:p>
        </w:tc>
        <w:tc>
          <w:tcPr>
            <w:tcW w:w="1276" w:type="dxa"/>
            <w:vAlign w:val="center"/>
          </w:tcPr>
          <w:p w:rsidR="00F502DC" w:rsidRDefault="00210B93">
            <w:pPr>
              <w:jc w:val="right"/>
            </w:pPr>
            <w:r>
              <w:rPr>
                <w:rFonts w:eastAsiaTheme="minorEastAsia"/>
                <w:kern w:val="0"/>
                <w:szCs w:val="21"/>
              </w:rPr>
              <w:t>106,200</w:t>
            </w:r>
          </w:p>
        </w:tc>
        <w:tc>
          <w:tcPr>
            <w:tcW w:w="1842" w:type="dxa"/>
            <w:vAlign w:val="center"/>
          </w:tcPr>
          <w:p w:rsidR="00F502DC" w:rsidRDefault="00210B93">
            <w:pPr>
              <w:jc w:val="right"/>
            </w:pPr>
            <w:r>
              <w:rPr>
                <w:rFonts w:eastAsiaTheme="minorEastAsia"/>
                <w:kern w:val="0"/>
                <w:szCs w:val="21"/>
              </w:rPr>
              <w:t>27,290,214.00</w:t>
            </w:r>
          </w:p>
        </w:tc>
        <w:tc>
          <w:tcPr>
            <w:tcW w:w="1616" w:type="dxa"/>
            <w:vAlign w:val="center"/>
          </w:tcPr>
          <w:p w:rsidR="00F502DC" w:rsidRDefault="00210B93">
            <w:pPr>
              <w:jc w:val="right"/>
            </w:pPr>
            <w:r>
              <w:rPr>
                <w:rFonts w:eastAsiaTheme="minorEastAsia"/>
                <w:kern w:val="0"/>
                <w:szCs w:val="21"/>
              </w:rPr>
              <w:t>2.82</w:t>
            </w:r>
          </w:p>
        </w:tc>
      </w:tr>
      <w:tr w:rsidR="00F502DC">
        <w:tc>
          <w:tcPr>
            <w:tcW w:w="817" w:type="dxa"/>
            <w:vAlign w:val="center"/>
          </w:tcPr>
          <w:p w:rsidR="00F502DC" w:rsidRDefault="00210B93">
            <w:pPr>
              <w:jc w:val="center"/>
            </w:pPr>
            <w:r>
              <w:rPr>
                <w:rFonts w:eastAsiaTheme="minorEastAsia"/>
                <w:kern w:val="0"/>
                <w:szCs w:val="21"/>
              </w:rPr>
              <w:t>9</w:t>
            </w:r>
          </w:p>
        </w:tc>
        <w:tc>
          <w:tcPr>
            <w:tcW w:w="1276" w:type="dxa"/>
            <w:vAlign w:val="center"/>
          </w:tcPr>
          <w:p w:rsidR="00F502DC" w:rsidRDefault="00210B93">
            <w:pPr>
              <w:jc w:val="center"/>
            </w:pPr>
            <w:r>
              <w:rPr>
                <w:rFonts w:eastAsiaTheme="minorEastAsia"/>
                <w:kern w:val="0"/>
                <w:szCs w:val="21"/>
              </w:rPr>
              <w:t>600438</w:t>
            </w:r>
          </w:p>
        </w:tc>
        <w:tc>
          <w:tcPr>
            <w:tcW w:w="1701" w:type="dxa"/>
            <w:vAlign w:val="center"/>
          </w:tcPr>
          <w:p w:rsidR="00F502DC" w:rsidRDefault="00210B93">
            <w:pPr>
              <w:jc w:val="center"/>
            </w:pPr>
            <w:r>
              <w:rPr>
                <w:rFonts w:eastAsiaTheme="minorEastAsia"/>
                <w:kern w:val="0"/>
                <w:szCs w:val="21"/>
              </w:rPr>
              <w:t>通威股份</w:t>
            </w:r>
          </w:p>
        </w:tc>
        <w:tc>
          <w:tcPr>
            <w:tcW w:w="1276" w:type="dxa"/>
            <w:vAlign w:val="center"/>
          </w:tcPr>
          <w:p w:rsidR="00F502DC" w:rsidRDefault="00210B93">
            <w:pPr>
              <w:jc w:val="right"/>
            </w:pPr>
            <w:r>
              <w:rPr>
                <w:rFonts w:eastAsiaTheme="minorEastAsia"/>
                <w:kern w:val="0"/>
                <w:szCs w:val="21"/>
              </w:rPr>
              <w:t>694,150</w:t>
            </w:r>
          </w:p>
        </w:tc>
        <w:tc>
          <w:tcPr>
            <w:tcW w:w="1842" w:type="dxa"/>
            <w:vAlign w:val="center"/>
          </w:tcPr>
          <w:p w:rsidR="00F502DC" w:rsidRDefault="00210B93">
            <w:pPr>
              <w:jc w:val="right"/>
            </w:pPr>
            <w:r>
              <w:rPr>
                <w:rFonts w:eastAsiaTheme="minorEastAsia"/>
                <w:kern w:val="0"/>
                <w:szCs w:val="21"/>
              </w:rPr>
              <w:t>26,780,307.00</w:t>
            </w:r>
          </w:p>
        </w:tc>
        <w:tc>
          <w:tcPr>
            <w:tcW w:w="1616" w:type="dxa"/>
            <w:vAlign w:val="center"/>
          </w:tcPr>
          <w:p w:rsidR="00F502DC" w:rsidRDefault="00210B93">
            <w:pPr>
              <w:jc w:val="right"/>
            </w:pPr>
            <w:r>
              <w:rPr>
                <w:rFonts w:eastAsiaTheme="minorEastAsia"/>
                <w:kern w:val="0"/>
                <w:szCs w:val="21"/>
              </w:rPr>
              <w:t>2.77</w:t>
            </w:r>
          </w:p>
        </w:tc>
      </w:tr>
      <w:tr w:rsidR="00F502DC">
        <w:tc>
          <w:tcPr>
            <w:tcW w:w="817" w:type="dxa"/>
            <w:vAlign w:val="center"/>
          </w:tcPr>
          <w:p w:rsidR="00F502DC" w:rsidRDefault="00210B93">
            <w:pPr>
              <w:jc w:val="center"/>
            </w:pPr>
            <w:r>
              <w:rPr>
                <w:rFonts w:eastAsiaTheme="minorEastAsia"/>
                <w:kern w:val="0"/>
                <w:szCs w:val="21"/>
              </w:rPr>
              <w:t>10</w:t>
            </w:r>
          </w:p>
        </w:tc>
        <w:tc>
          <w:tcPr>
            <w:tcW w:w="1276" w:type="dxa"/>
            <w:vAlign w:val="center"/>
          </w:tcPr>
          <w:p w:rsidR="00F502DC" w:rsidRDefault="00210B93">
            <w:pPr>
              <w:jc w:val="center"/>
            </w:pPr>
            <w:r>
              <w:rPr>
                <w:rFonts w:eastAsiaTheme="minorEastAsia"/>
                <w:kern w:val="0"/>
                <w:szCs w:val="21"/>
              </w:rPr>
              <w:t>600519</w:t>
            </w:r>
          </w:p>
        </w:tc>
        <w:tc>
          <w:tcPr>
            <w:tcW w:w="1701" w:type="dxa"/>
            <w:vAlign w:val="center"/>
          </w:tcPr>
          <w:p w:rsidR="00F502DC" w:rsidRDefault="00210B93">
            <w:pPr>
              <w:jc w:val="center"/>
            </w:pPr>
            <w:r>
              <w:rPr>
                <w:rFonts w:eastAsiaTheme="minorEastAsia"/>
                <w:kern w:val="0"/>
                <w:szCs w:val="21"/>
              </w:rPr>
              <w:t>贵州茅台</w:t>
            </w:r>
          </w:p>
        </w:tc>
        <w:tc>
          <w:tcPr>
            <w:tcW w:w="1276" w:type="dxa"/>
            <w:vAlign w:val="center"/>
          </w:tcPr>
          <w:p w:rsidR="00F502DC" w:rsidRDefault="00210B93">
            <w:pPr>
              <w:jc w:val="right"/>
            </w:pPr>
            <w:r>
              <w:rPr>
                <w:rFonts w:eastAsiaTheme="minorEastAsia"/>
                <w:kern w:val="0"/>
                <w:szCs w:val="21"/>
              </w:rPr>
              <w:t>15,476</w:t>
            </w:r>
          </w:p>
        </w:tc>
        <w:tc>
          <w:tcPr>
            <w:tcW w:w="1842" w:type="dxa"/>
            <w:vAlign w:val="center"/>
          </w:tcPr>
          <w:p w:rsidR="00F502DC" w:rsidRDefault="00210B93">
            <w:pPr>
              <w:jc w:val="right"/>
            </w:pPr>
            <w:r>
              <w:rPr>
                <w:rFonts w:eastAsiaTheme="minorEastAsia"/>
                <w:kern w:val="0"/>
                <w:szCs w:val="21"/>
              </w:rPr>
              <w:t>26,727,052.00</w:t>
            </w:r>
          </w:p>
        </w:tc>
        <w:tc>
          <w:tcPr>
            <w:tcW w:w="1616" w:type="dxa"/>
            <w:vAlign w:val="center"/>
          </w:tcPr>
          <w:p w:rsidR="00F502DC" w:rsidRDefault="00210B93">
            <w:pPr>
              <w:jc w:val="right"/>
            </w:pPr>
            <w:r>
              <w:rPr>
                <w:rFonts w:eastAsiaTheme="minorEastAsia"/>
                <w:kern w:val="0"/>
                <w:szCs w:val="21"/>
              </w:rPr>
              <w:t>2.76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255,062.18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44,357.06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299,419.24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223,971,405.16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160,631.45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2,723,116.84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44,393.07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3,126,121.39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35,289.71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223,568,400.61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169,734.81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中国证监会批准上投摩根阿尔法混合型证券投资基金设立的文件；</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《上投摩根阿尔法混合型证券投资基金基金合同》；</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《上投摩根阿尔法混合型证券投资基金托管协议》；</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F502DC" w:rsidRDefault="00210B9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二〇二三年一月二十日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10B9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10B93">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10B9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上投摩根阿尔法混合型证券投资基金</w:t>
    </w:r>
    <w:r>
      <w:t>2022</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0B93"/>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02DC"/>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4B378-BBA2-4DC5-AD3C-D981B159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13</Pages>
  <Words>1137</Words>
  <Characters>6485</Characters>
  <Application>Microsoft Office Word</Application>
  <DocSecurity>0</DocSecurity>
  <Lines>54</Lines>
  <Paragraphs>15</Paragraphs>
  <ScaleCrop>false</ScaleCrop>
  <Company>TRT. Ltd. Co.</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219</cp:revision>
  <cp:lastPrinted>2007-07-19T00:46:00Z</cp:lastPrinted>
  <dcterms:created xsi:type="dcterms:W3CDTF">2013-06-21T06:56:00Z</dcterms:created>
  <dcterms:modified xsi:type="dcterms:W3CDTF">2023-01-19T05:47:00Z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