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摩根亚太优势混合型证券投资基金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1</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3</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二〇二四年四月二十二日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摩根亚太优势混合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2007</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2,767,099,104.26</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7973D5" w:rsidRDefault="000711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在投资方向上主要借助短期金融工具，同时结合亚太区具备投资等级的政府债券、公司债券等来制订具体策略，完善资产布局。</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、其他投资策略：包括多币种管理策略、衍生品投资策</w:t>
            </w:r>
            <w:r w:rsidRPr="00A3398F">
              <w:rPr>
                <w:rFonts w:eastAsiaTheme="minorEastAsia"/>
                <w:color w:val="000000" w:themeColor="text1"/>
                <w:kern w:val="0"/>
                <w:szCs w:val="21"/>
              </w:rPr>
              <w:lastRenderedPageBreak/>
              <w:t>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本基金的业绩比较基准为：摩根斯坦利综合亚太指数（不含日本）（</w:t>
            </w:r>
            <w:r w:rsidRPr="00A3398F">
              <w:rPr>
                <w:rFonts w:eastAsiaTheme="minorEastAsia"/>
                <w:color w:val="000000" w:themeColor="text1"/>
                <w:kern w:val="0"/>
                <w:szCs w:val="21"/>
              </w:rPr>
              <w:t>MSCI AC Asia Pacific Index ex Japan</w:t>
            </w:r>
            <w:r w:rsidRPr="00A3398F">
              <w:rPr>
                <w:rFonts w:eastAsiaTheme="minorEastAsia"/>
                <w:color w:val="000000" w:themeColor="text1"/>
                <w:kern w:val="0"/>
                <w:szCs w:val="21"/>
              </w:rPr>
              <w:t>）。</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Bank of New York Mellon Company</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纽约梅隆银行股份有限公司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377016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019641</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2,766,032,407.19</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1,066,697.07</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B1612B" w:rsidRPr="00A3398F" w:rsidTr="00845292">
        <w:tc>
          <w:tcPr>
            <w:tcW w:w="3402" w:type="dxa"/>
            <w:vAlign w:val="center"/>
          </w:tcPr>
          <w:p w:rsidR="00B1612B" w:rsidRPr="00A3398F" w:rsidRDefault="00B1612B" w:rsidP="00B1612B">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-55,110,682.15</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-12,159.94</w:t>
            </w:r>
          </w:p>
        </w:tc>
      </w:tr>
      <w:tr w:rsidR="00B1612B" w:rsidRPr="00A3398F" w:rsidTr="00845292">
        <w:tc>
          <w:tcPr>
            <w:tcW w:w="3402" w:type="dxa"/>
            <w:vAlign w:val="center"/>
          </w:tcPr>
          <w:p w:rsidR="00B1612B" w:rsidRPr="00A3398F" w:rsidRDefault="00B1612B" w:rsidP="00B1612B">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2.</w:t>
            </w:r>
            <w:r w:rsidRPr="00A3398F">
              <w:rPr>
                <w:rFonts w:eastAsiaTheme="minorEastAsia"/>
                <w:color w:val="000000" w:themeColor="text1"/>
                <w:kern w:val="0"/>
                <w:szCs w:val="21"/>
              </w:rPr>
              <w:t>本期利润</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35,345,640.67</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53,578.81</w:t>
            </w:r>
          </w:p>
        </w:tc>
      </w:tr>
      <w:tr w:rsidR="00B1612B" w:rsidRPr="00A3398F" w:rsidTr="00845292">
        <w:tc>
          <w:tcPr>
            <w:tcW w:w="3402" w:type="dxa"/>
            <w:vAlign w:val="center"/>
          </w:tcPr>
          <w:p w:rsidR="00B1612B" w:rsidRPr="00A3398F" w:rsidRDefault="00B1612B" w:rsidP="00B1612B">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0.0127</w:t>
            </w:r>
          </w:p>
        </w:tc>
        <w:tc>
          <w:tcPr>
            <w:tcW w:w="2481" w:type="dxa"/>
            <w:vAlign w:val="center"/>
          </w:tcPr>
          <w:p w:rsidR="00B1612B" w:rsidRPr="00A3398F" w:rsidRDefault="00B1612B" w:rsidP="00B1612B">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0.0755</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2,486,769,469.57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955,199.00</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0.8990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0.8955</w:t>
            </w:r>
          </w:p>
        </w:tc>
      </w:tr>
    </w:tbl>
    <w:p w:rsidR="007973D5" w:rsidRDefault="00B27BF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sidR="000711D1">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7973D5">
        <w:tc>
          <w:tcPr>
            <w:tcW w:w="1290" w:type="dxa"/>
            <w:vAlign w:val="center"/>
          </w:tcPr>
          <w:p w:rsidR="007973D5" w:rsidRDefault="000711D1">
            <w:pPr>
              <w:jc w:val="left"/>
            </w:pPr>
            <w:r>
              <w:rPr>
                <w:rFonts w:eastAsiaTheme="minorEastAsia"/>
                <w:color w:val="000000" w:themeColor="text1"/>
                <w:szCs w:val="21"/>
              </w:rPr>
              <w:t>过去三个月</w:t>
            </w:r>
          </w:p>
        </w:tc>
        <w:tc>
          <w:tcPr>
            <w:tcW w:w="1291" w:type="dxa"/>
            <w:vAlign w:val="center"/>
          </w:tcPr>
          <w:p w:rsidR="007973D5" w:rsidRDefault="000711D1">
            <w:pPr>
              <w:jc w:val="right"/>
            </w:pPr>
            <w:r>
              <w:rPr>
                <w:rFonts w:eastAsiaTheme="minorEastAsia"/>
                <w:color w:val="000000" w:themeColor="text1"/>
                <w:szCs w:val="21"/>
              </w:rPr>
              <w:t>1.46%</w:t>
            </w:r>
          </w:p>
        </w:tc>
        <w:tc>
          <w:tcPr>
            <w:tcW w:w="1291" w:type="dxa"/>
            <w:vAlign w:val="center"/>
          </w:tcPr>
          <w:p w:rsidR="007973D5" w:rsidRDefault="000711D1">
            <w:pPr>
              <w:jc w:val="right"/>
            </w:pPr>
            <w:r>
              <w:rPr>
                <w:rFonts w:eastAsiaTheme="minorEastAsia"/>
                <w:color w:val="000000" w:themeColor="text1"/>
                <w:szCs w:val="21"/>
              </w:rPr>
              <w:t>0.84%</w:t>
            </w:r>
          </w:p>
        </w:tc>
        <w:tc>
          <w:tcPr>
            <w:tcW w:w="1291" w:type="dxa"/>
            <w:vAlign w:val="center"/>
          </w:tcPr>
          <w:p w:rsidR="007973D5" w:rsidRDefault="000711D1">
            <w:pPr>
              <w:jc w:val="right"/>
            </w:pPr>
            <w:r>
              <w:rPr>
                <w:rFonts w:eastAsiaTheme="minorEastAsia"/>
                <w:color w:val="000000" w:themeColor="text1"/>
                <w:szCs w:val="21"/>
              </w:rPr>
              <w:t>1.76%</w:t>
            </w:r>
          </w:p>
        </w:tc>
        <w:tc>
          <w:tcPr>
            <w:tcW w:w="1291" w:type="dxa"/>
            <w:vAlign w:val="center"/>
          </w:tcPr>
          <w:p w:rsidR="007973D5" w:rsidRDefault="000711D1">
            <w:pPr>
              <w:jc w:val="right"/>
            </w:pPr>
            <w:r>
              <w:rPr>
                <w:rFonts w:eastAsiaTheme="minorEastAsia"/>
                <w:color w:val="000000" w:themeColor="text1"/>
                <w:szCs w:val="21"/>
              </w:rPr>
              <w:t>0.80%</w:t>
            </w:r>
          </w:p>
        </w:tc>
        <w:tc>
          <w:tcPr>
            <w:tcW w:w="1291" w:type="dxa"/>
            <w:vAlign w:val="center"/>
          </w:tcPr>
          <w:p w:rsidR="007973D5" w:rsidRDefault="000711D1">
            <w:pPr>
              <w:jc w:val="right"/>
            </w:pPr>
            <w:r>
              <w:rPr>
                <w:rFonts w:eastAsiaTheme="minorEastAsia"/>
                <w:color w:val="000000" w:themeColor="text1"/>
                <w:szCs w:val="21"/>
              </w:rPr>
              <w:t>-0.30%</w:t>
            </w:r>
          </w:p>
        </w:tc>
        <w:tc>
          <w:tcPr>
            <w:tcW w:w="1291" w:type="dxa"/>
            <w:vAlign w:val="center"/>
          </w:tcPr>
          <w:p w:rsidR="007973D5" w:rsidRDefault="000711D1">
            <w:pPr>
              <w:jc w:val="right"/>
            </w:pPr>
            <w:r>
              <w:rPr>
                <w:rFonts w:eastAsiaTheme="minorEastAsia"/>
                <w:color w:val="000000" w:themeColor="text1"/>
                <w:szCs w:val="21"/>
              </w:rPr>
              <w:t>0.04%</w:t>
            </w:r>
          </w:p>
        </w:tc>
      </w:tr>
      <w:tr w:rsidR="007973D5">
        <w:tc>
          <w:tcPr>
            <w:tcW w:w="1290" w:type="dxa"/>
            <w:vAlign w:val="center"/>
          </w:tcPr>
          <w:p w:rsidR="007973D5" w:rsidRDefault="000711D1">
            <w:pPr>
              <w:jc w:val="left"/>
            </w:pPr>
            <w:r>
              <w:rPr>
                <w:rFonts w:eastAsiaTheme="minorEastAsia"/>
                <w:color w:val="000000" w:themeColor="text1"/>
                <w:szCs w:val="21"/>
              </w:rPr>
              <w:t>过去六个月</w:t>
            </w:r>
          </w:p>
        </w:tc>
        <w:tc>
          <w:tcPr>
            <w:tcW w:w="1291" w:type="dxa"/>
            <w:vAlign w:val="center"/>
          </w:tcPr>
          <w:p w:rsidR="007973D5" w:rsidRDefault="000711D1">
            <w:pPr>
              <w:jc w:val="right"/>
            </w:pPr>
            <w:r>
              <w:rPr>
                <w:rFonts w:eastAsiaTheme="minorEastAsia"/>
                <w:color w:val="000000" w:themeColor="text1"/>
                <w:szCs w:val="21"/>
              </w:rPr>
              <w:t>4.18%</w:t>
            </w:r>
          </w:p>
        </w:tc>
        <w:tc>
          <w:tcPr>
            <w:tcW w:w="1291" w:type="dxa"/>
            <w:vAlign w:val="center"/>
          </w:tcPr>
          <w:p w:rsidR="007973D5" w:rsidRDefault="000711D1">
            <w:pPr>
              <w:jc w:val="right"/>
            </w:pPr>
            <w:r>
              <w:rPr>
                <w:rFonts w:eastAsiaTheme="minorEastAsia"/>
                <w:color w:val="000000" w:themeColor="text1"/>
                <w:szCs w:val="21"/>
              </w:rPr>
              <w:t>0.90%</w:t>
            </w:r>
          </w:p>
        </w:tc>
        <w:tc>
          <w:tcPr>
            <w:tcW w:w="1291" w:type="dxa"/>
            <w:vAlign w:val="center"/>
          </w:tcPr>
          <w:p w:rsidR="007973D5" w:rsidRDefault="000711D1">
            <w:pPr>
              <w:jc w:val="right"/>
            </w:pPr>
            <w:r>
              <w:rPr>
                <w:rFonts w:eastAsiaTheme="minorEastAsia"/>
                <w:color w:val="000000" w:themeColor="text1"/>
                <w:szCs w:val="21"/>
              </w:rPr>
              <w:t>7.89%</w:t>
            </w:r>
          </w:p>
        </w:tc>
        <w:tc>
          <w:tcPr>
            <w:tcW w:w="1291" w:type="dxa"/>
            <w:vAlign w:val="center"/>
          </w:tcPr>
          <w:p w:rsidR="007973D5" w:rsidRDefault="000711D1">
            <w:pPr>
              <w:jc w:val="right"/>
            </w:pPr>
            <w:r>
              <w:rPr>
                <w:rFonts w:eastAsiaTheme="minorEastAsia"/>
                <w:color w:val="000000" w:themeColor="text1"/>
                <w:szCs w:val="21"/>
              </w:rPr>
              <w:t>0.87%</w:t>
            </w:r>
          </w:p>
        </w:tc>
        <w:tc>
          <w:tcPr>
            <w:tcW w:w="1291" w:type="dxa"/>
            <w:vAlign w:val="center"/>
          </w:tcPr>
          <w:p w:rsidR="007973D5" w:rsidRDefault="000711D1">
            <w:pPr>
              <w:jc w:val="right"/>
            </w:pPr>
            <w:r>
              <w:rPr>
                <w:rFonts w:eastAsiaTheme="minorEastAsia"/>
                <w:color w:val="000000" w:themeColor="text1"/>
                <w:szCs w:val="21"/>
              </w:rPr>
              <w:t>-3.71%</w:t>
            </w:r>
          </w:p>
        </w:tc>
        <w:tc>
          <w:tcPr>
            <w:tcW w:w="1291" w:type="dxa"/>
            <w:vAlign w:val="center"/>
          </w:tcPr>
          <w:p w:rsidR="007973D5" w:rsidRDefault="000711D1">
            <w:pPr>
              <w:jc w:val="right"/>
            </w:pPr>
            <w:r>
              <w:rPr>
                <w:rFonts w:eastAsiaTheme="minorEastAsia"/>
                <w:color w:val="000000" w:themeColor="text1"/>
                <w:szCs w:val="21"/>
              </w:rPr>
              <w:t>0.03%</w:t>
            </w:r>
          </w:p>
        </w:tc>
      </w:tr>
      <w:tr w:rsidR="007973D5">
        <w:tc>
          <w:tcPr>
            <w:tcW w:w="1290" w:type="dxa"/>
            <w:vAlign w:val="center"/>
          </w:tcPr>
          <w:p w:rsidR="007973D5" w:rsidRDefault="000711D1">
            <w:pPr>
              <w:jc w:val="left"/>
            </w:pPr>
            <w:r>
              <w:rPr>
                <w:rFonts w:eastAsiaTheme="minorEastAsia"/>
                <w:color w:val="000000" w:themeColor="text1"/>
                <w:szCs w:val="21"/>
              </w:rPr>
              <w:t>过去一年</w:t>
            </w:r>
          </w:p>
        </w:tc>
        <w:tc>
          <w:tcPr>
            <w:tcW w:w="1291" w:type="dxa"/>
            <w:vAlign w:val="center"/>
          </w:tcPr>
          <w:p w:rsidR="007973D5" w:rsidRDefault="000711D1">
            <w:pPr>
              <w:jc w:val="right"/>
            </w:pPr>
            <w:r>
              <w:rPr>
                <w:rFonts w:eastAsiaTheme="minorEastAsia"/>
                <w:color w:val="000000" w:themeColor="text1"/>
                <w:szCs w:val="21"/>
              </w:rPr>
              <w:t>1.70%</w:t>
            </w:r>
          </w:p>
        </w:tc>
        <w:tc>
          <w:tcPr>
            <w:tcW w:w="1291" w:type="dxa"/>
            <w:vAlign w:val="center"/>
          </w:tcPr>
          <w:p w:rsidR="007973D5" w:rsidRDefault="000711D1">
            <w:pPr>
              <w:jc w:val="right"/>
            </w:pPr>
            <w:r>
              <w:rPr>
                <w:rFonts w:eastAsiaTheme="minorEastAsia"/>
                <w:color w:val="000000" w:themeColor="text1"/>
                <w:szCs w:val="21"/>
              </w:rPr>
              <w:t>0.85%</w:t>
            </w:r>
          </w:p>
        </w:tc>
        <w:tc>
          <w:tcPr>
            <w:tcW w:w="1291" w:type="dxa"/>
            <w:vAlign w:val="center"/>
          </w:tcPr>
          <w:p w:rsidR="007973D5" w:rsidRDefault="000711D1">
            <w:pPr>
              <w:jc w:val="right"/>
            </w:pPr>
            <w:r>
              <w:rPr>
                <w:rFonts w:eastAsiaTheme="minorEastAsia"/>
                <w:color w:val="000000" w:themeColor="text1"/>
                <w:szCs w:val="21"/>
              </w:rPr>
              <w:t>5.88%</w:t>
            </w:r>
          </w:p>
        </w:tc>
        <w:tc>
          <w:tcPr>
            <w:tcW w:w="1291" w:type="dxa"/>
            <w:vAlign w:val="center"/>
          </w:tcPr>
          <w:p w:rsidR="007973D5" w:rsidRDefault="000711D1">
            <w:pPr>
              <w:jc w:val="right"/>
            </w:pPr>
            <w:r>
              <w:rPr>
                <w:rFonts w:eastAsiaTheme="minorEastAsia"/>
                <w:color w:val="000000" w:themeColor="text1"/>
                <w:szCs w:val="21"/>
              </w:rPr>
              <w:t>0.83%</w:t>
            </w:r>
          </w:p>
        </w:tc>
        <w:tc>
          <w:tcPr>
            <w:tcW w:w="1291" w:type="dxa"/>
            <w:vAlign w:val="center"/>
          </w:tcPr>
          <w:p w:rsidR="007973D5" w:rsidRDefault="000711D1">
            <w:pPr>
              <w:jc w:val="right"/>
            </w:pPr>
            <w:r>
              <w:rPr>
                <w:rFonts w:eastAsiaTheme="minorEastAsia"/>
                <w:color w:val="000000" w:themeColor="text1"/>
                <w:szCs w:val="21"/>
              </w:rPr>
              <w:t>-4.18%</w:t>
            </w:r>
          </w:p>
        </w:tc>
        <w:tc>
          <w:tcPr>
            <w:tcW w:w="1291" w:type="dxa"/>
            <w:vAlign w:val="center"/>
          </w:tcPr>
          <w:p w:rsidR="007973D5" w:rsidRDefault="000711D1">
            <w:pPr>
              <w:jc w:val="right"/>
            </w:pPr>
            <w:r>
              <w:rPr>
                <w:rFonts w:eastAsiaTheme="minorEastAsia"/>
                <w:color w:val="000000" w:themeColor="text1"/>
                <w:szCs w:val="21"/>
              </w:rPr>
              <w:t>0.02%</w:t>
            </w:r>
          </w:p>
        </w:tc>
      </w:tr>
      <w:tr w:rsidR="007973D5">
        <w:tc>
          <w:tcPr>
            <w:tcW w:w="1290" w:type="dxa"/>
            <w:vAlign w:val="center"/>
          </w:tcPr>
          <w:p w:rsidR="007973D5" w:rsidRDefault="000711D1">
            <w:pPr>
              <w:jc w:val="left"/>
            </w:pPr>
            <w:r>
              <w:rPr>
                <w:rFonts w:eastAsiaTheme="minorEastAsia"/>
                <w:color w:val="000000" w:themeColor="text1"/>
                <w:szCs w:val="21"/>
              </w:rPr>
              <w:t>过去三年</w:t>
            </w:r>
          </w:p>
        </w:tc>
        <w:tc>
          <w:tcPr>
            <w:tcW w:w="1291" w:type="dxa"/>
            <w:vAlign w:val="center"/>
          </w:tcPr>
          <w:p w:rsidR="007973D5" w:rsidRDefault="000711D1">
            <w:pPr>
              <w:jc w:val="right"/>
            </w:pPr>
            <w:r>
              <w:rPr>
                <w:rFonts w:eastAsiaTheme="minorEastAsia"/>
                <w:color w:val="000000" w:themeColor="text1"/>
                <w:szCs w:val="21"/>
              </w:rPr>
              <w:t>-17.97%</w:t>
            </w:r>
          </w:p>
        </w:tc>
        <w:tc>
          <w:tcPr>
            <w:tcW w:w="1291" w:type="dxa"/>
            <w:vAlign w:val="center"/>
          </w:tcPr>
          <w:p w:rsidR="007973D5" w:rsidRDefault="000711D1">
            <w:pPr>
              <w:jc w:val="right"/>
            </w:pPr>
            <w:r>
              <w:rPr>
                <w:rFonts w:eastAsiaTheme="minorEastAsia"/>
                <w:color w:val="000000" w:themeColor="text1"/>
                <w:szCs w:val="21"/>
              </w:rPr>
              <w:t>1.07%</w:t>
            </w:r>
          </w:p>
        </w:tc>
        <w:tc>
          <w:tcPr>
            <w:tcW w:w="1291" w:type="dxa"/>
            <w:vAlign w:val="center"/>
          </w:tcPr>
          <w:p w:rsidR="007973D5" w:rsidRDefault="000711D1">
            <w:pPr>
              <w:jc w:val="right"/>
            </w:pPr>
            <w:r>
              <w:rPr>
                <w:rFonts w:eastAsiaTheme="minorEastAsia"/>
                <w:color w:val="000000" w:themeColor="text1"/>
                <w:szCs w:val="21"/>
              </w:rPr>
              <w:t>-14.39%</w:t>
            </w:r>
          </w:p>
        </w:tc>
        <w:tc>
          <w:tcPr>
            <w:tcW w:w="1291" w:type="dxa"/>
            <w:vAlign w:val="center"/>
          </w:tcPr>
          <w:p w:rsidR="007973D5" w:rsidRDefault="000711D1">
            <w:pPr>
              <w:jc w:val="right"/>
            </w:pPr>
            <w:r>
              <w:rPr>
                <w:rFonts w:eastAsiaTheme="minorEastAsia"/>
                <w:color w:val="000000" w:themeColor="text1"/>
                <w:szCs w:val="21"/>
              </w:rPr>
              <w:t>1.03%</w:t>
            </w:r>
          </w:p>
        </w:tc>
        <w:tc>
          <w:tcPr>
            <w:tcW w:w="1291" w:type="dxa"/>
            <w:vAlign w:val="center"/>
          </w:tcPr>
          <w:p w:rsidR="007973D5" w:rsidRDefault="000711D1">
            <w:pPr>
              <w:jc w:val="right"/>
            </w:pPr>
            <w:r>
              <w:rPr>
                <w:rFonts w:eastAsiaTheme="minorEastAsia"/>
                <w:color w:val="000000" w:themeColor="text1"/>
                <w:szCs w:val="21"/>
              </w:rPr>
              <w:t>-3.58%</w:t>
            </w:r>
          </w:p>
        </w:tc>
        <w:tc>
          <w:tcPr>
            <w:tcW w:w="1291" w:type="dxa"/>
            <w:vAlign w:val="center"/>
          </w:tcPr>
          <w:p w:rsidR="007973D5" w:rsidRDefault="000711D1">
            <w:pPr>
              <w:jc w:val="right"/>
            </w:pPr>
            <w:r>
              <w:rPr>
                <w:rFonts w:eastAsiaTheme="minorEastAsia"/>
                <w:color w:val="000000" w:themeColor="text1"/>
                <w:szCs w:val="21"/>
              </w:rPr>
              <w:t>0.04%</w:t>
            </w:r>
          </w:p>
        </w:tc>
      </w:tr>
      <w:tr w:rsidR="007973D5">
        <w:tc>
          <w:tcPr>
            <w:tcW w:w="1290" w:type="dxa"/>
            <w:vAlign w:val="center"/>
          </w:tcPr>
          <w:p w:rsidR="007973D5" w:rsidRDefault="000711D1">
            <w:pPr>
              <w:jc w:val="left"/>
            </w:pPr>
            <w:r>
              <w:rPr>
                <w:rFonts w:eastAsiaTheme="minorEastAsia"/>
                <w:color w:val="000000" w:themeColor="text1"/>
                <w:szCs w:val="21"/>
              </w:rPr>
              <w:t>过去五年</w:t>
            </w:r>
          </w:p>
        </w:tc>
        <w:tc>
          <w:tcPr>
            <w:tcW w:w="1291" w:type="dxa"/>
            <w:vAlign w:val="center"/>
          </w:tcPr>
          <w:p w:rsidR="007973D5" w:rsidRDefault="000711D1">
            <w:pPr>
              <w:jc w:val="right"/>
            </w:pPr>
            <w:r>
              <w:rPr>
                <w:rFonts w:eastAsiaTheme="minorEastAsia"/>
                <w:color w:val="000000" w:themeColor="text1"/>
                <w:szCs w:val="21"/>
              </w:rPr>
              <w:t>18.45%</w:t>
            </w:r>
          </w:p>
        </w:tc>
        <w:tc>
          <w:tcPr>
            <w:tcW w:w="1291" w:type="dxa"/>
            <w:vAlign w:val="center"/>
          </w:tcPr>
          <w:p w:rsidR="007973D5" w:rsidRDefault="000711D1">
            <w:pPr>
              <w:jc w:val="right"/>
            </w:pPr>
            <w:r>
              <w:rPr>
                <w:rFonts w:eastAsiaTheme="minorEastAsia"/>
                <w:color w:val="000000" w:themeColor="text1"/>
                <w:szCs w:val="21"/>
              </w:rPr>
              <w:t>1.21%</w:t>
            </w:r>
          </w:p>
        </w:tc>
        <w:tc>
          <w:tcPr>
            <w:tcW w:w="1291" w:type="dxa"/>
            <w:vAlign w:val="center"/>
          </w:tcPr>
          <w:p w:rsidR="007973D5" w:rsidRDefault="000711D1">
            <w:pPr>
              <w:jc w:val="right"/>
            </w:pPr>
            <w:r>
              <w:rPr>
                <w:rFonts w:eastAsiaTheme="minorEastAsia"/>
                <w:color w:val="000000" w:themeColor="text1"/>
                <w:szCs w:val="21"/>
              </w:rPr>
              <w:t>6.97%</w:t>
            </w:r>
          </w:p>
        </w:tc>
        <w:tc>
          <w:tcPr>
            <w:tcW w:w="1291" w:type="dxa"/>
            <w:vAlign w:val="center"/>
          </w:tcPr>
          <w:p w:rsidR="007973D5" w:rsidRDefault="000711D1">
            <w:pPr>
              <w:jc w:val="right"/>
            </w:pPr>
            <w:r>
              <w:rPr>
                <w:rFonts w:eastAsiaTheme="minorEastAsia"/>
                <w:color w:val="000000" w:themeColor="text1"/>
                <w:szCs w:val="21"/>
              </w:rPr>
              <w:t>1.13%</w:t>
            </w:r>
          </w:p>
        </w:tc>
        <w:tc>
          <w:tcPr>
            <w:tcW w:w="1291" w:type="dxa"/>
            <w:vAlign w:val="center"/>
          </w:tcPr>
          <w:p w:rsidR="007973D5" w:rsidRDefault="000711D1">
            <w:pPr>
              <w:jc w:val="right"/>
            </w:pPr>
            <w:r>
              <w:rPr>
                <w:rFonts w:eastAsiaTheme="minorEastAsia"/>
                <w:color w:val="000000" w:themeColor="text1"/>
                <w:szCs w:val="21"/>
              </w:rPr>
              <w:t>11.48%</w:t>
            </w:r>
          </w:p>
        </w:tc>
        <w:tc>
          <w:tcPr>
            <w:tcW w:w="1291" w:type="dxa"/>
            <w:vAlign w:val="center"/>
          </w:tcPr>
          <w:p w:rsidR="007973D5" w:rsidRDefault="000711D1">
            <w:pPr>
              <w:jc w:val="right"/>
            </w:pPr>
            <w:r>
              <w:rPr>
                <w:rFonts w:eastAsiaTheme="minorEastAsia"/>
                <w:color w:val="000000" w:themeColor="text1"/>
                <w:szCs w:val="21"/>
              </w:rPr>
              <w:t>0.08%</w:t>
            </w:r>
          </w:p>
        </w:tc>
      </w:tr>
      <w:tr w:rsidR="007973D5">
        <w:tc>
          <w:tcPr>
            <w:tcW w:w="1290" w:type="dxa"/>
            <w:vAlign w:val="center"/>
          </w:tcPr>
          <w:p w:rsidR="007973D5" w:rsidRDefault="000711D1">
            <w:pPr>
              <w:jc w:val="left"/>
            </w:pPr>
            <w:r>
              <w:rPr>
                <w:rFonts w:eastAsiaTheme="minorEastAsia"/>
                <w:color w:val="000000" w:themeColor="text1"/>
                <w:szCs w:val="21"/>
              </w:rPr>
              <w:t>自基金合同生效起至今</w:t>
            </w:r>
          </w:p>
        </w:tc>
        <w:tc>
          <w:tcPr>
            <w:tcW w:w="1291" w:type="dxa"/>
            <w:vAlign w:val="center"/>
          </w:tcPr>
          <w:p w:rsidR="007973D5" w:rsidRDefault="000711D1">
            <w:pPr>
              <w:jc w:val="right"/>
            </w:pPr>
            <w:r>
              <w:rPr>
                <w:rFonts w:eastAsiaTheme="minorEastAsia"/>
                <w:color w:val="000000" w:themeColor="text1"/>
                <w:szCs w:val="21"/>
              </w:rPr>
              <w:t>-10.10%</w:t>
            </w:r>
          </w:p>
        </w:tc>
        <w:tc>
          <w:tcPr>
            <w:tcW w:w="1291" w:type="dxa"/>
            <w:vAlign w:val="center"/>
          </w:tcPr>
          <w:p w:rsidR="007973D5" w:rsidRDefault="000711D1">
            <w:pPr>
              <w:jc w:val="right"/>
            </w:pPr>
            <w:r>
              <w:rPr>
                <w:rFonts w:eastAsiaTheme="minorEastAsia"/>
                <w:color w:val="000000" w:themeColor="text1"/>
                <w:szCs w:val="21"/>
              </w:rPr>
              <w:t>1.30%</w:t>
            </w:r>
          </w:p>
        </w:tc>
        <w:tc>
          <w:tcPr>
            <w:tcW w:w="1291" w:type="dxa"/>
            <w:vAlign w:val="center"/>
          </w:tcPr>
          <w:p w:rsidR="007973D5" w:rsidRDefault="000711D1">
            <w:pPr>
              <w:jc w:val="right"/>
            </w:pPr>
            <w:r>
              <w:rPr>
                <w:rFonts w:eastAsiaTheme="minorEastAsia"/>
                <w:color w:val="000000" w:themeColor="text1"/>
                <w:szCs w:val="21"/>
              </w:rPr>
              <w:t>-8.97%</w:t>
            </w:r>
          </w:p>
        </w:tc>
        <w:tc>
          <w:tcPr>
            <w:tcW w:w="1291" w:type="dxa"/>
            <w:vAlign w:val="center"/>
          </w:tcPr>
          <w:p w:rsidR="007973D5" w:rsidRDefault="000711D1">
            <w:pPr>
              <w:jc w:val="right"/>
            </w:pPr>
            <w:r>
              <w:rPr>
                <w:rFonts w:eastAsiaTheme="minorEastAsia"/>
                <w:color w:val="000000" w:themeColor="text1"/>
                <w:szCs w:val="21"/>
              </w:rPr>
              <w:t>1.29%</w:t>
            </w:r>
          </w:p>
        </w:tc>
        <w:tc>
          <w:tcPr>
            <w:tcW w:w="1291" w:type="dxa"/>
            <w:vAlign w:val="center"/>
          </w:tcPr>
          <w:p w:rsidR="007973D5" w:rsidRDefault="000711D1">
            <w:pPr>
              <w:jc w:val="right"/>
            </w:pPr>
            <w:r>
              <w:rPr>
                <w:rFonts w:eastAsiaTheme="minorEastAsia"/>
                <w:color w:val="000000" w:themeColor="text1"/>
                <w:szCs w:val="21"/>
              </w:rPr>
              <w:t>-1.13%</w:t>
            </w:r>
          </w:p>
        </w:tc>
        <w:tc>
          <w:tcPr>
            <w:tcW w:w="1291" w:type="dxa"/>
            <w:vAlign w:val="center"/>
          </w:tcPr>
          <w:p w:rsidR="007973D5" w:rsidRDefault="000711D1">
            <w:pPr>
              <w:jc w:val="right"/>
            </w:pPr>
            <w:r>
              <w:rPr>
                <w:rFonts w:eastAsiaTheme="minorEastAsia"/>
                <w:color w:val="000000" w:themeColor="text1"/>
                <w:szCs w:val="21"/>
              </w:rPr>
              <w:t>0.01%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7973D5">
        <w:tc>
          <w:tcPr>
            <w:tcW w:w="1290" w:type="dxa"/>
            <w:vAlign w:val="center"/>
          </w:tcPr>
          <w:p w:rsidR="007973D5" w:rsidRDefault="000711D1">
            <w:pPr>
              <w:jc w:val="left"/>
            </w:pPr>
            <w:r>
              <w:rPr>
                <w:rFonts w:eastAsiaTheme="minorEastAsia"/>
                <w:color w:val="000000" w:themeColor="text1"/>
                <w:szCs w:val="21"/>
              </w:rPr>
              <w:t>过去三个月</w:t>
            </w:r>
          </w:p>
        </w:tc>
        <w:tc>
          <w:tcPr>
            <w:tcW w:w="1291" w:type="dxa"/>
            <w:vAlign w:val="center"/>
          </w:tcPr>
          <w:p w:rsidR="007973D5" w:rsidRDefault="000711D1">
            <w:pPr>
              <w:jc w:val="right"/>
            </w:pPr>
            <w:r>
              <w:rPr>
                <w:rFonts w:eastAsiaTheme="minorEastAsia"/>
                <w:color w:val="000000" w:themeColor="text1"/>
                <w:szCs w:val="21"/>
              </w:rPr>
              <w:t>1.29%</w:t>
            </w:r>
          </w:p>
        </w:tc>
        <w:tc>
          <w:tcPr>
            <w:tcW w:w="1291" w:type="dxa"/>
            <w:vAlign w:val="center"/>
          </w:tcPr>
          <w:p w:rsidR="007973D5" w:rsidRDefault="000711D1">
            <w:pPr>
              <w:jc w:val="right"/>
            </w:pPr>
            <w:r>
              <w:rPr>
                <w:rFonts w:eastAsiaTheme="minorEastAsia"/>
                <w:color w:val="000000" w:themeColor="text1"/>
                <w:szCs w:val="21"/>
              </w:rPr>
              <w:t>0.84%</w:t>
            </w:r>
          </w:p>
        </w:tc>
        <w:tc>
          <w:tcPr>
            <w:tcW w:w="1291" w:type="dxa"/>
            <w:vAlign w:val="center"/>
          </w:tcPr>
          <w:p w:rsidR="007973D5" w:rsidRDefault="000711D1">
            <w:pPr>
              <w:jc w:val="right"/>
            </w:pPr>
            <w:r>
              <w:rPr>
                <w:rFonts w:eastAsiaTheme="minorEastAsia"/>
                <w:color w:val="000000" w:themeColor="text1"/>
                <w:szCs w:val="21"/>
              </w:rPr>
              <w:t>1.76%</w:t>
            </w:r>
          </w:p>
        </w:tc>
        <w:tc>
          <w:tcPr>
            <w:tcW w:w="1291" w:type="dxa"/>
            <w:vAlign w:val="center"/>
          </w:tcPr>
          <w:p w:rsidR="007973D5" w:rsidRDefault="000711D1">
            <w:pPr>
              <w:jc w:val="right"/>
            </w:pPr>
            <w:r>
              <w:rPr>
                <w:rFonts w:eastAsiaTheme="minorEastAsia"/>
                <w:color w:val="000000" w:themeColor="text1"/>
                <w:szCs w:val="21"/>
              </w:rPr>
              <w:t>0.80%</w:t>
            </w:r>
          </w:p>
        </w:tc>
        <w:tc>
          <w:tcPr>
            <w:tcW w:w="1291" w:type="dxa"/>
            <w:vAlign w:val="center"/>
          </w:tcPr>
          <w:p w:rsidR="007973D5" w:rsidRDefault="000711D1">
            <w:pPr>
              <w:jc w:val="right"/>
            </w:pPr>
            <w:r>
              <w:rPr>
                <w:rFonts w:eastAsiaTheme="minorEastAsia"/>
                <w:color w:val="000000" w:themeColor="text1"/>
                <w:szCs w:val="21"/>
              </w:rPr>
              <w:t>-0.47%</w:t>
            </w:r>
          </w:p>
        </w:tc>
        <w:tc>
          <w:tcPr>
            <w:tcW w:w="1291" w:type="dxa"/>
            <w:vAlign w:val="center"/>
          </w:tcPr>
          <w:p w:rsidR="007973D5" w:rsidRDefault="000711D1">
            <w:pPr>
              <w:jc w:val="right"/>
            </w:pPr>
            <w:r>
              <w:rPr>
                <w:rFonts w:eastAsiaTheme="minorEastAsia"/>
                <w:color w:val="000000" w:themeColor="text1"/>
                <w:szCs w:val="21"/>
              </w:rPr>
              <w:t>0.04%</w:t>
            </w:r>
          </w:p>
        </w:tc>
      </w:tr>
      <w:tr w:rsidR="007973D5">
        <w:tc>
          <w:tcPr>
            <w:tcW w:w="1290" w:type="dxa"/>
            <w:vAlign w:val="center"/>
          </w:tcPr>
          <w:p w:rsidR="007973D5" w:rsidRDefault="000711D1">
            <w:pPr>
              <w:jc w:val="left"/>
            </w:pPr>
            <w:r>
              <w:rPr>
                <w:rFonts w:eastAsiaTheme="minorEastAsia"/>
                <w:color w:val="000000" w:themeColor="text1"/>
                <w:szCs w:val="21"/>
              </w:rPr>
              <w:t>过去六个月</w:t>
            </w:r>
          </w:p>
        </w:tc>
        <w:tc>
          <w:tcPr>
            <w:tcW w:w="1291" w:type="dxa"/>
            <w:vAlign w:val="center"/>
          </w:tcPr>
          <w:p w:rsidR="007973D5" w:rsidRDefault="000711D1">
            <w:pPr>
              <w:jc w:val="right"/>
            </w:pPr>
            <w:r>
              <w:rPr>
                <w:rFonts w:eastAsiaTheme="minorEastAsia"/>
                <w:color w:val="000000" w:themeColor="text1"/>
                <w:szCs w:val="21"/>
              </w:rPr>
              <w:t>3.78%</w:t>
            </w:r>
          </w:p>
        </w:tc>
        <w:tc>
          <w:tcPr>
            <w:tcW w:w="1291" w:type="dxa"/>
            <w:vAlign w:val="center"/>
          </w:tcPr>
          <w:p w:rsidR="007973D5" w:rsidRDefault="000711D1">
            <w:pPr>
              <w:jc w:val="right"/>
            </w:pPr>
            <w:r>
              <w:rPr>
                <w:rFonts w:eastAsiaTheme="minorEastAsia"/>
                <w:color w:val="000000" w:themeColor="text1"/>
                <w:szCs w:val="21"/>
              </w:rPr>
              <w:t>0.90%</w:t>
            </w:r>
          </w:p>
        </w:tc>
        <w:tc>
          <w:tcPr>
            <w:tcW w:w="1291" w:type="dxa"/>
            <w:vAlign w:val="center"/>
          </w:tcPr>
          <w:p w:rsidR="007973D5" w:rsidRDefault="000711D1">
            <w:pPr>
              <w:jc w:val="right"/>
            </w:pPr>
            <w:r>
              <w:rPr>
                <w:rFonts w:eastAsiaTheme="minorEastAsia"/>
                <w:color w:val="000000" w:themeColor="text1"/>
                <w:szCs w:val="21"/>
              </w:rPr>
              <w:t>7.89%</w:t>
            </w:r>
          </w:p>
        </w:tc>
        <w:tc>
          <w:tcPr>
            <w:tcW w:w="1291" w:type="dxa"/>
            <w:vAlign w:val="center"/>
          </w:tcPr>
          <w:p w:rsidR="007973D5" w:rsidRDefault="000711D1">
            <w:pPr>
              <w:jc w:val="right"/>
            </w:pPr>
            <w:r>
              <w:rPr>
                <w:rFonts w:eastAsiaTheme="minorEastAsia"/>
                <w:color w:val="000000" w:themeColor="text1"/>
                <w:szCs w:val="21"/>
              </w:rPr>
              <w:t>0.87%</w:t>
            </w:r>
          </w:p>
        </w:tc>
        <w:tc>
          <w:tcPr>
            <w:tcW w:w="1291" w:type="dxa"/>
            <w:vAlign w:val="center"/>
          </w:tcPr>
          <w:p w:rsidR="007973D5" w:rsidRDefault="000711D1">
            <w:pPr>
              <w:jc w:val="right"/>
            </w:pPr>
            <w:r>
              <w:rPr>
                <w:rFonts w:eastAsiaTheme="minorEastAsia"/>
                <w:color w:val="000000" w:themeColor="text1"/>
                <w:szCs w:val="21"/>
              </w:rPr>
              <w:t>-4.11%</w:t>
            </w:r>
          </w:p>
        </w:tc>
        <w:tc>
          <w:tcPr>
            <w:tcW w:w="1291" w:type="dxa"/>
            <w:vAlign w:val="center"/>
          </w:tcPr>
          <w:p w:rsidR="007973D5" w:rsidRDefault="000711D1">
            <w:pPr>
              <w:jc w:val="right"/>
            </w:pPr>
            <w:r>
              <w:rPr>
                <w:rFonts w:eastAsiaTheme="minorEastAsia"/>
                <w:color w:val="000000" w:themeColor="text1"/>
                <w:szCs w:val="21"/>
              </w:rPr>
              <w:t>0.03%</w:t>
            </w:r>
          </w:p>
        </w:tc>
      </w:tr>
      <w:tr w:rsidR="007973D5">
        <w:tc>
          <w:tcPr>
            <w:tcW w:w="1290" w:type="dxa"/>
            <w:vAlign w:val="center"/>
          </w:tcPr>
          <w:p w:rsidR="007973D5" w:rsidRDefault="000711D1">
            <w:pPr>
              <w:jc w:val="left"/>
            </w:pPr>
            <w:r>
              <w:rPr>
                <w:rFonts w:eastAsiaTheme="minorEastAsia"/>
                <w:color w:val="000000" w:themeColor="text1"/>
                <w:szCs w:val="21"/>
              </w:rPr>
              <w:t>过去一年</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r>
      <w:tr w:rsidR="007973D5">
        <w:tc>
          <w:tcPr>
            <w:tcW w:w="1290" w:type="dxa"/>
            <w:vAlign w:val="center"/>
          </w:tcPr>
          <w:p w:rsidR="007973D5" w:rsidRDefault="000711D1">
            <w:pPr>
              <w:jc w:val="left"/>
            </w:pPr>
            <w:r>
              <w:rPr>
                <w:rFonts w:eastAsiaTheme="minorEastAsia"/>
                <w:color w:val="000000" w:themeColor="text1"/>
                <w:szCs w:val="21"/>
              </w:rPr>
              <w:t>过去三年</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r>
      <w:tr w:rsidR="007973D5">
        <w:tc>
          <w:tcPr>
            <w:tcW w:w="1290" w:type="dxa"/>
            <w:vAlign w:val="center"/>
          </w:tcPr>
          <w:p w:rsidR="007973D5" w:rsidRDefault="000711D1">
            <w:pPr>
              <w:jc w:val="left"/>
            </w:pPr>
            <w:r>
              <w:rPr>
                <w:rFonts w:eastAsiaTheme="minorEastAsia"/>
                <w:color w:val="000000" w:themeColor="text1"/>
                <w:szCs w:val="21"/>
              </w:rPr>
              <w:t>过去五年</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c>
          <w:tcPr>
            <w:tcW w:w="1291" w:type="dxa"/>
            <w:vAlign w:val="center"/>
          </w:tcPr>
          <w:p w:rsidR="007973D5" w:rsidRDefault="000711D1">
            <w:pPr>
              <w:jc w:val="right"/>
            </w:pPr>
            <w:r>
              <w:rPr>
                <w:rFonts w:eastAsiaTheme="minorEastAsia"/>
                <w:color w:val="000000" w:themeColor="text1"/>
                <w:szCs w:val="21"/>
              </w:rPr>
              <w:t>-</w:t>
            </w:r>
          </w:p>
        </w:tc>
      </w:tr>
      <w:tr w:rsidR="007973D5">
        <w:tc>
          <w:tcPr>
            <w:tcW w:w="1290" w:type="dxa"/>
            <w:vAlign w:val="center"/>
          </w:tcPr>
          <w:p w:rsidR="007973D5" w:rsidRDefault="000711D1">
            <w:pPr>
              <w:jc w:val="left"/>
            </w:pPr>
            <w:r>
              <w:rPr>
                <w:rFonts w:eastAsiaTheme="minorEastAsia"/>
                <w:color w:val="000000" w:themeColor="text1"/>
                <w:szCs w:val="21"/>
              </w:rPr>
              <w:t>自基金合同生效起至今</w:t>
            </w:r>
          </w:p>
        </w:tc>
        <w:tc>
          <w:tcPr>
            <w:tcW w:w="1291" w:type="dxa"/>
            <w:vAlign w:val="center"/>
          </w:tcPr>
          <w:p w:rsidR="007973D5" w:rsidRDefault="000711D1">
            <w:pPr>
              <w:jc w:val="right"/>
            </w:pPr>
            <w:r>
              <w:rPr>
                <w:rFonts w:eastAsiaTheme="minorEastAsia"/>
                <w:color w:val="000000" w:themeColor="text1"/>
                <w:szCs w:val="21"/>
              </w:rPr>
              <w:t>5.03%</w:t>
            </w:r>
          </w:p>
        </w:tc>
        <w:tc>
          <w:tcPr>
            <w:tcW w:w="1291" w:type="dxa"/>
            <w:vAlign w:val="center"/>
          </w:tcPr>
          <w:p w:rsidR="007973D5" w:rsidRDefault="000711D1">
            <w:pPr>
              <w:jc w:val="right"/>
            </w:pPr>
            <w:r>
              <w:rPr>
                <w:rFonts w:eastAsiaTheme="minorEastAsia"/>
                <w:color w:val="000000" w:themeColor="text1"/>
                <w:szCs w:val="21"/>
              </w:rPr>
              <w:t>0.90%</w:t>
            </w:r>
          </w:p>
        </w:tc>
        <w:tc>
          <w:tcPr>
            <w:tcW w:w="1291" w:type="dxa"/>
            <w:vAlign w:val="center"/>
          </w:tcPr>
          <w:p w:rsidR="007973D5" w:rsidRDefault="000711D1">
            <w:pPr>
              <w:jc w:val="right"/>
            </w:pPr>
            <w:r>
              <w:rPr>
                <w:rFonts w:eastAsiaTheme="minorEastAsia"/>
                <w:color w:val="000000" w:themeColor="text1"/>
                <w:szCs w:val="21"/>
              </w:rPr>
              <w:t>9.01%</w:t>
            </w:r>
          </w:p>
        </w:tc>
        <w:tc>
          <w:tcPr>
            <w:tcW w:w="1291" w:type="dxa"/>
            <w:vAlign w:val="center"/>
          </w:tcPr>
          <w:p w:rsidR="007973D5" w:rsidRDefault="000711D1">
            <w:pPr>
              <w:jc w:val="right"/>
            </w:pPr>
            <w:r>
              <w:rPr>
                <w:rFonts w:eastAsiaTheme="minorEastAsia"/>
                <w:color w:val="000000" w:themeColor="text1"/>
                <w:szCs w:val="21"/>
              </w:rPr>
              <w:t>0.87%</w:t>
            </w:r>
          </w:p>
        </w:tc>
        <w:tc>
          <w:tcPr>
            <w:tcW w:w="1291" w:type="dxa"/>
            <w:vAlign w:val="center"/>
          </w:tcPr>
          <w:p w:rsidR="007973D5" w:rsidRDefault="000711D1">
            <w:pPr>
              <w:jc w:val="right"/>
            </w:pPr>
            <w:r>
              <w:rPr>
                <w:rFonts w:eastAsiaTheme="minorEastAsia"/>
                <w:color w:val="000000" w:themeColor="text1"/>
                <w:szCs w:val="21"/>
              </w:rPr>
              <w:t>-3.98%</w:t>
            </w:r>
          </w:p>
        </w:tc>
        <w:tc>
          <w:tcPr>
            <w:tcW w:w="1291" w:type="dxa"/>
            <w:vAlign w:val="center"/>
          </w:tcPr>
          <w:p w:rsidR="007973D5" w:rsidRDefault="000711D1">
            <w:pPr>
              <w:jc w:val="right"/>
            </w:pPr>
            <w:r>
              <w:rPr>
                <w:rFonts w:eastAsiaTheme="minorEastAsia"/>
                <w:color w:val="000000" w:themeColor="text1"/>
                <w:szCs w:val="21"/>
              </w:rPr>
              <w:t>0.03%</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w:t>
      </w:r>
      <w:r w:rsidRPr="00A3398F">
        <w:rPr>
          <w:rFonts w:eastAsiaTheme="minorEastAsia"/>
          <w:b/>
          <w:color w:val="000000" w:themeColor="text1"/>
          <w:kern w:val="0"/>
          <w:sz w:val="24"/>
        </w:rPr>
        <w:lastRenderedPageBreak/>
        <w:t>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摩根亚太优势混合型证券投资基金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2007</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．摩根亚太优势混合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．摩根亚太优势混合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7973D5">
        <w:tc>
          <w:tcPr>
            <w:tcW w:w="851" w:type="dxa"/>
            <w:vAlign w:val="center"/>
          </w:tcPr>
          <w:p w:rsidR="007973D5" w:rsidRDefault="000711D1">
            <w:pPr>
              <w:jc w:val="center"/>
            </w:pPr>
            <w:r>
              <w:rPr>
                <w:rFonts w:eastAsiaTheme="minorEastAsia"/>
                <w:color w:val="000000" w:themeColor="text1"/>
                <w:szCs w:val="21"/>
              </w:rPr>
              <w:t>张军</w:t>
            </w:r>
          </w:p>
        </w:tc>
        <w:tc>
          <w:tcPr>
            <w:tcW w:w="850" w:type="dxa"/>
            <w:vAlign w:val="center"/>
          </w:tcPr>
          <w:p w:rsidR="007973D5" w:rsidRDefault="000711D1">
            <w:pPr>
              <w:jc w:val="center"/>
            </w:pPr>
            <w:r>
              <w:rPr>
                <w:rFonts w:eastAsiaTheme="minorEastAsia"/>
                <w:color w:val="000000" w:themeColor="text1"/>
                <w:szCs w:val="21"/>
              </w:rPr>
              <w:t>本基金基金经理</w:t>
            </w:r>
          </w:p>
        </w:tc>
        <w:tc>
          <w:tcPr>
            <w:tcW w:w="1560" w:type="dxa"/>
            <w:vAlign w:val="center"/>
          </w:tcPr>
          <w:p w:rsidR="007973D5" w:rsidRDefault="000711D1">
            <w:pPr>
              <w:jc w:val="center"/>
            </w:pPr>
            <w:r>
              <w:rPr>
                <w:rFonts w:eastAsiaTheme="minorEastAsia"/>
                <w:color w:val="000000" w:themeColor="text1"/>
                <w:szCs w:val="21"/>
              </w:rPr>
              <w:t>2008-03-08</w:t>
            </w:r>
          </w:p>
        </w:tc>
        <w:tc>
          <w:tcPr>
            <w:tcW w:w="1559" w:type="dxa"/>
            <w:vAlign w:val="center"/>
          </w:tcPr>
          <w:p w:rsidR="007973D5" w:rsidRDefault="000711D1">
            <w:pPr>
              <w:jc w:val="center"/>
            </w:pPr>
            <w:r>
              <w:rPr>
                <w:rFonts w:eastAsiaTheme="minorEastAsia"/>
                <w:color w:val="000000" w:themeColor="text1"/>
                <w:szCs w:val="21"/>
              </w:rPr>
              <w:t>-</w:t>
            </w:r>
          </w:p>
        </w:tc>
        <w:tc>
          <w:tcPr>
            <w:tcW w:w="1417" w:type="dxa"/>
            <w:vAlign w:val="center"/>
          </w:tcPr>
          <w:p w:rsidR="007973D5" w:rsidRDefault="000711D1">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7973D5" w:rsidRDefault="000711D1">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7973D5" w:rsidRDefault="000711D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 xml:space="preserve">2.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8,269,898,674.74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31,398,792.44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8,301,297,467.18</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87"/>
        <w:gridCol w:w="2546"/>
        <w:gridCol w:w="466"/>
        <w:gridCol w:w="4514"/>
      </w:tblGrid>
      <w:tr w:rsidR="008277FF" w:rsidRPr="00A3398F" w:rsidTr="008C5664">
        <w:tc>
          <w:tcPr>
            <w:tcW w:w="1052"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485"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601"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4375"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7973D5">
        <w:tc>
          <w:tcPr>
            <w:tcW w:w="0" w:type="auto"/>
            <w:vAlign w:val="center"/>
          </w:tcPr>
          <w:p w:rsidR="007973D5" w:rsidRDefault="000711D1">
            <w:pPr>
              <w:jc w:val="center"/>
            </w:pPr>
            <w:r>
              <w:rPr>
                <w:rFonts w:eastAsiaTheme="minorEastAsia"/>
                <w:color w:val="000000" w:themeColor="text1"/>
                <w:szCs w:val="21"/>
              </w:rPr>
              <w:t>Ayaz Ebrahim</w:t>
            </w:r>
          </w:p>
        </w:tc>
        <w:tc>
          <w:tcPr>
            <w:tcW w:w="0" w:type="auto"/>
            <w:vAlign w:val="center"/>
          </w:tcPr>
          <w:p w:rsidR="007973D5" w:rsidRDefault="000711D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董事总经理，投资经理，位于香港的新兴市场和亚太地区（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）股票团队中亚太地区团队的联席主管，以及亚太资产配置委员会主席</w:t>
            </w:r>
          </w:p>
        </w:tc>
        <w:tc>
          <w:tcPr>
            <w:tcW w:w="0" w:type="auto"/>
            <w:vAlign w:val="center"/>
          </w:tcPr>
          <w:p w:rsidR="007973D5" w:rsidRDefault="000711D1">
            <w:pPr>
              <w:jc w:val="center"/>
            </w:pPr>
            <w:r>
              <w:rPr>
                <w:rFonts w:eastAsiaTheme="minorEastAsia"/>
                <w:color w:val="000000" w:themeColor="text1"/>
                <w:szCs w:val="21"/>
              </w:rPr>
              <w:t>34</w:t>
            </w:r>
            <w:r>
              <w:rPr>
                <w:rFonts w:eastAsiaTheme="minorEastAsia"/>
                <w:color w:val="000000" w:themeColor="text1"/>
                <w:szCs w:val="21"/>
              </w:rPr>
              <w:t>年</w:t>
            </w:r>
          </w:p>
        </w:tc>
        <w:tc>
          <w:tcPr>
            <w:tcW w:w="0" w:type="auto"/>
            <w:vAlign w:val="center"/>
          </w:tcPr>
          <w:p w:rsidR="007973D5" w:rsidRDefault="000711D1">
            <w:pPr>
              <w:jc w:val="left"/>
            </w:pPr>
            <w:r>
              <w:rPr>
                <w:rFonts w:eastAsiaTheme="minorEastAsia"/>
                <w:color w:val="000000" w:themeColor="text1"/>
                <w:szCs w:val="21"/>
              </w:rPr>
              <w:t>Ayaz Ebrahim</w:t>
            </w:r>
            <w:r>
              <w:rPr>
                <w:rFonts w:eastAsiaTheme="minorEastAsia"/>
                <w:color w:val="000000" w:themeColor="text1"/>
                <w:szCs w:val="21"/>
              </w:rPr>
              <w:t>，董事总经理，任投资经理兼位于香港的新兴市场和亚太地区（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）股票团队中亚太地区团队的联席主管。他还担任亚太资产配置委员会主席。在</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月加入摩根资产管理公司之前，</w:t>
            </w:r>
            <w:r>
              <w:rPr>
                <w:rFonts w:eastAsiaTheme="minorEastAsia"/>
                <w:color w:val="000000" w:themeColor="text1"/>
                <w:szCs w:val="21"/>
              </w:rPr>
              <w:t>Ayaz</w:t>
            </w:r>
            <w:r>
              <w:rPr>
                <w:rFonts w:eastAsiaTheme="minorEastAsia"/>
                <w:color w:val="000000" w:themeColor="text1"/>
                <w:szCs w:val="21"/>
              </w:rPr>
              <w:t>曾在东方汇理资产管理香港有限公司任职，在该公司担任亚洲（除日本外）股票团队的首席投资官（</w:t>
            </w:r>
            <w:r>
              <w:rPr>
                <w:rFonts w:eastAsiaTheme="minorEastAsia"/>
                <w:color w:val="000000" w:themeColor="text1"/>
                <w:szCs w:val="21"/>
              </w:rPr>
              <w:t>CIO</w:t>
            </w:r>
            <w:r>
              <w:rPr>
                <w:rFonts w:eastAsiaTheme="minorEastAsia"/>
                <w:color w:val="000000" w:themeColor="text1"/>
                <w:szCs w:val="21"/>
              </w:rPr>
              <w:t>）和副首席执行官（</w:t>
            </w:r>
            <w:r>
              <w:rPr>
                <w:rFonts w:eastAsiaTheme="minorEastAsia"/>
                <w:color w:val="000000" w:themeColor="text1"/>
                <w:szCs w:val="21"/>
              </w:rPr>
              <w:t>CEO</w:t>
            </w:r>
            <w:r>
              <w:rPr>
                <w:rFonts w:eastAsiaTheme="minorEastAsia"/>
                <w:color w:val="000000" w:themeColor="text1"/>
                <w:szCs w:val="21"/>
              </w:rPr>
              <w:t>）超过五年。在此之前，</w:t>
            </w:r>
            <w:r>
              <w:rPr>
                <w:rFonts w:eastAsiaTheme="minorEastAsia"/>
                <w:color w:val="000000" w:themeColor="text1"/>
                <w:szCs w:val="21"/>
              </w:rPr>
              <w:t>Ayaz</w:t>
            </w:r>
            <w:r>
              <w:rPr>
                <w:rFonts w:eastAsiaTheme="minorEastAsia"/>
                <w:color w:val="000000" w:themeColor="text1"/>
                <w:szCs w:val="21"/>
              </w:rPr>
              <w:t>曾担任汇丰银行全球资产管理公司和德意志资产管理公司的亚太区首席投资官（</w:t>
            </w:r>
            <w:r>
              <w:rPr>
                <w:rFonts w:eastAsiaTheme="minorEastAsia"/>
                <w:color w:val="000000" w:themeColor="text1"/>
                <w:szCs w:val="21"/>
              </w:rPr>
              <w:t>CIO</w:t>
            </w:r>
            <w:r>
              <w:rPr>
                <w:rFonts w:eastAsiaTheme="minorEastAsia"/>
                <w:color w:val="000000" w:themeColor="text1"/>
                <w:szCs w:val="21"/>
              </w:rPr>
              <w:t>）。从</w:t>
            </w:r>
            <w:r>
              <w:rPr>
                <w:rFonts w:eastAsiaTheme="minorEastAsia"/>
                <w:color w:val="000000" w:themeColor="text1"/>
                <w:szCs w:val="21"/>
              </w:rPr>
              <w:t>1991</w:t>
            </w:r>
            <w:r>
              <w:rPr>
                <w:rFonts w:eastAsiaTheme="minorEastAsia"/>
                <w:color w:val="000000" w:themeColor="text1"/>
                <w:szCs w:val="21"/>
              </w:rPr>
              <w:t>年到</w:t>
            </w:r>
            <w:r>
              <w:rPr>
                <w:rFonts w:eastAsiaTheme="minorEastAsia"/>
                <w:color w:val="000000" w:themeColor="text1"/>
                <w:szCs w:val="21"/>
              </w:rPr>
              <w:t>2002</w:t>
            </w:r>
            <w:r>
              <w:rPr>
                <w:rFonts w:eastAsiaTheme="minorEastAsia"/>
                <w:color w:val="000000" w:themeColor="text1"/>
                <w:szCs w:val="21"/>
              </w:rPr>
              <w:t>年，他在</w:t>
            </w:r>
            <w:r>
              <w:rPr>
                <w:rFonts w:eastAsiaTheme="minorEastAsia"/>
                <w:color w:val="000000" w:themeColor="text1"/>
                <w:szCs w:val="21"/>
              </w:rPr>
              <w:t>CréditAgricole</w:t>
            </w:r>
            <w:r>
              <w:rPr>
                <w:rFonts w:eastAsiaTheme="minorEastAsia"/>
                <w:color w:val="000000" w:themeColor="text1"/>
                <w:szCs w:val="21"/>
              </w:rPr>
              <w:t>资产管理公司（香港）（现更名为东方汇理资产管理香港有限公司）工作，曾任投资经理、亚洲首席投资官（</w:t>
            </w:r>
            <w:r>
              <w:rPr>
                <w:rFonts w:eastAsiaTheme="minorEastAsia"/>
                <w:color w:val="000000" w:themeColor="text1"/>
                <w:szCs w:val="21"/>
              </w:rPr>
              <w:t>CIO</w:t>
            </w:r>
            <w:r>
              <w:rPr>
                <w:rFonts w:eastAsiaTheme="minorEastAsia"/>
                <w:color w:val="000000" w:themeColor="text1"/>
                <w:szCs w:val="21"/>
              </w:rPr>
              <w:t>）。</w:t>
            </w:r>
            <w:r>
              <w:rPr>
                <w:rFonts w:eastAsiaTheme="minorEastAsia"/>
                <w:color w:val="000000" w:themeColor="text1"/>
                <w:szCs w:val="21"/>
              </w:rPr>
              <w:t>Ayaz</w:t>
            </w:r>
            <w:r>
              <w:rPr>
                <w:rFonts w:eastAsiaTheme="minorEastAsia"/>
                <w:color w:val="000000" w:themeColor="text1"/>
                <w:szCs w:val="21"/>
              </w:rPr>
              <w:t>拥有英国东英吉利大学的民法博士学位（</w:t>
            </w:r>
            <w:r>
              <w:rPr>
                <w:rFonts w:eastAsiaTheme="minorEastAsia"/>
                <w:color w:val="000000" w:themeColor="text1"/>
                <w:szCs w:val="21"/>
              </w:rPr>
              <w:t>DCL</w:t>
            </w:r>
            <w:r>
              <w:rPr>
                <w:rFonts w:eastAsiaTheme="minorEastAsia"/>
                <w:color w:val="000000" w:themeColor="text1"/>
                <w:szCs w:val="21"/>
              </w:rPr>
              <w:t>）和会计理学学士学位（荣誉学位）。</w:t>
            </w:r>
          </w:p>
        </w:tc>
      </w:tr>
      <w:tr w:rsidR="007973D5">
        <w:tc>
          <w:tcPr>
            <w:tcW w:w="0" w:type="auto"/>
            <w:vAlign w:val="center"/>
          </w:tcPr>
          <w:p w:rsidR="007973D5" w:rsidRDefault="000711D1">
            <w:pPr>
              <w:jc w:val="center"/>
            </w:pPr>
            <w:r>
              <w:rPr>
                <w:rFonts w:eastAsiaTheme="minorEastAsia"/>
                <w:color w:val="000000" w:themeColor="text1"/>
                <w:szCs w:val="21"/>
              </w:rPr>
              <w:t>Julian Wong</w:t>
            </w:r>
          </w:p>
        </w:tc>
        <w:tc>
          <w:tcPr>
            <w:tcW w:w="0" w:type="auto"/>
            <w:vAlign w:val="center"/>
          </w:tcPr>
          <w:p w:rsidR="007973D5" w:rsidRDefault="000711D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7973D5" w:rsidRDefault="000711D1">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7973D5" w:rsidRDefault="000711D1">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w:t>
            </w:r>
            <w:r>
              <w:rPr>
                <w:rFonts w:eastAsiaTheme="minorEastAsia"/>
                <w:color w:val="000000" w:themeColor="text1"/>
                <w:szCs w:val="21"/>
              </w:rPr>
              <w:lastRenderedPageBreak/>
              <w:t>的工商管理学士学位。他还是特许金融分析师。</w:t>
            </w:r>
          </w:p>
        </w:tc>
      </w:tr>
    </w:tbl>
    <w:p w:rsidR="00FB47E0" w:rsidRPr="00095FD1" w:rsidRDefault="008C5664" w:rsidP="00095FD1">
      <w:pPr>
        <w:spacing w:line="360" w:lineRule="auto"/>
        <w:rPr>
          <w:rFonts w:eastAsiaTheme="minorEastAsia"/>
          <w:color w:val="000000" w:themeColor="text1"/>
          <w:szCs w:val="21"/>
        </w:rPr>
      </w:pPr>
      <w:r>
        <w:rPr>
          <w:rFonts w:eastAsiaTheme="minorEastAsia" w:hint="eastAsia"/>
          <w:color w:val="000000" w:themeColor="text1"/>
          <w:szCs w:val="21"/>
        </w:rPr>
        <w:lastRenderedPageBreak/>
        <w:t>注：</w:t>
      </w:r>
      <w:r w:rsidRPr="00095FD1">
        <w:rPr>
          <w:rFonts w:eastAsiaTheme="minorEastAsia" w:hint="eastAsia"/>
          <w:color w:val="000000" w:themeColor="text1"/>
          <w:szCs w:val="21"/>
        </w:rPr>
        <w:t>自</w:t>
      </w:r>
      <w:r w:rsidRPr="00095FD1">
        <w:rPr>
          <w:rFonts w:eastAsiaTheme="minorEastAsia"/>
          <w:color w:val="000000" w:themeColor="text1"/>
          <w:szCs w:val="21"/>
        </w:rPr>
        <w:t>2024</w:t>
      </w:r>
      <w:r w:rsidRPr="00095FD1">
        <w:rPr>
          <w:rFonts w:eastAsiaTheme="minorEastAsia" w:hint="eastAsia"/>
          <w:color w:val="000000" w:themeColor="text1"/>
          <w:szCs w:val="21"/>
        </w:rPr>
        <w:t>年</w:t>
      </w:r>
      <w:r w:rsidRPr="00095FD1">
        <w:rPr>
          <w:rFonts w:eastAsiaTheme="minorEastAsia"/>
          <w:color w:val="000000" w:themeColor="text1"/>
          <w:szCs w:val="21"/>
        </w:rPr>
        <w:t>4</w:t>
      </w:r>
      <w:r w:rsidRPr="00095FD1">
        <w:rPr>
          <w:rFonts w:eastAsiaTheme="minorEastAsia" w:hint="eastAsia"/>
          <w:color w:val="000000" w:themeColor="text1"/>
          <w:szCs w:val="21"/>
        </w:rPr>
        <w:t>月</w:t>
      </w:r>
      <w:r w:rsidRPr="00095FD1">
        <w:rPr>
          <w:rFonts w:eastAsiaTheme="minorEastAsia"/>
          <w:color w:val="000000" w:themeColor="text1"/>
          <w:szCs w:val="21"/>
        </w:rPr>
        <w:t>1</w:t>
      </w:r>
      <w:r w:rsidRPr="00095FD1">
        <w:rPr>
          <w:rFonts w:eastAsiaTheme="minorEastAsia" w:hint="eastAsia"/>
          <w:color w:val="000000" w:themeColor="text1"/>
          <w:szCs w:val="21"/>
        </w:rPr>
        <w:t>日起，</w:t>
      </w:r>
      <w:r w:rsidRPr="00095FD1">
        <w:rPr>
          <w:rFonts w:eastAsiaTheme="minorEastAsia"/>
          <w:color w:val="000000" w:themeColor="text1"/>
          <w:szCs w:val="21"/>
        </w:rPr>
        <w:t>Robert Lloyd</w:t>
      </w:r>
      <w:r w:rsidRPr="00095FD1">
        <w:rPr>
          <w:rFonts w:eastAsiaTheme="minorEastAsia" w:hint="eastAsia"/>
          <w:color w:val="000000" w:themeColor="text1"/>
          <w:szCs w:val="21"/>
        </w:rPr>
        <w:t>新任本基金境外投资顾问，</w:t>
      </w:r>
      <w:r w:rsidRPr="00095FD1">
        <w:rPr>
          <w:rFonts w:eastAsiaTheme="minorEastAsia"/>
          <w:color w:val="000000" w:themeColor="text1"/>
          <w:szCs w:val="21"/>
        </w:rPr>
        <w:t>Ayaz Ebrahim</w:t>
      </w:r>
      <w:r w:rsidRPr="00095FD1">
        <w:rPr>
          <w:rFonts w:eastAsiaTheme="minorEastAsia" w:hint="eastAsia"/>
          <w:color w:val="000000" w:themeColor="text1"/>
          <w:szCs w:val="21"/>
        </w:rPr>
        <w:t>不再担任本基金境外投资顾问。</w:t>
      </w: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 xml:space="preserve">4.5 </w:t>
      </w:r>
      <w:r w:rsidRPr="00A3398F">
        <w:rPr>
          <w:rFonts w:eastAsiaTheme="minorEastAsia"/>
          <w:b/>
          <w:color w:val="000000" w:themeColor="text1"/>
          <w:kern w:val="0"/>
          <w:sz w:val="24"/>
        </w:rPr>
        <w:t>报告期内基金的投资策略和业绩表现说明</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报告期内，亚太区（除日本）股市在</w:t>
      </w:r>
      <w:r>
        <w:rPr>
          <w:rFonts w:eastAsiaTheme="minorEastAsia"/>
          <w:color w:val="000000" w:themeColor="text1"/>
          <w:szCs w:val="21"/>
        </w:rPr>
        <w:t>1</w:t>
      </w:r>
      <w:r>
        <w:rPr>
          <w:rFonts w:eastAsiaTheme="minorEastAsia"/>
          <w:color w:val="000000" w:themeColor="text1"/>
          <w:szCs w:val="21"/>
        </w:rPr>
        <w:t>月下跌，今年</w:t>
      </w:r>
      <w:r>
        <w:rPr>
          <w:rFonts w:eastAsiaTheme="minorEastAsia"/>
          <w:color w:val="000000" w:themeColor="text1"/>
          <w:szCs w:val="21"/>
        </w:rPr>
        <w:t>2</w:t>
      </w:r>
      <w:r>
        <w:rPr>
          <w:rFonts w:eastAsiaTheme="minorEastAsia"/>
          <w:color w:val="000000" w:themeColor="text1"/>
          <w:szCs w:val="21"/>
        </w:rPr>
        <w:t>月后，在中国股市的强劲反弹带动下，股指反弹。全球</w:t>
      </w:r>
      <w:r>
        <w:rPr>
          <w:rFonts w:eastAsiaTheme="minorEastAsia"/>
          <w:color w:val="000000" w:themeColor="text1"/>
          <w:szCs w:val="21"/>
        </w:rPr>
        <w:t>AI</w:t>
      </w:r>
      <w:r>
        <w:rPr>
          <w:rFonts w:eastAsiaTheme="minorEastAsia"/>
          <w:color w:val="000000" w:themeColor="text1"/>
          <w:szCs w:val="21"/>
        </w:rPr>
        <w:t>概念领先企业的股价上涨，让亚太区相关的产业链上的企业也受益，比如韩国和台湾地区。因铁矿石价格下跌，澳大利亚的大型矿业公司股价下跌，导致澳大利亚股指整体表现落后。印度股市表现也相对落后，政府提出的中期预算不足以刺激消费，印度银行业因受困于利润率而表现平平。</w:t>
      </w:r>
      <w:r>
        <w:rPr>
          <w:rFonts w:eastAsiaTheme="minorEastAsia"/>
          <w:color w:val="000000" w:themeColor="text1"/>
          <w:szCs w:val="21"/>
        </w:rPr>
        <w:t>IT</w:t>
      </w:r>
      <w:r>
        <w:rPr>
          <w:rFonts w:eastAsiaTheme="minorEastAsia"/>
          <w:color w:val="000000" w:themeColor="text1"/>
          <w:szCs w:val="21"/>
        </w:rPr>
        <w:t>和能源行业超涨，原材料和地产行业表现落后。</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年后，一系列挑战将开始显现。盈利有待恢复，但面临外部风险：尽管存在特殊驱动因素，但亚洲的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增长（以美元计算）仍然与全球出口风险密切相关，亚洲的每股收益增长历来与亚洲的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和出口增长以及全球采购经理人指数密切相关。因此，任何成熟市场评级下调都将影响亚洲的每股收益预期。</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年，亚洲将举行一些重要的选举，这些选举都可能对该地区的宏观和市场状况产生影响。虽然在大多数情况下，选举可能伴随着刺激消费或情绪的政策，但它们也可能往往是波动加剧的时期。</w:t>
      </w:r>
      <w:r>
        <w:rPr>
          <w:rFonts w:eastAsiaTheme="minorEastAsia"/>
          <w:color w:val="000000" w:themeColor="text1"/>
          <w:szCs w:val="21"/>
        </w:rPr>
        <w:t xml:space="preserve"> </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就中国市场而言，当前较悲观氛围中，中国股市或有以下几点值得期待和关注的利好因素：</w:t>
      </w:r>
      <w:r>
        <w:rPr>
          <w:rFonts w:eastAsiaTheme="minorEastAsia"/>
          <w:color w:val="000000" w:themeColor="text1"/>
          <w:szCs w:val="21"/>
        </w:rPr>
        <w:t>1</w:t>
      </w:r>
      <w:r>
        <w:rPr>
          <w:rFonts w:eastAsiaTheme="minorEastAsia"/>
          <w:color w:val="000000" w:themeColor="text1"/>
          <w:szCs w:val="21"/>
        </w:rPr>
        <w:t>）有意义的金融部门改革，国内长期资本开始购买中国股票</w:t>
      </w:r>
      <w:r>
        <w:rPr>
          <w:rFonts w:eastAsiaTheme="minorEastAsia"/>
          <w:color w:val="000000" w:themeColor="text1"/>
          <w:szCs w:val="21"/>
        </w:rPr>
        <w:t>;2</w:t>
      </w:r>
      <w:r>
        <w:rPr>
          <w:rFonts w:eastAsiaTheme="minorEastAsia"/>
          <w:color w:val="000000" w:themeColor="text1"/>
          <w:szCs w:val="21"/>
        </w:rPr>
        <w:t>）稳定的中美关系</w:t>
      </w:r>
      <w:r>
        <w:rPr>
          <w:rFonts w:eastAsiaTheme="minorEastAsia"/>
          <w:color w:val="000000" w:themeColor="text1"/>
          <w:szCs w:val="21"/>
        </w:rPr>
        <w:t>;3</w:t>
      </w:r>
      <w:r>
        <w:rPr>
          <w:rFonts w:eastAsiaTheme="minorEastAsia"/>
          <w:color w:val="000000" w:themeColor="text1"/>
          <w:szCs w:val="21"/>
        </w:rPr>
        <w:t>）人民币兑美元汇率或将趋于稳定。</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此外，金融市场呈现出投资者参与、流动性不断加深和扩大、基本面覆盖率和分析不断提高以及资本发行的良性循环，这支持了风险调整后回报的强劲的良好记录。除了结构性前景外，将推动市场走高的近期因素包括强劲的经济活动数据、令人印象深刻的企业盈利、油价回落、强劲的国内资金流动以及近期外国投资者的仓位清淡。</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全球经济在</w:t>
      </w:r>
      <w:r>
        <w:rPr>
          <w:rFonts w:eastAsiaTheme="minorEastAsia"/>
          <w:color w:val="000000" w:themeColor="text1"/>
          <w:szCs w:val="21"/>
        </w:rPr>
        <w:t xml:space="preserve">2024 </w:t>
      </w:r>
      <w:r>
        <w:rPr>
          <w:rFonts w:eastAsiaTheme="minorEastAsia"/>
          <w:color w:val="000000" w:themeColor="text1"/>
          <w:szCs w:val="21"/>
        </w:rPr>
        <w:t>年预计是复苏之年，但这在一定程度上被</w:t>
      </w:r>
      <w:r>
        <w:rPr>
          <w:rFonts w:eastAsiaTheme="minorEastAsia"/>
          <w:color w:val="000000" w:themeColor="text1"/>
          <w:szCs w:val="21"/>
        </w:rPr>
        <w:t xml:space="preserve"> 2023 </w:t>
      </w:r>
      <w:r>
        <w:rPr>
          <w:rFonts w:eastAsiaTheme="minorEastAsia"/>
          <w:color w:val="000000" w:themeColor="text1"/>
          <w:szCs w:val="21"/>
        </w:rPr>
        <w:t>年的反弹所消化。值得关注的主要风险在于：</w:t>
      </w:r>
      <w:r>
        <w:rPr>
          <w:rFonts w:eastAsiaTheme="minorEastAsia"/>
          <w:color w:val="000000" w:themeColor="text1"/>
          <w:szCs w:val="21"/>
        </w:rPr>
        <w:t>1</w:t>
      </w:r>
      <w:r>
        <w:rPr>
          <w:rFonts w:eastAsiaTheme="minorEastAsia"/>
          <w:color w:val="000000" w:themeColor="text1"/>
          <w:szCs w:val="21"/>
        </w:rPr>
        <w:t>）当前市场普遍估计，</w:t>
      </w:r>
      <w:r>
        <w:rPr>
          <w:rFonts w:eastAsiaTheme="minorEastAsia"/>
          <w:color w:val="000000" w:themeColor="text1"/>
          <w:szCs w:val="21"/>
        </w:rPr>
        <w:t>2024</w:t>
      </w:r>
      <w:r>
        <w:rPr>
          <w:rFonts w:eastAsiaTheme="minorEastAsia"/>
          <w:color w:val="000000" w:themeColor="text1"/>
          <w:szCs w:val="21"/>
        </w:rPr>
        <w:t>年和</w:t>
      </w:r>
      <w:r>
        <w:rPr>
          <w:rFonts w:eastAsiaTheme="minorEastAsia"/>
          <w:color w:val="000000" w:themeColor="text1"/>
          <w:szCs w:val="21"/>
        </w:rPr>
        <w:t>2025</w:t>
      </w:r>
      <w:r>
        <w:rPr>
          <w:rFonts w:eastAsiaTheme="minorEastAsia"/>
          <w:color w:val="000000" w:themeColor="text1"/>
          <w:szCs w:val="21"/>
        </w:rPr>
        <w:t>年全球经济将出现非常强劲的复苏，这可能会面临潜在增长不达预期的风险。</w:t>
      </w:r>
      <w:r>
        <w:rPr>
          <w:rFonts w:eastAsiaTheme="minorEastAsia"/>
          <w:color w:val="000000" w:themeColor="text1"/>
          <w:szCs w:val="21"/>
        </w:rPr>
        <w:t>2</w:t>
      </w:r>
      <w:r>
        <w:rPr>
          <w:rFonts w:eastAsiaTheme="minorEastAsia"/>
          <w:color w:val="000000" w:themeColor="text1"/>
          <w:szCs w:val="21"/>
        </w:rPr>
        <w:t>）人工智能交易中的投资者反馈表明，如果缺乏实质性的应用跟进，对科技股的估值会有调整压力。</w:t>
      </w:r>
      <w:r>
        <w:rPr>
          <w:rFonts w:eastAsiaTheme="minorEastAsia"/>
          <w:color w:val="000000" w:themeColor="text1"/>
          <w:szCs w:val="21"/>
        </w:rPr>
        <w:t>3</w:t>
      </w:r>
      <w:r>
        <w:rPr>
          <w:rFonts w:eastAsiaTheme="minorEastAsia"/>
          <w:color w:val="000000" w:themeColor="text1"/>
          <w:szCs w:val="21"/>
        </w:rPr>
        <w:t>）如果美国宏观预期再次发生变化，亚太市场的估值也可能面临调整压力。</w:t>
      </w:r>
      <w:r>
        <w:rPr>
          <w:rFonts w:eastAsiaTheme="minorEastAsia"/>
          <w:color w:val="000000" w:themeColor="text1"/>
          <w:szCs w:val="21"/>
        </w:rPr>
        <w:t>4</w:t>
      </w:r>
      <w:r>
        <w:rPr>
          <w:rFonts w:eastAsiaTheme="minorEastAsia"/>
          <w:color w:val="000000" w:themeColor="text1"/>
          <w:szCs w:val="21"/>
        </w:rPr>
        <w:t>）投资者在韩国和中国台湾地区的</w:t>
      </w:r>
      <w:r>
        <w:rPr>
          <w:rFonts w:eastAsiaTheme="minorEastAsia"/>
          <w:color w:val="000000" w:themeColor="text1"/>
          <w:szCs w:val="21"/>
        </w:rPr>
        <w:t xml:space="preserve"> IT </w:t>
      </w:r>
      <w:r>
        <w:rPr>
          <w:rFonts w:eastAsiaTheme="minorEastAsia"/>
          <w:color w:val="000000" w:themeColor="text1"/>
          <w:szCs w:val="21"/>
        </w:rPr>
        <w:t>行业依然保持着显著的超配仓位。</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:1.46%</w:t>
      </w:r>
      <w:r>
        <w:rPr>
          <w:rFonts w:eastAsiaTheme="minorEastAsia"/>
          <w:color w:val="000000" w:themeColor="text1"/>
          <w:szCs w:val="21"/>
        </w:rPr>
        <w:t>，同期业绩比较基准收益率为</w:t>
      </w:r>
      <w:r>
        <w:rPr>
          <w:rFonts w:eastAsiaTheme="minorEastAsia"/>
          <w:color w:val="000000" w:themeColor="text1"/>
          <w:szCs w:val="21"/>
        </w:rPr>
        <w:t>:1.76%</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:1.29%</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:1.76%</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lastRenderedPageBreak/>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2,292,803,430.67</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91.5</w:t>
            </w:r>
            <w:r w:rsidR="000711D1">
              <w:rPr>
                <w:rFonts w:eastAsiaTheme="minorEastAsia"/>
                <w:color w:val="000000" w:themeColor="text1"/>
                <w:szCs w:val="21"/>
              </w:rPr>
              <w:t>4</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832458" w:rsidRDefault="00832458" w:rsidP="00832458">
            <w:pPr>
              <w:widowControl/>
              <w:jc w:val="right"/>
              <w:rPr>
                <w:rFonts w:ascii="Arial" w:hAnsi="Arial" w:cs="Arial"/>
                <w:color w:val="000000"/>
                <w:kern w:val="0"/>
                <w:sz w:val="20"/>
                <w:szCs w:val="20"/>
              </w:rPr>
            </w:pPr>
            <w:r>
              <w:rPr>
                <w:rFonts w:ascii="Arial" w:hAnsi="Arial" w:cs="Arial"/>
                <w:color w:val="000000"/>
                <w:sz w:val="20"/>
                <w:szCs w:val="20"/>
              </w:rPr>
              <w:t xml:space="preserve">    2,231,851,098.66 </w:t>
            </w:r>
          </w:p>
          <w:p w:rsidR="00363E15" w:rsidRPr="00A3398F" w:rsidRDefault="00363E15" w:rsidP="00BF1DD5">
            <w:pPr>
              <w:spacing w:before="29" w:line="360" w:lineRule="auto"/>
              <w:ind w:left="17"/>
              <w:jc w:val="right"/>
              <w:rPr>
                <w:rFonts w:eastAsiaTheme="minorEastAsia"/>
                <w:color w:val="000000" w:themeColor="text1"/>
                <w:szCs w:val="21"/>
              </w:rPr>
            </w:pPr>
          </w:p>
        </w:tc>
        <w:tc>
          <w:tcPr>
            <w:tcW w:w="1559" w:type="dxa"/>
            <w:shd w:val="clear" w:color="auto" w:fill="auto"/>
            <w:vAlign w:val="center"/>
          </w:tcPr>
          <w:p w:rsidR="00363E15" w:rsidRPr="00A3398F" w:rsidRDefault="00363E15" w:rsidP="0083245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w:t>
            </w:r>
            <w:r w:rsidR="00832458">
              <w:rPr>
                <w:rFonts w:eastAsiaTheme="minorEastAsia"/>
                <w:color w:val="000000" w:themeColor="text1"/>
                <w:szCs w:val="21"/>
              </w:rPr>
              <w:t>9.11</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60,952,332.01</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200,339,599.55</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8.00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0711D1" w:rsidP="00BF1DD5">
            <w:pPr>
              <w:jc w:val="right"/>
              <w:rPr>
                <w:rFonts w:eastAsiaTheme="minorEastAsia"/>
                <w:color w:val="000000" w:themeColor="text1"/>
                <w:szCs w:val="21"/>
              </w:rPr>
            </w:pPr>
            <w:r w:rsidRPr="000711D1">
              <w:rPr>
                <w:rFonts w:eastAsiaTheme="minorEastAsia"/>
                <w:color w:val="000000" w:themeColor="text1"/>
                <w:szCs w:val="21"/>
              </w:rPr>
              <w:t>11</w:t>
            </w:r>
            <w:r>
              <w:rPr>
                <w:rFonts w:eastAsiaTheme="minorEastAsia"/>
                <w:color w:val="000000" w:themeColor="text1"/>
                <w:szCs w:val="21"/>
              </w:rPr>
              <w:t>,</w:t>
            </w:r>
            <w:r w:rsidRPr="000711D1">
              <w:rPr>
                <w:rFonts w:eastAsiaTheme="minorEastAsia"/>
                <w:color w:val="000000" w:themeColor="text1"/>
                <w:szCs w:val="21"/>
              </w:rPr>
              <w:t>423</w:t>
            </w:r>
            <w:r>
              <w:rPr>
                <w:rFonts w:eastAsiaTheme="minorEastAsia"/>
                <w:color w:val="000000" w:themeColor="text1"/>
                <w:szCs w:val="21"/>
              </w:rPr>
              <w:t>,</w:t>
            </w:r>
            <w:r w:rsidRPr="000711D1">
              <w:rPr>
                <w:rFonts w:eastAsiaTheme="minorEastAsia"/>
                <w:color w:val="000000" w:themeColor="text1"/>
                <w:szCs w:val="21"/>
              </w:rPr>
              <w:t>090.89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0.4</w:t>
            </w:r>
            <w:r w:rsidR="000711D1">
              <w:rPr>
                <w:rFonts w:eastAsiaTheme="minorEastAsia"/>
                <w:color w:val="000000" w:themeColor="text1"/>
                <w:szCs w:val="21"/>
              </w:rPr>
              <w:t>6</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0711D1" w:rsidP="00BF1DD5">
            <w:pPr>
              <w:jc w:val="right"/>
              <w:rPr>
                <w:rFonts w:eastAsiaTheme="minorEastAsia"/>
                <w:color w:val="000000" w:themeColor="text1"/>
                <w:szCs w:val="21"/>
              </w:rPr>
            </w:pPr>
            <w:r w:rsidRPr="000711D1">
              <w:rPr>
                <w:rFonts w:eastAsiaTheme="minorEastAsia"/>
                <w:color w:val="000000" w:themeColor="text1"/>
                <w:szCs w:val="21"/>
              </w:rPr>
              <w:t>2</w:t>
            </w:r>
            <w:r>
              <w:rPr>
                <w:rFonts w:eastAsiaTheme="minorEastAsia"/>
                <w:color w:val="000000" w:themeColor="text1"/>
                <w:szCs w:val="21"/>
              </w:rPr>
              <w:t>,</w:t>
            </w:r>
            <w:r w:rsidRPr="000711D1">
              <w:rPr>
                <w:rFonts w:eastAsiaTheme="minorEastAsia"/>
                <w:color w:val="000000" w:themeColor="text1"/>
                <w:szCs w:val="21"/>
              </w:rPr>
              <w:t>504</w:t>
            </w:r>
            <w:r>
              <w:rPr>
                <w:rFonts w:eastAsiaTheme="minorEastAsia"/>
                <w:color w:val="000000" w:themeColor="text1"/>
                <w:szCs w:val="21"/>
              </w:rPr>
              <w:t>,</w:t>
            </w:r>
            <w:r w:rsidRPr="000711D1">
              <w:rPr>
                <w:rFonts w:eastAsiaTheme="minorEastAsia"/>
                <w:color w:val="000000" w:themeColor="text1"/>
                <w:szCs w:val="21"/>
              </w:rPr>
              <w:t>566</w:t>
            </w:r>
            <w:r>
              <w:rPr>
                <w:rFonts w:eastAsiaTheme="minorEastAsia"/>
                <w:color w:val="000000" w:themeColor="text1"/>
                <w:szCs w:val="21"/>
              </w:rPr>
              <w:t>,</w:t>
            </w:r>
            <w:r w:rsidRPr="000711D1">
              <w:rPr>
                <w:rFonts w:eastAsiaTheme="minorEastAsia"/>
                <w:color w:val="000000" w:themeColor="text1"/>
                <w:szCs w:val="21"/>
              </w:rPr>
              <w:t>121.11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注：本基金本报告期末通过港股通交易机制投资的港股公允价值为</w:t>
      </w:r>
      <w:r w:rsidRPr="00A3398F">
        <w:rPr>
          <w:rFonts w:eastAsiaTheme="minorEastAsia"/>
          <w:color w:val="000000" w:themeColor="text1"/>
          <w:szCs w:val="21"/>
        </w:rPr>
        <w:t>448,511,886.60</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18.03%</w:t>
      </w:r>
      <w:r w:rsidRPr="00A3398F">
        <w:rPr>
          <w:rFonts w:eastAsiaTheme="minorEastAsia"/>
          <w:color w:val="000000" w:themeColor="text1"/>
          <w:szCs w:val="21"/>
        </w:rPr>
        <w:t>。</w:t>
      </w:r>
      <w:bookmarkStart w:id="3" w:name="_Toc351577071"/>
    </w:p>
    <w:bookmarkEnd w:id="3"/>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中国香港</w:t>
            </w:r>
          </w:p>
        </w:tc>
        <w:tc>
          <w:tcPr>
            <w:tcW w:w="3118" w:type="dxa"/>
            <w:vAlign w:val="center"/>
          </w:tcPr>
          <w:p w:rsidR="007973D5" w:rsidRDefault="000711D1">
            <w:pPr>
              <w:jc w:val="right"/>
            </w:pPr>
            <w:r>
              <w:rPr>
                <w:rFonts w:eastAsiaTheme="minorEastAsia"/>
                <w:color w:val="000000" w:themeColor="text1"/>
                <w:szCs w:val="21"/>
              </w:rPr>
              <w:t>591,512,484.22</w:t>
            </w:r>
          </w:p>
        </w:tc>
        <w:tc>
          <w:tcPr>
            <w:tcW w:w="3076" w:type="dxa"/>
            <w:vAlign w:val="center"/>
          </w:tcPr>
          <w:p w:rsidR="007973D5" w:rsidRDefault="000711D1">
            <w:pPr>
              <w:jc w:val="right"/>
            </w:pPr>
            <w:r>
              <w:rPr>
                <w:rFonts w:eastAsiaTheme="minorEastAsia"/>
                <w:color w:val="000000" w:themeColor="text1"/>
                <w:szCs w:val="21"/>
              </w:rPr>
              <w:t>23.78</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澳大利亚</w:t>
            </w:r>
          </w:p>
        </w:tc>
        <w:tc>
          <w:tcPr>
            <w:tcW w:w="3118" w:type="dxa"/>
            <w:vAlign w:val="center"/>
          </w:tcPr>
          <w:p w:rsidR="007973D5" w:rsidRDefault="000711D1">
            <w:pPr>
              <w:jc w:val="right"/>
            </w:pPr>
            <w:r>
              <w:rPr>
                <w:rFonts w:eastAsiaTheme="minorEastAsia"/>
                <w:color w:val="000000" w:themeColor="text1"/>
                <w:szCs w:val="21"/>
              </w:rPr>
              <w:t>427,125,412.13</w:t>
            </w:r>
          </w:p>
        </w:tc>
        <w:tc>
          <w:tcPr>
            <w:tcW w:w="3076" w:type="dxa"/>
            <w:vAlign w:val="center"/>
          </w:tcPr>
          <w:p w:rsidR="007973D5" w:rsidRDefault="000711D1">
            <w:pPr>
              <w:jc w:val="right"/>
            </w:pPr>
            <w:r>
              <w:rPr>
                <w:rFonts w:eastAsiaTheme="minorEastAsia"/>
                <w:color w:val="000000" w:themeColor="text1"/>
                <w:szCs w:val="21"/>
              </w:rPr>
              <w:t>17.17</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中国台湾</w:t>
            </w:r>
          </w:p>
        </w:tc>
        <w:tc>
          <w:tcPr>
            <w:tcW w:w="3118" w:type="dxa"/>
            <w:vAlign w:val="center"/>
          </w:tcPr>
          <w:p w:rsidR="007973D5" w:rsidRDefault="000711D1">
            <w:pPr>
              <w:jc w:val="right"/>
            </w:pPr>
            <w:r>
              <w:rPr>
                <w:rFonts w:eastAsiaTheme="minorEastAsia"/>
                <w:color w:val="000000" w:themeColor="text1"/>
                <w:szCs w:val="21"/>
              </w:rPr>
              <w:t>389,183,550.91</w:t>
            </w:r>
          </w:p>
        </w:tc>
        <w:tc>
          <w:tcPr>
            <w:tcW w:w="3076" w:type="dxa"/>
            <w:vAlign w:val="center"/>
          </w:tcPr>
          <w:p w:rsidR="007973D5" w:rsidRDefault="000711D1">
            <w:pPr>
              <w:jc w:val="right"/>
            </w:pPr>
            <w:r>
              <w:rPr>
                <w:rFonts w:eastAsiaTheme="minorEastAsia"/>
                <w:color w:val="000000" w:themeColor="text1"/>
                <w:szCs w:val="21"/>
              </w:rPr>
              <w:t>15.64</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印度</w:t>
            </w:r>
          </w:p>
        </w:tc>
        <w:tc>
          <w:tcPr>
            <w:tcW w:w="3118" w:type="dxa"/>
            <w:vAlign w:val="center"/>
          </w:tcPr>
          <w:p w:rsidR="007973D5" w:rsidRDefault="000711D1">
            <w:pPr>
              <w:jc w:val="right"/>
            </w:pPr>
            <w:r>
              <w:rPr>
                <w:rFonts w:eastAsiaTheme="minorEastAsia"/>
                <w:color w:val="000000" w:themeColor="text1"/>
                <w:szCs w:val="21"/>
              </w:rPr>
              <w:t>339,736,297.07</w:t>
            </w:r>
          </w:p>
        </w:tc>
        <w:tc>
          <w:tcPr>
            <w:tcW w:w="3076" w:type="dxa"/>
            <w:vAlign w:val="center"/>
          </w:tcPr>
          <w:p w:rsidR="007973D5" w:rsidRDefault="000711D1">
            <w:pPr>
              <w:jc w:val="right"/>
            </w:pPr>
            <w:r>
              <w:rPr>
                <w:rFonts w:eastAsiaTheme="minorEastAsia"/>
                <w:color w:val="000000" w:themeColor="text1"/>
                <w:szCs w:val="21"/>
              </w:rPr>
              <w:t>13.66</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韩国</w:t>
            </w:r>
          </w:p>
        </w:tc>
        <w:tc>
          <w:tcPr>
            <w:tcW w:w="3118" w:type="dxa"/>
            <w:vAlign w:val="center"/>
          </w:tcPr>
          <w:p w:rsidR="007973D5" w:rsidRDefault="000711D1">
            <w:pPr>
              <w:jc w:val="right"/>
            </w:pPr>
            <w:r>
              <w:rPr>
                <w:rFonts w:eastAsiaTheme="minorEastAsia"/>
                <w:color w:val="000000" w:themeColor="text1"/>
                <w:szCs w:val="21"/>
              </w:rPr>
              <w:t>318,451,386.89</w:t>
            </w:r>
          </w:p>
        </w:tc>
        <w:tc>
          <w:tcPr>
            <w:tcW w:w="3076" w:type="dxa"/>
            <w:vAlign w:val="center"/>
          </w:tcPr>
          <w:p w:rsidR="007973D5" w:rsidRDefault="000711D1">
            <w:pPr>
              <w:jc w:val="right"/>
            </w:pPr>
            <w:r>
              <w:rPr>
                <w:rFonts w:eastAsiaTheme="minorEastAsia"/>
                <w:color w:val="000000" w:themeColor="text1"/>
                <w:szCs w:val="21"/>
              </w:rPr>
              <w:t>12.80</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新加坡</w:t>
            </w:r>
          </w:p>
        </w:tc>
        <w:tc>
          <w:tcPr>
            <w:tcW w:w="3118" w:type="dxa"/>
            <w:vAlign w:val="center"/>
          </w:tcPr>
          <w:p w:rsidR="007973D5" w:rsidRDefault="000711D1">
            <w:pPr>
              <w:jc w:val="right"/>
            </w:pPr>
            <w:r>
              <w:rPr>
                <w:rFonts w:eastAsiaTheme="minorEastAsia"/>
                <w:color w:val="000000" w:themeColor="text1"/>
                <w:szCs w:val="21"/>
              </w:rPr>
              <w:t>85,835,254.80</w:t>
            </w:r>
          </w:p>
        </w:tc>
        <w:tc>
          <w:tcPr>
            <w:tcW w:w="3076" w:type="dxa"/>
            <w:vAlign w:val="center"/>
          </w:tcPr>
          <w:p w:rsidR="007973D5" w:rsidRDefault="000711D1">
            <w:pPr>
              <w:jc w:val="right"/>
            </w:pPr>
            <w:r>
              <w:rPr>
                <w:rFonts w:eastAsiaTheme="minorEastAsia"/>
                <w:color w:val="000000" w:themeColor="text1"/>
                <w:szCs w:val="21"/>
              </w:rPr>
              <w:t>3.45</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印度尼西亚</w:t>
            </w:r>
          </w:p>
        </w:tc>
        <w:tc>
          <w:tcPr>
            <w:tcW w:w="3118" w:type="dxa"/>
            <w:vAlign w:val="center"/>
          </w:tcPr>
          <w:p w:rsidR="007973D5" w:rsidRDefault="000711D1">
            <w:pPr>
              <w:jc w:val="right"/>
            </w:pPr>
            <w:r>
              <w:rPr>
                <w:rFonts w:eastAsiaTheme="minorEastAsia"/>
                <w:color w:val="000000" w:themeColor="text1"/>
                <w:szCs w:val="21"/>
              </w:rPr>
              <w:t>80,006,712.64</w:t>
            </w:r>
          </w:p>
        </w:tc>
        <w:tc>
          <w:tcPr>
            <w:tcW w:w="3076" w:type="dxa"/>
            <w:vAlign w:val="center"/>
          </w:tcPr>
          <w:p w:rsidR="007973D5" w:rsidRDefault="000711D1">
            <w:pPr>
              <w:jc w:val="right"/>
            </w:pPr>
            <w:r>
              <w:rPr>
                <w:rFonts w:eastAsiaTheme="minorEastAsia"/>
                <w:color w:val="000000" w:themeColor="text1"/>
                <w:szCs w:val="21"/>
              </w:rPr>
              <w:t>3.22</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美国</w:t>
            </w:r>
          </w:p>
        </w:tc>
        <w:tc>
          <w:tcPr>
            <w:tcW w:w="3118" w:type="dxa"/>
            <w:vAlign w:val="center"/>
          </w:tcPr>
          <w:p w:rsidR="007973D5" w:rsidRDefault="000711D1">
            <w:pPr>
              <w:jc w:val="right"/>
            </w:pPr>
            <w:r>
              <w:rPr>
                <w:rFonts w:eastAsiaTheme="minorEastAsia"/>
                <w:color w:val="000000" w:themeColor="text1"/>
                <w:szCs w:val="21"/>
              </w:rPr>
              <w:t>31,145,651.22</w:t>
            </w:r>
          </w:p>
        </w:tc>
        <w:tc>
          <w:tcPr>
            <w:tcW w:w="3076" w:type="dxa"/>
            <w:vAlign w:val="center"/>
          </w:tcPr>
          <w:p w:rsidR="007973D5" w:rsidRDefault="000711D1">
            <w:pPr>
              <w:jc w:val="right"/>
            </w:pPr>
            <w:r>
              <w:rPr>
                <w:rFonts w:eastAsiaTheme="minorEastAsia"/>
                <w:color w:val="000000" w:themeColor="text1"/>
                <w:szCs w:val="21"/>
              </w:rPr>
              <w:t>1.25</w:t>
            </w:r>
          </w:p>
        </w:tc>
      </w:tr>
      <w:tr w:rsidR="007973D5">
        <w:trPr>
          <w:jc w:val="center"/>
        </w:trPr>
        <w:tc>
          <w:tcPr>
            <w:tcW w:w="2410" w:type="dxa"/>
            <w:vAlign w:val="center"/>
          </w:tcPr>
          <w:p w:rsidR="007973D5" w:rsidRDefault="000711D1">
            <w:pPr>
              <w:jc w:val="left"/>
            </w:pPr>
            <w:r>
              <w:rPr>
                <w:rFonts w:eastAsiaTheme="minorEastAsia"/>
                <w:color w:val="000000" w:themeColor="text1"/>
                <w:szCs w:val="21"/>
              </w:rPr>
              <w:t>泰国</w:t>
            </w:r>
          </w:p>
        </w:tc>
        <w:tc>
          <w:tcPr>
            <w:tcW w:w="3118" w:type="dxa"/>
            <w:vAlign w:val="center"/>
          </w:tcPr>
          <w:p w:rsidR="007973D5" w:rsidRDefault="000711D1">
            <w:pPr>
              <w:jc w:val="right"/>
            </w:pPr>
            <w:r>
              <w:rPr>
                <w:rFonts w:eastAsiaTheme="minorEastAsia"/>
                <w:color w:val="000000" w:themeColor="text1"/>
                <w:szCs w:val="21"/>
              </w:rPr>
              <w:t>29,806,680.79</w:t>
            </w:r>
          </w:p>
        </w:tc>
        <w:tc>
          <w:tcPr>
            <w:tcW w:w="3076" w:type="dxa"/>
            <w:vAlign w:val="center"/>
          </w:tcPr>
          <w:p w:rsidR="007973D5" w:rsidRDefault="000711D1">
            <w:pPr>
              <w:jc w:val="right"/>
            </w:pPr>
            <w:r>
              <w:rPr>
                <w:rFonts w:eastAsiaTheme="minorEastAsia"/>
                <w:color w:val="000000" w:themeColor="text1"/>
                <w:szCs w:val="21"/>
              </w:rPr>
              <w:t>1.20</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2,292,803,430.67</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92.16</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7973D5">
        <w:tc>
          <w:tcPr>
            <w:tcW w:w="2787" w:type="dxa"/>
            <w:vAlign w:val="center"/>
          </w:tcPr>
          <w:p w:rsidR="007973D5" w:rsidRDefault="000711D1">
            <w:pPr>
              <w:jc w:val="left"/>
            </w:pPr>
            <w:r>
              <w:rPr>
                <w:rFonts w:eastAsiaTheme="minorEastAsia"/>
                <w:color w:val="000000" w:themeColor="text1"/>
                <w:szCs w:val="21"/>
              </w:rPr>
              <w:t>信息技术</w:t>
            </w:r>
          </w:p>
        </w:tc>
        <w:tc>
          <w:tcPr>
            <w:tcW w:w="2551" w:type="dxa"/>
            <w:vAlign w:val="center"/>
          </w:tcPr>
          <w:p w:rsidR="007973D5" w:rsidRDefault="000711D1">
            <w:pPr>
              <w:jc w:val="right"/>
            </w:pPr>
            <w:r>
              <w:rPr>
                <w:rFonts w:eastAsiaTheme="minorEastAsia"/>
                <w:color w:val="000000" w:themeColor="text1"/>
                <w:szCs w:val="21"/>
              </w:rPr>
              <w:t>632,044,371.44</w:t>
            </w:r>
          </w:p>
        </w:tc>
        <w:tc>
          <w:tcPr>
            <w:tcW w:w="3175" w:type="dxa"/>
            <w:vAlign w:val="center"/>
          </w:tcPr>
          <w:p w:rsidR="007973D5" w:rsidRDefault="000711D1">
            <w:pPr>
              <w:jc w:val="right"/>
            </w:pPr>
            <w:r>
              <w:rPr>
                <w:rFonts w:eastAsiaTheme="minorEastAsia"/>
                <w:color w:val="000000" w:themeColor="text1"/>
                <w:szCs w:val="21"/>
              </w:rPr>
              <w:t>25.41</w:t>
            </w:r>
          </w:p>
        </w:tc>
      </w:tr>
      <w:tr w:rsidR="007973D5">
        <w:tc>
          <w:tcPr>
            <w:tcW w:w="2787" w:type="dxa"/>
            <w:vAlign w:val="center"/>
          </w:tcPr>
          <w:p w:rsidR="007973D5" w:rsidRDefault="000711D1">
            <w:pPr>
              <w:jc w:val="left"/>
            </w:pPr>
            <w:r>
              <w:rPr>
                <w:rFonts w:eastAsiaTheme="minorEastAsia"/>
                <w:color w:val="000000" w:themeColor="text1"/>
                <w:szCs w:val="21"/>
              </w:rPr>
              <w:t>金融</w:t>
            </w:r>
          </w:p>
        </w:tc>
        <w:tc>
          <w:tcPr>
            <w:tcW w:w="2551" w:type="dxa"/>
            <w:vAlign w:val="center"/>
          </w:tcPr>
          <w:p w:rsidR="007973D5" w:rsidRDefault="000711D1">
            <w:pPr>
              <w:jc w:val="right"/>
            </w:pPr>
            <w:r>
              <w:rPr>
                <w:rFonts w:eastAsiaTheme="minorEastAsia"/>
                <w:color w:val="000000" w:themeColor="text1"/>
                <w:szCs w:val="21"/>
              </w:rPr>
              <w:t>583,701,825.63</w:t>
            </w:r>
          </w:p>
        </w:tc>
        <w:tc>
          <w:tcPr>
            <w:tcW w:w="3175" w:type="dxa"/>
            <w:vAlign w:val="center"/>
          </w:tcPr>
          <w:p w:rsidR="007973D5" w:rsidRDefault="000711D1">
            <w:pPr>
              <w:jc w:val="right"/>
            </w:pPr>
            <w:r>
              <w:rPr>
                <w:rFonts w:eastAsiaTheme="minorEastAsia"/>
                <w:color w:val="000000" w:themeColor="text1"/>
                <w:szCs w:val="21"/>
              </w:rPr>
              <w:t>23.46</w:t>
            </w:r>
          </w:p>
        </w:tc>
      </w:tr>
      <w:tr w:rsidR="007973D5">
        <w:tc>
          <w:tcPr>
            <w:tcW w:w="2787" w:type="dxa"/>
            <w:vAlign w:val="center"/>
          </w:tcPr>
          <w:p w:rsidR="007973D5" w:rsidRDefault="000711D1">
            <w:pPr>
              <w:jc w:val="left"/>
            </w:pPr>
            <w:r>
              <w:rPr>
                <w:rFonts w:eastAsiaTheme="minorEastAsia"/>
                <w:color w:val="000000" w:themeColor="text1"/>
                <w:szCs w:val="21"/>
              </w:rPr>
              <w:t>消费者非必需品</w:t>
            </w:r>
          </w:p>
        </w:tc>
        <w:tc>
          <w:tcPr>
            <w:tcW w:w="2551" w:type="dxa"/>
            <w:vAlign w:val="center"/>
          </w:tcPr>
          <w:p w:rsidR="007973D5" w:rsidRDefault="000711D1">
            <w:pPr>
              <w:jc w:val="right"/>
            </w:pPr>
            <w:r>
              <w:rPr>
                <w:rFonts w:eastAsiaTheme="minorEastAsia"/>
                <w:color w:val="000000" w:themeColor="text1"/>
                <w:szCs w:val="21"/>
              </w:rPr>
              <w:t>322,897,858.15</w:t>
            </w:r>
          </w:p>
        </w:tc>
        <w:tc>
          <w:tcPr>
            <w:tcW w:w="3175" w:type="dxa"/>
            <w:vAlign w:val="center"/>
          </w:tcPr>
          <w:p w:rsidR="007973D5" w:rsidRDefault="000711D1">
            <w:pPr>
              <w:jc w:val="right"/>
            </w:pPr>
            <w:r>
              <w:rPr>
                <w:rFonts w:eastAsiaTheme="minorEastAsia"/>
                <w:color w:val="000000" w:themeColor="text1"/>
                <w:szCs w:val="21"/>
              </w:rPr>
              <w:t>12.98</w:t>
            </w:r>
          </w:p>
        </w:tc>
      </w:tr>
      <w:tr w:rsidR="007973D5">
        <w:tc>
          <w:tcPr>
            <w:tcW w:w="2787" w:type="dxa"/>
            <w:vAlign w:val="center"/>
          </w:tcPr>
          <w:p w:rsidR="007973D5" w:rsidRDefault="000711D1">
            <w:pPr>
              <w:jc w:val="left"/>
            </w:pPr>
            <w:r>
              <w:rPr>
                <w:rFonts w:eastAsiaTheme="minorEastAsia"/>
                <w:color w:val="000000" w:themeColor="text1"/>
                <w:szCs w:val="21"/>
              </w:rPr>
              <w:t>电信服务</w:t>
            </w:r>
          </w:p>
        </w:tc>
        <w:tc>
          <w:tcPr>
            <w:tcW w:w="2551" w:type="dxa"/>
            <w:vAlign w:val="center"/>
          </w:tcPr>
          <w:p w:rsidR="007973D5" w:rsidRDefault="000711D1">
            <w:pPr>
              <w:jc w:val="right"/>
            </w:pPr>
            <w:r>
              <w:rPr>
                <w:rFonts w:eastAsiaTheme="minorEastAsia"/>
                <w:color w:val="000000" w:themeColor="text1"/>
                <w:szCs w:val="21"/>
              </w:rPr>
              <w:t>299,885,997.55</w:t>
            </w:r>
          </w:p>
        </w:tc>
        <w:tc>
          <w:tcPr>
            <w:tcW w:w="3175" w:type="dxa"/>
            <w:vAlign w:val="center"/>
          </w:tcPr>
          <w:p w:rsidR="007973D5" w:rsidRDefault="000711D1">
            <w:pPr>
              <w:jc w:val="right"/>
            </w:pPr>
            <w:r>
              <w:rPr>
                <w:rFonts w:eastAsiaTheme="minorEastAsia"/>
                <w:color w:val="000000" w:themeColor="text1"/>
                <w:szCs w:val="21"/>
              </w:rPr>
              <w:t>12.05</w:t>
            </w:r>
          </w:p>
        </w:tc>
      </w:tr>
      <w:tr w:rsidR="007973D5">
        <w:tc>
          <w:tcPr>
            <w:tcW w:w="2787" w:type="dxa"/>
            <w:vAlign w:val="center"/>
          </w:tcPr>
          <w:p w:rsidR="007973D5" w:rsidRDefault="000711D1">
            <w:pPr>
              <w:jc w:val="left"/>
            </w:pPr>
            <w:r>
              <w:rPr>
                <w:rFonts w:eastAsiaTheme="minorEastAsia"/>
                <w:color w:val="000000" w:themeColor="text1"/>
                <w:szCs w:val="21"/>
              </w:rPr>
              <w:t>工业</w:t>
            </w:r>
          </w:p>
        </w:tc>
        <w:tc>
          <w:tcPr>
            <w:tcW w:w="2551" w:type="dxa"/>
            <w:vAlign w:val="center"/>
          </w:tcPr>
          <w:p w:rsidR="007973D5" w:rsidRDefault="000711D1">
            <w:pPr>
              <w:jc w:val="right"/>
            </w:pPr>
            <w:r>
              <w:rPr>
                <w:rFonts w:eastAsiaTheme="minorEastAsia"/>
                <w:color w:val="000000" w:themeColor="text1"/>
                <w:szCs w:val="21"/>
              </w:rPr>
              <w:t>167,529,209.24</w:t>
            </w:r>
          </w:p>
        </w:tc>
        <w:tc>
          <w:tcPr>
            <w:tcW w:w="3175" w:type="dxa"/>
            <w:vAlign w:val="center"/>
          </w:tcPr>
          <w:p w:rsidR="007973D5" w:rsidRDefault="000711D1">
            <w:pPr>
              <w:jc w:val="right"/>
            </w:pPr>
            <w:r>
              <w:rPr>
                <w:rFonts w:eastAsiaTheme="minorEastAsia"/>
                <w:color w:val="000000" w:themeColor="text1"/>
                <w:szCs w:val="21"/>
              </w:rPr>
              <w:t>6.73</w:t>
            </w:r>
          </w:p>
        </w:tc>
      </w:tr>
      <w:tr w:rsidR="007973D5">
        <w:tc>
          <w:tcPr>
            <w:tcW w:w="2787" w:type="dxa"/>
            <w:vAlign w:val="center"/>
          </w:tcPr>
          <w:p w:rsidR="007973D5" w:rsidRDefault="000711D1">
            <w:pPr>
              <w:jc w:val="left"/>
            </w:pPr>
            <w:r>
              <w:rPr>
                <w:rFonts w:eastAsiaTheme="minorEastAsia"/>
                <w:color w:val="000000" w:themeColor="text1"/>
                <w:szCs w:val="21"/>
              </w:rPr>
              <w:t>基础材料</w:t>
            </w:r>
          </w:p>
        </w:tc>
        <w:tc>
          <w:tcPr>
            <w:tcW w:w="2551" w:type="dxa"/>
            <w:vAlign w:val="center"/>
          </w:tcPr>
          <w:p w:rsidR="007973D5" w:rsidRDefault="000711D1">
            <w:pPr>
              <w:jc w:val="right"/>
            </w:pPr>
            <w:r>
              <w:rPr>
                <w:rFonts w:eastAsiaTheme="minorEastAsia"/>
                <w:color w:val="000000" w:themeColor="text1"/>
                <w:szCs w:val="21"/>
              </w:rPr>
              <w:t>104,312,657.43</w:t>
            </w:r>
          </w:p>
        </w:tc>
        <w:tc>
          <w:tcPr>
            <w:tcW w:w="3175" w:type="dxa"/>
            <w:vAlign w:val="center"/>
          </w:tcPr>
          <w:p w:rsidR="007973D5" w:rsidRDefault="000711D1">
            <w:pPr>
              <w:jc w:val="right"/>
            </w:pPr>
            <w:r>
              <w:rPr>
                <w:rFonts w:eastAsiaTheme="minorEastAsia"/>
                <w:color w:val="000000" w:themeColor="text1"/>
                <w:szCs w:val="21"/>
              </w:rPr>
              <w:t>4.19</w:t>
            </w:r>
          </w:p>
        </w:tc>
      </w:tr>
      <w:tr w:rsidR="007973D5">
        <w:tc>
          <w:tcPr>
            <w:tcW w:w="2787" w:type="dxa"/>
            <w:vAlign w:val="center"/>
          </w:tcPr>
          <w:p w:rsidR="007973D5" w:rsidRDefault="000711D1">
            <w:pPr>
              <w:jc w:val="left"/>
            </w:pPr>
            <w:r>
              <w:rPr>
                <w:rFonts w:eastAsiaTheme="minorEastAsia"/>
                <w:color w:val="000000" w:themeColor="text1"/>
                <w:szCs w:val="21"/>
              </w:rPr>
              <w:t>能源</w:t>
            </w:r>
          </w:p>
        </w:tc>
        <w:tc>
          <w:tcPr>
            <w:tcW w:w="2551" w:type="dxa"/>
            <w:vAlign w:val="center"/>
          </w:tcPr>
          <w:p w:rsidR="007973D5" w:rsidRDefault="000711D1">
            <w:pPr>
              <w:jc w:val="right"/>
            </w:pPr>
            <w:r>
              <w:rPr>
                <w:rFonts w:eastAsiaTheme="minorEastAsia"/>
                <w:color w:val="000000" w:themeColor="text1"/>
                <w:szCs w:val="21"/>
              </w:rPr>
              <w:t>89,910,475.48</w:t>
            </w:r>
          </w:p>
        </w:tc>
        <w:tc>
          <w:tcPr>
            <w:tcW w:w="3175" w:type="dxa"/>
            <w:vAlign w:val="center"/>
          </w:tcPr>
          <w:p w:rsidR="007973D5" w:rsidRDefault="000711D1">
            <w:pPr>
              <w:jc w:val="right"/>
            </w:pPr>
            <w:r>
              <w:rPr>
                <w:rFonts w:eastAsiaTheme="minorEastAsia"/>
                <w:color w:val="000000" w:themeColor="text1"/>
                <w:szCs w:val="21"/>
              </w:rPr>
              <w:t>3.61</w:t>
            </w:r>
          </w:p>
        </w:tc>
      </w:tr>
      <w:tr w:rsidR="007973D5">
        <w:tc>
          <w:tcPr>
            <w:tcW w:w="2787" w:type="dxa"/>
            <w:vAlign w:val="center"/>
          </w:tcPr>
          <w:p w:rsidR="007973D5" w:rsidRDefault="000711D1">
            <w:pPr>
              <w:jc w:val="left"/>
            </w:pPr>
            <w:r>
              <w:rPr>
                <w:rFonts w:eastAsiaTheme="minorEastAsia"/>
                <w:color w:val="000000" w:themeColor="text1"/>
                <w:szCs w:val="21"/>
              </w:rPr>
              <w:t>房地产</w:t>
            </w:r>
          </w:p>
        </w:tc>
        <w:tc>
          <w:tcPr>
            <w:tcW w:w="2551" w:type="dxa"/>
            <w:vAlign w:val="center"/>
          </w:tcPr>
          <w:p w:rsidR="007973D5" w:rsidRDefault="000711D1">
            <w:pPr>
              <w:jc w:val="right"/>
            </w:pPr>
            <w:r>
              <w:rPr>
                <w:rFonts w:eastAsiaTheme="minorEastAsia"/>
                <w:color w:val="000000" w:themeColor="text1"/>
                <w:szCs w:val="21"/>
              </w:rPr>
              <w:t>39,917,818.60</w:t>
            </w:r>
          </w:p>
        </w:tc>
        <w:tc>
          <w:tcPr>
            <w:tcW w:w="3175" w:type="dxa"/>
            <w:vAlign w:val="center"/>
          </w:tcPr>
          <w:p w:rsidR="007973D5" w:rsidRDefault="000711D1">
            <w:pPr>
              <w:jc w:val="right"/>
            </w:pPr>
            <w:r>
              <w:rPr>
                <w:rFonts w:eastAsiaTheme="minorEastAsia"/>
                <w:color w:val="000000" w:themeColor="text1"/>
                <w:szCs w:val="21"/>
              </w:rPr>
              <w:t>1.60</w:t>
            </w:r>
          </w:p>
        </w:tc>
      </w:tr>
      <w:tr w:rsidR="007973D5">
        <w:tc>
          <w:tcPr>
            <w:tcW w:w="2787" w:type="dxa"/>
            <w:vAlign w:val="center"/>
          </w:tcPr>
          <w:p w:rsidR="007973D5" w:rsidRDefault="000711D1">
            <w:pPr>
              <w:jc w:val="left"/>
            </w:pPr>
            <w:r>
              <w:rPr>
                <w:rFonts w:eastAsiaTheme="minorEastAsia"/>
                <w:color w:val="000000" w:themeColor="text1"/>
                <w:szCs w:val="21"/>
              </w:rPr>
              <w:t>医疗保健</w:t>
            </w:r>
          </w:p>
        </w:tc>
        <w:tc>
          <w:tcPr>
            <w:tcW w:w="2551" w:type="dxa"/>
            <w:vAlign w:val="center"/>
          </w:tcPr>
          <w:p w:rsidR="007973D5" w:rsidRDefault="000711D1">
            <w:pPr>
              <w:jc w:val="right"/>
            </w:pPr>
            <w:r>
              <w:rPr>
                <w:rFonts w:eastAsiaTheme="minorEastAsia"/>
                <w:color w:val="000000" w:themeColor="text1"/>
                <w:szCs w:val="21"/>
              </w:rPr>
              <w:t>33,081,963.97</w:t>
            </w:r>
          </w:p>
        </w:tc>
        <w:tc>
          <w:tcPr>
            <w:tcW w:w="3175" w:type="dxa"/>
            <w:vAlign w:val="center"/>
          </w:tcPr>
          <w:p w:rsidR="007973D5" w:rsidRDefault="000711D1">
            <w:pPr>
              <w:jc w:val="right"/>
            </w:pPr>
            <w:r>
              <w:rPr>
                <w:rFonts w:eastAsiaTheme="minorEastAsia"/>
                <w:color w:val="000000" w:themeColor="text1"/>
                <w:szCs w:val="21"/>
              </w:rPr>
              <w:t>1.33</w:t>
            </w:r>
          </w:p>
        </w:tc>
      </w:tr>
      <w:tr w:rsidR="007973D5">
        <w:tc>
          <w:tcPr>
            <w:tcW w:w="2787" w:type="dxa"/>
            <w:vAlign w:val="center"/>
          </w:tcPr>
          <w:p w:rsidR="007973D5" w:rsidRDefault="000711D1">
            <w:pPr>
              <w:jc w:val="left"/>
            </w:pPr>
            <w:r>
              <w:rPr>
                <w:rFonts w:eastAsiaTheme="minorEastAsia"/>
                <w:color w:val="000000" w:themeColor="text1"/>
                <w:szCs w:val="21"/>
              </w:rPr>
              <w:t>消费者常用品</w:t>
            </w:r>
          </w:p>
        </w:tc>
        <w:tc>
          <w:tcPr>
            <w:tcW w:w="2551" w:type="dxa"/>
            <w:vAlign w:val="center"/>
          </w:tcPr>
          <w:p w:rsidR="007973D5" w:rsidRDefault="000711D1">
            <w:pPr>
              <w:jc w:val="right"/>
            </w:pPr>
            <w:r>
              <w:rPr>
                <w:rFonts w:eastAsiaTheme="minorEastAsia"/>
                <w:color w:val="000000" w:themeColor="text1"/>
                <w:szCs w:val="21"/>
              </w:rPr>
              <w:t>19,521,253.18</w:t>
            </w:r>
          </w:p>
        </w:tc>
        <w:tc>
          <w:tcPr>
            <w:tcW w:w="3175" w:type="dxa"/>
            <w:vAlign w:val="center"/>
          </w:tcPr>
          <w:p w:rsidR="007973D5" w:rsidRDefault="000711D1">
            <w:pPr>
              <w:jc w:val="right"/>
            </w:pPr>
            <w:r>
              <w:rPr>
                <w:rFonts w:eastAsiaTheme="minorEastAsia"/>
                <w:color w:val="000000" w:themeColor="text1"/>
                <w:szCs w:val="21"/>
              </w:rPr>
              <w:t>0.78</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2,292,803,430.67</w:t>
            </w:r>
          </w:p>
        </w:tc>
        <w:tc>
          <w:tcPr>
            <w:tcW w:w="3175" w:type="dxa"/>
            <w:vAlign w:val="center"/>
          </w:tcPr>
          <w:p w:rsidR="00C37E98" w:rsidRPr="00A3398F" w:rsidRDefault="00C37E98">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w:t>
            </w:r>
            <w:r w:rsidR="0098062B" w:rsidRPr="00A3398F">
              <w:rPr>
                <w:rFonts w:eastAsiaTheme="minorEastAsia"/>
                <w:color w:val="000000" w:themeColor="text1"/>
                <w:szCs w:val="21"/>
              </w:rPr>
              <w:t>1</w:t>
            </w:r>
            <w:r w:rsidR="0098062B">
              <w:rPr>
                <w:rFonts w:eastAsiaTheme="minorEastAsia"/>
                <w:color w:val="000000" w:themeColor="text1"/>
                <w:szCs w:val="21"/>
              </w:rPr>
              <w:t>6</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5"/>
        <w:gridCol w:w="1588"/>
        <w:gridCol w:w="923"/>
        <w:gridCol w:w="917"/>
        <w:gridCol w:w="504"/>
        <w:gridCol w:w="666"/>
        <w:gridCol w:w="1059"/>
        <w:gridCol w:w="1529"/>
        <w:gridCol w:w="872"/>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7973D5">
        <w:tc>
          <w:tcPr>
            <w:tcW w:w="0" w:type="auto"/>
            <w:vAlign w:val="center"/>
          </w:tcPr>
          <w:p w:rsidR="007973D5" w:rsidRDefault="000711D1">
            <w:pPr>
              <w:jc w:val="center"/>
            </w:pPr>
            <w:r>
              <w:rPr>
                <w:rFonts w:eastAsiaTheme="minorEastAsia"/>
                <w:szCs w:val="21"/>
              </w:rPr>
              <w:t>1</w:t>
            </w:r>
          </w:p>
        </w:tc>
        <w:tc>
          <w:tcPr>
            <w:tcW w:w="0" w:type="auto"/>
            <w:vAlign w:val="center"/>
          </w:tcPr>
          <w:p w:rsidR="007973D5" w:rsidRDefault="000711D1">
            <w:pPr>
              <w:jc w:val="center"/>
            </w:pPr>
            <w:r>
              <w:rPr>
                <w:rFonts w:eastAsiaTheme="minorEastAsia"/>
                <w:szCs w:val="21"/>
              </w:rPr>
              <w:t>Taiwan Semiconductor Manufacturing Co Ltd</w:t>
            </w:r>
          </w:p>
        </w:tc>
        <w:tc>
          <w:tcPr>
            <w:tcW w:w="0" w:type="auto"/>
            <w:vAlign w:val="center"/>
          </w:tcPr>
          <w:p w:rsidR="007973D5" w:rsidRDefault="000711D1">
            <w:pPr>
              <w:jc w:val="center"/>
            </w:pPr>
            <w:r>
              <w:rPr>
                <w:rFonts w:eastAsiaTheme="minorEastAsia"/>
                <w:szCs w:val="21"/>
              </w:rPr>
              <w:t>台湾集成电路制造股份有限公司</w:t>
            </w:r>
          </w:p>
        </w:tc>
        <w:tc>
          <w:tcPr>
            <w:tcW w:w="0" w:type="auto"/>
            <w:vAlign w:val="center"/>
          </w:tcPr>
          <w:p w:rsidR="007973D5" w:rsidRDefault="000711D1">
            <w:pPr>
              <w:jc w:val="center"/>
            </w:pPr>
            <w:r>
              <w:rPr>
                <w:rFonts w:eastAsiaTheme="minorEastAsia"/>
                <w:szCs w:val="21"/>
              </w:rPr>
              <w:t>2330</w:t>
            </w:r>
          </w:p>
        </w:tc>
        <w:tc>
          <w:tcPr>
            <w:tcW w:w="0" w:type="auto"/>
            <w:vAlign w:val="center"/>
          </w:tcPr>
          <w:p w:rsidR="007973D5" w:rsidRDefault="000711D1">
            <w:pPr>
              <w:jc w:val="center"/>
            </w:pPr>
            <w:r>
              <w:rPr>
                <w:rFonts w:eastAsiaTheme="minorEastAsia"/>
                <w:szCs w:val="21"/>
              </w:rPr>
              <w:t>台湾交易所</w:t>
            </w:r>
          </w:p>
        </w:tc>
        <w:tc>
          <w:tcPr>
            <w:tcW w:w="0" w:type="auto"/>
            <w:vAlign w:val="center"/>
          </w:tcPr>
          <w:p w:rsidR="007973D5" w:rsidRDefault="000711D1">
            <w:pPr>
              <w:jc w:val="center"/>
            </w:pPr>
            <w:r>
              <w:rPr>
                <w:rFonts w:eastAsiaTheme="minorEastAsia"/>
                <w:szCs w:val="21"/>
              </w:rPr>
              <w:t>中国台湾</w:t>
            </w:r>
          </w:p>
        </w:tc>
        <w:tc>
          <w:tcPr>
            <w:tcW w:w="0" w:type="auto"/>
            <w:vAlign w:val="center"/>
          </w:tcPr>
          <w:p w:rsidR="007973D5" w:rsidRDefault="000711D1">
            <w:pPr>
              <w:jc w:val="right"/>
            </w:pPr>
            <w:r>
              <w:rPr>
                <w:rFonts w:eastAsiaTheme="minorEastAsia"/>
                <w:szCs w:val="21"/>
              </w:rPr>
              <w:t>1,350,000</w:t>
            </w:r>
          </w:p>
        </w:tc>
        <w:tc>
          <w:tcPr>
            <w:tcW w:w="0" w:type="auto"/>
            <w:vAlign w:val="center"/>
          </w:tcPr>
          <w:p w:rsidR="007973D5" w:rsidRDefault="000711D1">
            <w:pPr>
              <w:jc w:val="right"/>
            </w:pPr>
            <w:r>
              <w:rPr>
                <w:rFonts w:eastAsiaTheme="minorEastAsia"/>
                <w:szCs w:val="21"/>
              </w:rPr>
              <w:t>233,145,023.24</w:t>
            </w:r>
          </w:p>
        </w:tc>
        <w:tc>
          <w:tcPr>
            <w:tcW w:w="0" w:type="auto"/>
            <w:vAlign w:val="center"/>
          </w:tcPr>
          <w:p w:rsidR="007973D5" w:rsidRDefault="000711D1">
            <w:pPr>
              <w:jc w:val="right"/>
            </w:pPr>
            <w:r>
              <w:rPr>
                <w:rFonts w:eastAsiaTheme="minorEastAsia"/>
                <w:szCs w:val="21"/>
              </w:rPr>
              <w:t>9.37</w:t>
            </w:r>
          </w:p>
        </w:tc>
      </w:tr>
      <w:tr w:rsidR="007973D5">
        <w:tc>
          <w:tcPr>
            <w:tcW w:w="0" w:type="auto"/>
            <w:vAlign w:val="center"/>
          </w:tcPr>
          <w:p w:rsidR="007973D5" w:rsidRDefault="000711D1">
            <w:pPr>
              <w:jc w:val="center"/>
            </w:pPr>
            <w:r>
              <w:rPr>
                <w:rFonts w:eastAsiaTheme="minorEastAsia"/>
                <w:szCs w:val="21"/>
              </w:rPr>
              <w:t>2</w:t>
            </w:r>
          </w:p>
        </w:tc>
        <w:tc>
          <w:tcPr>
            <w:tcW w:w="0" w:type="auto"/>
            <w:vAlign w:val="center"/>
          </w:tcPr>
          <w:p w:rsidR="007973D5" w:rsidRDefault="000711D1">
            <w:pPr>
              <w:jc w:val="center"/>
            </w:pPr>
            <w:r>
              <w:rPr>
                <w:rFonts w:eastAsiaTheme="minorEastAsia"/>
                <w:szCs w:val="21"/>
              </w:rPr>
              <w:t>Tencent Holdings Ltd</w:t>
            </w:r>
          </w:p>
        </w:tc>
        <w:tc>
          <w:tcPr>
            <w:tcW w:w="0" w:type="auto"/>
            <w:vAlign w:val="center"/>
          </w:tcPr>
          <w:p w:rsidR="007973D5" w:rsidRDefault="000711D1">
            <w:pPr>
              <w:jc w:val="center"/>
            </w:pPr>
            <w:r>
              <w:rPr>
                <w:rFonts w:eastAsiaTheme="minorEastAsia"/>
                <w:szCs w:val="21"/>
              </w:rPr>
              <w:t>腾讯控股有限公司</w:t>
            </w:r>
          </w:p>
        </w:tc>
        <w:tc>
          <w:tcPr>
            <w:tcW w:w="0" w:type="auto"/>
            <w:vAlign w:val="center"/>
          </w:tcPr>
          <w:p w:rsidR="007973D5" w:rsidRDefault="000711D1">
            <w:pPr>
              <w:jc w:val="center"/>
            </w:pPr>
            <w:r>
              <w:rPr>
                <w:rFonts w:eastAsiaTheme="minorEastAsia"/>
                <w:szCs w:val="21"/>
              </w:rPr>
              <w:t>700</w:t>
            </w:r>
          </w:p>
        </w:tc>
        <w:tc>
          <w:tcPr>
            <w:tcW w:w="0" w:type="auto"/>
            <w:vAlign w:val="center"/>
          </w:tcPr>
          <w:p w:rsidR="007973D5" w:rsidRDefault="000711D1">
            <w:pPr>
              <w:jc w:val="center"/>
            </w:pPr>
            <w:r>
              <w:rPr>
                <w:rFonts w:eastAsiaTheme="minorEastAsia"/>
                <w:szCs w:val="21"/>
              </w:rPr>
              <w:t>香港证券交易所</w:t>
            </w:r>
          </w:p>
        </w:tc>
        <w:tc>
          <w:tcPr>
            <w:tcW w:w="0" w:type="auto"/>
            <w:vAlign w:val="center"/>
          </w:tcPr>
          <w:p w:rsidR="007973D5" w:rsidRDefault="000711D1">
            <w:pPr>
              <w:jc w:val="center"/>
            </w:pPr>
            <w:r>
              <w:rPr>
                <w:rFonts w:eastAsiaTheme="minorEastAsia"/>
                <w:szCs w:val="21"/>
              </w:rPr>
              <w:t>中国香港</w:t>
            </w:r>
          </w:p>
        </w:tc>
        <w:tc>
          <w:tcPr>
            <w:tcW w:w="0" w:type="auto"/>
            <w:vAlign w:val="center"/>
          </w:tcPr>
          <w:p w:rsidR="007973D5" w:rsidRDefault="000711D1">
            <w:pPr>
              <w:jc w:val="right"/>
            </w:pPr>
            <w:r>
              <w:rPr>
                <w:rFonts w:eastAsiaTheme="minorEastAsia"/>
                <w:szCs w:val="21"/>
              </w:rPr>
              <w:t>561,000</w:t>
            </w:r>
          </w:p>
        </w:tc>
        <w:tc>
          <w:tcPr>
            <w:tcW w:w="0" w:type="auto"/>
            <w:vAlign w:val="center"/>
          </w:tcPr>
          <w:p w:rsidR="007973D5" w:rsidRDefault="000711D1">
            <w:pPr>
              <w:jc w:val="right"/>
            </w:pPr>
            <w:r>
              <w:rPr>
                <w:rFonts w:eastAsiaTheme="minorEastAsia"/>
                <w:szCs w:val="21"/>
              </w:rPr>
              <w:t>154,504,948.29</w:t>
            </w:r>
          </w:p>
        </w:tc>
        <w:tc>
          <w:tcPr>
            <w:tcW w:w="0" w:type="auto"/>
            <w:vAlign w:val="center"/>
          </w:tcPr>
          <w:p w:rsidR="007973D5" w:rsidRDefault="000711D1">
            <w:pPr>
              <w:jc w:val="right"/>
            </w:pPr>
            <w:r>
              <w:rPr>
                <w:rFonts w:eastAsiaTheme="minorEastAsia"/>
                <w:szCs w:val="21"/>
              </w:rPr>
              <w:t>6.21</w:t>
            </w:r>
          </w:p>
        </w:tc>
      </w:tr>
      <w:tr w:rsidR="007973D5">
        <w:tc>
          <w:tcPr>
            <w:tcW w:w="0" w:type="auto"/>
            <w:vAlign w:val="center"/>
          </w:tcPr>
          <w:p w:rsidR="007973D5" w:rsidRDefault="000711D1">
            <w:pPr>
              <w:jc w:val="center"/>
            </w:pPr>
            <w:r>
              <w:rPr>
                <w:rFonts w:eastAsiaTheme="minorEastAsia"/>
                <w:szCs w:val="21"/>
              </w:rPr>
              <w:t>3</w:t>
            </w:r>
          </w:p>
        </w:tc>
        <w:tc>
          <w:tcPr>
            <w:tcW w:w="0" w:type="auto"/>
            <w:vAlign w:val="center"/>
          </w:tcPr>
          <w:p w:rsidR="007973D5" w:rsidRDefault="000711D1">
            <w:pPr>
              <w:jc w:val="center"/>
            </w:pPr>
            <w:r>
              <w:rPr>
                <w:rFonts w:eastAsiaTheme="minorEastAsia"/>
                <w:szCs w:val="21"/>
              </w:rPr>
              <w:t>Samsung Electronics Co Ltd</w:t>
            </w:r>
          </w:p>
        </w:tc>
        <w:tc>
          <w:tcPr>
            <w:tcW w:w="0" w:type="auto"/>
            <w:vAlign w:val="center"/>
          </w:tcPr>
          <w:p w:rsidR="007973D5" w:rsidRDefault="000711D1">
            <w:pPr>
              <w:jc w:val="center"/>
            </w:pPr>
            <w:r>
              <w:rPr>
                <w:rFonts w:eastAsiaTheme="minorEastAsia"/>
                <w:szCs w:val="21"/>
              </w:rPr>
              <w:t>三星电子有限公司</w:t>
            </w:r>
          </w:p>
        </w:tc>
        <w:tc>
          <w:tcPr>
            <w:tcW w:w="0" w:type="auto"/>
            <w:vAlign w:val="center"/>
          </w:tcPr>
          <w:p w:rsidR="007973D5" w:rsidRDefault="000711D1">
            <w:pPr>
              <w:jc w:val="center"/>
            </w:pPr>
            <w:r>
              <w:rPr>
                <w:rFonts w:eastAsiaTheme="minorEastAsia"/>
                <w:szCs w:val="21"/>
              </w:rPr>
              <w:t>005930</w:t>
            </w:r>
          </w:p>
        </w:tc>
        <w:tc>
          <w:tcPr>
            <w:tcW w:w="0" w:type="auto"/>
            <w:vAlign w:val="center"/>
          </w:tcPr>
          <w:p w:rsidR="007973D5" w:rsidRDefault="000711D1">
            <w:pPr>
              <w:jc w:val="center"/>
            </w:pPr>
            <w:r>
              <w:rPr>
                <w:rFonts w:eastAsiaTheme="minorEastAsia"/>
                <w:szCs w:val="21"/>
              </w:rPr>
              <w:t>韩国证券交易所</w:t>
            </w:r>
          </w:p>
        </w:tc>
        <w:tc>
          <w:tcPr>
            <w:tcW w:w="0" w:type="auto"/>
            <w:vAlign w:val="center"/>
          </w:tcPr>
          <w:p w:rsidR="007973D5" w:rsidRDefault="000711D1">
            <w:pPr>
              <w:jc w:val="center"/>
            </w:pPr>
            <w:r>
              <w:rPr>
                <w:rFonts w:eastAsiaTheme="minorEastAsia"/>
                <w:szCs w:val="21"/>
              </w:rPr>
              <w:t>韩国</w:t>
            </w:r>
          </w:p>
        </w:tc>
        <w:tc>
          <w:tcPr>
            <w:tcW w:w="0" w:type="auto"/>
            <w:vAlign w:val="center"/>
          </w:tcPr>
          <w:p w:rsidR="007973D5" w:rsidRDefault="000711D1">
            <w:pPr>
              <w:jc w:val="right"/>
            </w:pPr>
            <w:r>
              <w:rPr>
                <w:rFonts w:eastAsiaTheme="minorEastAsia"/>
                <w:szCs w:val="21"/>
              </w:rPr>
              <w:t>329,824</w:t>
            </w:r>
          </w:p>
        </w:tc>
        <w:tc>
          <w:tcPr>
            <w:tcW w:w="0" w:type="auto"/>
            <w:vAlign w:val="center"/>
          </w:tcPr>
          <w:p w:rsidR="007973D5" w:rsidRDefault="000711D1">
            <w:pPr>
              <w:jc w:val="right"/>
            </w:pPr>
            <w:r>
              <w:rPr>
                <w:rFonts w:eastAsiaTheme="minorEastAsia"/>
                <w:szCs w:val="21"/>
              </w:rPr>
              <w:t>143,230,711.96</w:t>
            </w:r>
          </w:p>
        </w:tc>
        <w:tc>
          <w:tcPr>
            <w:tcW w:w="0" w:type="auto"/>
            <w:vAlign w:val="center"/>
          </w:tcPr>
          <w:p w:rsidR="007973D5" w:rsidRDefault="000711D1">
            <w:pPr>
              <w:jc w:val="right"/>
            </w:pPr>
            <w:r>
              <w:rPr>
                <w:rFonts w:eastAsiaTheme="minorEastAsia"/>
                <w:szCs w:val="21"/>
              </w:rPr>
              <w:t>5.76</w:t>
            </w:r>
          </w:p>
        </w:tc>
      </w:tr>
      <w:tr w:rsidR="007973D5">
        <w:tc>
          <w:tcPr>
            <w:tcW w:w="0" w:type="auto"/>
            <w:vAlign w:val="center"/>
          </w:tcPr>
          <w:p w:rsidR="007973D5" w:rsidRDefault="000711D1">
            <w:pPr>
              <w:jc w:val="center"/>
            </w:pPr>
            <w:r>
              <w:rPr>
                <w:rFonts w:eastAsiaTheme="minorEastAsia"/>
                <w:szCs w:val="21"/>
              </w:rPr>
              <w:t>4</w:t>
            </w:r>
          </w:p>
        </w:tc>
        <w:tc>
          <w:tcPr>
            <w:tcW w:w="0" w:type="auto"/>
            <w:vAlign w:val="center"/>
          </w:tcPr>
          <w:p w:rsidR="007973D5" w:rsidRDefault="000711D1">
            <w:pPr>
              <w:jc w:val="center"/>
            </w:pPr>
            <w:r>
              <w:rPr>
                <w:rFonts w:eastAsiaTheme="minorEastAsia"/>
                <w:szCs w:val="21"/>
              </w:rPr>
              <w:t>SK Hynix Inc</w:t>
            </w:r>
          </w:p>
        </w:tc>
        <w:tc>
          <w:tcPr>
            <w:tcW w:w="0" w:type="auto"/>
            <w:vAlign w:val="center"/>
          </w:tcPr>
          <w:p w:rsidR="007973D5" w:rsidRDefault="000711D1">
            <w:pPr>
              <w:jc w:val="center"/>
            </w:pPr>
            <w:r>
              <w:rPr>
                <w:rFonts w:eastAsiaTheme="minorEastAsia"/>
                <w:szCs w:val="21"/>
              </w:rPr>
              <w:t>SK</w:t>
            </w:r>
            <w:r>
              <w:rPr>
                <w:rFonts w:eastAsiaTheme="minorEastAsia"/>
                <w:szCs w:val="21"/>
              </w:rPr>
              <w:t>海力士株式会社</w:t>
            </w:r>
          </w:p>
        </w:tc>
        <w:tc>
          <w:tcPr>
            <w:tcW w:w="0" w:type="auto"/>
            <w:vAlign w:val="center"/>
          </w:tcPr>
          <w:p w:rsidR="007973D5" w:rsidRDefault="000711D1">
            <w:pPr>
              <w:jc w:val="center"/>
            </w:pPr>
            <w:r>
              <w:rPr>
                <w:rFonts w:eastAsiaTheme="minorEastAsia"/>
                <w:szCs w:val="21"/>
              </w:rPr>
              <w:t>000660</w:t>
            </w:r>
          </w:p>
        </w:tc>
        <w:tc>
          <w:tcPr>
            <w:tcW w:w="0" w:type="auto"/>
            <w:vAlign w:val="center"/>
          </w:tcPr>
          <w:p w:rsidR="007973D5" w:rsidRDefault="000711D1">
            <w:pPr>
              <w:jc w:val="center"/>
            </w:pPr>
            <w:r>
              <w:rPr>
                <w:rFonts w:eastAsiaTheme="minorEastAsia"/>
                <w:szCs w:val="21"/>
              </w:rPr>
              <w:t>韩国证券交易所</w:t>
            </w:r>
          </w:p>
        </w:tc>
        <w:tc>
          <w:tcPr>
            <w:tcW w:w="0" w:type="auto"/>
            <w:vAlign w:val="center"/>
          </w:tcPr>
          <w:p w:rsidR="007973D5" w:rsidRDefault="000711D1">
            <w:pPr>
              <w:jc w:val="center"/>
            </w:pPr>
            <w:r>
              <w:rPr>
                <w:rFonts w:eastAsiaTheme="minorEastAsia"/>
                <w:szCs w:val="21"/>
              </w:rPr>
              <w:t>韩国</w:t>
            </w:r>
          </w:p>
        </w:tc>
        <w:tc>
          <w:tcPr>
            <w:tcW w:w="0" w:type="auto"/>
            <w:vAlign w:val="center"/>
          </w:tcPr>
          <w:p w:rsidR="007973D5" w:rsidRDefault="000711D1">
            <w:pPr>
              <w:jc w:val="right"/>
            </w:pPr>
            <w:r>
              <w:rPr>
                <w:rFonts w:eastAsiaTheme="minorEastAsia"/>
                <w:szCs w:val="21"/>
              </w:rPr>
              <w:t>72,659</w:t>
            </w:r>
          </w:p>
        </w:tc>
        <w:tc>
          <w:tcPr>
            <w:tcW w:w="0" w:type="auto"/>
            <w:vAlign w:val="center"/>
          </w:tcPr>
          <w:p w:rsidR="007973D5" w:rsidRDefault="000711D1">
            <w:pPr>
              <w:jc w:val="right"/>
            </w:pPr>
            <w:r>
              <w:rPr>
                <w:rFonts w:eastAsiaTheme="minorEastAsia"/>
                <w:szCs w:val="21"/>
              </w:rPr>
              <w:t>70,075,659.03</w:t>
            </w:r>
          </w:p>
        </w:tc>
        <w:tc>
          <w:tcPr>
            <w:tcW w:w="0" w:type="auto"/>
            <w:vAlign w:val="center"/>
          </w:tcPr>
          <w:p w:rsidR="007973D5" w:rsidRDefault="000711D1">
            <w:pPr>
              <w:jc w:val="right"/>
            </w:pPr>
            <w:r>
              <w:rPr>
                <w:rFonts w:eastAsiaTheme="minorEastAsia"/>
                <w:szCs w:val="21"/>
              </w:rPr>
              <w:t>2.82</w:t>
            </w:r>
          </w:p>
        </w:tc>
      </w:tr>
      <w:tr w:rsidR="007973D5">
        <w:tc>
          <w:tcPr>
            <w:tcW w:w="0" w:type="auto"/>
            <w:vAlign w:val="center"/>
          </w:tcPr>
          <w:p w:rsidR="007973D5" w:rsidRDefault="000711D1">
            <w:pPr>
              <w:jc w:val="center"/>
            </w:pPr>
            <w:r>
              <w:rPr>
                <w:rFonts w:eastAsiaTheme="minorEastAsia"/>
                <w:szCs w:val="21"/>
              </w:rPr>
              <w:t>5</w:t>
            </w:r>
          </w:p>
        </w:tc>
        <w:tc>
          <w:tcPr>
            <w:tcW w:w="0" w:type="auto"/>
            <w:vAlign w:val="center"/>
          </w:tcPr>
          <w:p w:rsidR="007973D5" w:rsidRDefault="000711D1">
            <w:pPr>
              <w:jc w:val="center"/>
            </w:pPr>
            <w:r>
              <w:rPr>
                <w:rFonts w:eastAsiaTheme="minorEastAsia"/>
                <w:szCs w:val="21"/>
              </w:rPr>
              <w:t>Axis Bank Ltd</w:t>
            </w:r>
          </w:p>
        </w:tc>
        <w:tc>
          <w:tcPr>
            <w:tcW w:w="0" w:type="auto"/>
            <w:vAlign w:val="center"/>
          </w:tcPr>
          <w:p w:rsidR="007973D5" w:rsidRDefault="000711D1">
            <w:pPr>
              <w:jc w:val="center"/>
            </w:pPr>
            <w:r>
              <w:rPr>
                <w:rFonts w:eastAsiaTheme="minorEastAsia"/>
                <w:szCs w:val="21"/>
              </w:rPr>
              <w:t xml:space="preserve">Axis </w:t>
            </w:r>
            <w:r>
              <w:rPr>
                <w:rFonts w:eastAsiaTheme="minorEastAsia"/>
                <w:szCs w:val="21"/>
              </w:rPr>
              <w:t>银行有限公司</w:t>
            </w:r>
          </w:p>
        </w:tc>
        <w:tc>
          <w:tcPr>
            <w:tcW w:w="0" w:type="auto"/>
            <w:vAlign w:val="center"/>
          </w:tcPr>
          <w:p w:rsidR="007973D5" w:rsidRDefault="000711D1">
            <w:pPr>
              <w:jc w:val="center"/>
            </w:pPr>
            <w:r>
              <w:rPr>
                <w:rFonts w:eastAsiaTheme="minorEastAsia"/>
                <w:szCs w:val="21"/>
              </w:rPr>
              <w:t>AXSB</w:t>
            </w:r>
          </w:p>
        </w:tc>
        <w:tc>
          <w:tcPr>
            <w:tcW w:w="0" w:type="auto"/>
            <w:vAlign w:val="center"/>
          </w:tcPr>
          <w:p w:rsidR="007973D5" w:rsidRDefault="000711D1">
            <w:pPr>
              <w:jc w:val="center"/>
            </w:pPr>
            <w:r>
              <w:rPr>
                <w:rFonts w:eastAsiaTheme="minorEastAsia"/>
                <w:szCs w:val="21"/>
              </w:rPr>
              <w:t>印度证券交易所</w:t>
            </w:r>
          </w:p>
        </w:tc>
        <w:tc>
          <w:tcPr>
            <w:tcW w:w="0" w:type="auto"/>
            <w:vAlign w:val="center"/>
          </w:tcPr>
          <w:p w:rsidR="007973D5" w:rsidRDefault="000711D1">
            <w:pPr>
              <w:jc w:val="center"/>
            </w:pPr>
            <w:r>
              <w:rPr>
                <w:rFonts w:eastAsiaTheme="minorEastAsia"/>
                <w:szCs w:val="21"/>
              </w:rPr>
              <w:t>印度</w:t>
            </w:r>
          </w:p>
        </w:tc>
        <w:tc>
          <w:tcPr>
            <w:tcW w:w="0" w:type="auto"/>
            <w:vAlign w:val="center"/>
          </w:tcPr>
          <w:p w:rsidR="007973D5" w:rsidRDefault="000711D1">
            <w:pPr>
              <w:jc w:val="right"/>
            </w:pPr>
            <w:r>
              <w:rPr>
                <w:rFonts w:eastAsiaTheme="minorEastAsia"/>
                <w:szCs w:val="21"/>
              </w:rPr>
              <w:t>659,663</w:t>
            </w:r>
          </w:p>
        </w:tc>
        <w:tc>
          <w:tcPr>
            <w:tcW w:w="0" w:type="auto"/>
            <w:vAlign w:val="center"/>
          </w:tcPr>
          <w:p w:rsidR="007973D5" w:rsidRDefault="000711D1">
            <w:pPr>
              <w:jc w:val="right"/>
            </w:pPr>
            <w:r>
              <w:rPr>
                <w:rFonts w:eastAsiaTheme="minorEastAsia"/>
                <w:szCs w:val="21"/>
              </w:rPr>
              <w:t>58,765,859.16</w:t>
            </w:r>
          </w:p>
        </w:tc>
        <w:tc>
          <w:tcPr>
            <w:tcW w:w="0" w:type="auto"/>
            <w:vAlign w:val="center"/>
          </w:tcPr>
          <w:p w:rsidR="007973D5" w:rsidRDefault="000711D1">
            <w:pPr>
              <w:jc w:val="right"/>
            </w:pPr>
            <w:r>
              <w:rPr>
                <w:rFonts w:eastAsiaTheme="minorEastAsia"/>
                <w:szCs w:val="21"/>
              </w:rPr>
              <w:t>2.36</w:t>
            </w:r>
          </w:p>
        </w:tc>
      </w:tr>
      <w:tr w:rsidR="007973D5">
        <w:tc>
          <w:tcPr>
            <w:tcW w:w="0" w:type="auto"/>
            <w:vAlign w:val="center"/>
          </w:tcPr>
          <w:p w:rsidR="007973D5" w:rsidRDefault="000711D1">
            <w:pPr>
              <w:jc w:val="center"/>
            </w:pPr>
            <w:r>
              <w:rPr>
                <w:rFonts w:eastAsiaTheme="minorEastAsia"/>
                <w:szCs w:val="21"/>
              </w:rPr>
              <w:t>6</w:t>
            </w:r>
          </w:p>
        </w:tc>
        <w:tc>
          <w:tcPr>
            <w:tcW w:w="0" w:type="auto"/>
            <w:vAlign w:val="center"/>
          </w:tcPr>
          <w:p w:rsidR="007973D5" w:rsidRDefault="000711D1">
            <w:pPr>
              <w:jc w:val="center"/>
            </w:pPr>
            <w:r>
              <w:rPr>
                <w:rFonts w:eastAsiaTheme="minorEastAsia"/>
                <w:szCs w:val="21"/>
              </w:rPr>
              <w:t>Maruti Suzuki India Ltd</w:t>
            </w:r>
          </w:p>
        </w:tc>
        <w:tc>
          <w:tcPr>
            <w:tcW w:w="0" w:type="auto"/>
            <w:vAlign w:val="center"/>
          </w:tcPr>
          <w:p w:rsidR="007973D5" w:rsidRDefault="000711D1">
            <w:pPr>
              <w:jc w:val="center"/>
            </w:pPr>
            <w:r>
              <w:rPr>
                <w:rFonts w:eastAsiaTheme="minorEastAsia"/>
                <w:szCs w:val="21"/>
              </w:rPr>
              <w:t xml:space="preserve">Maruti Suzuki </w:t>
            </w:r>
            <w:r>
              <w:rPr>
                <w:rFonts w:eastAsiaTheme="minorEastAsia"/>
                <w:szCs w:val="21"/>
              </w:rPr>
              <w:lastRenderedPageBreak/>
              <w:t>印度有限公司</w:t>
            </w:r>
          </w:p>
        </w:tc>
        <w:tc>
          <w:tcPr>
            <w:tcW w:w="0" w:type="auto"/>
            <w:vAlign w:val="center"/>
          </w:tcPr>
          <w:p w:rsidR="007973D5" w:rsidRDefault="000711D1">
            <w:pPr>
              <w:jc w:val="center"/>
            </w:pPr>
            <w:r>
              <w:rPr>
                <w:rFonts w:eastAsiaTheme="minorEastAsia"/>
                <w:szCs w:val="21"/>
              </w:rPr>
              <w:lastRenderedPageBreak/>
              <w:t>MSIL</w:t>
            </w:r>
          </w:p>
        </w:tc>
        <w:tc>
          <w:tcPr>
            <w:tcW w:w="0" w:type="auto"/>
            <w:vAlign w:val="center"/>
          </w:tcPr>
          <w:p w:rsidR="007973D5" w:rsidRDefault="000711D1">
            <w:pPr>
              <w:jc w:val="center"/>
            </w:pPr>
            <w:r>
              <w:rPr>
                <w:rFonts w:eastAsiaTheme="minorEastAsia"/>
                <w:szCs w:val="21"/>
              </w:rPr>
              <w:t>印度</w:t>
            </w:r>
            <w:r>
              <w:rPr>
                <w:rFonts w:eastAsiaTheme="minorEastAsia"/>
                <w:szCs w:val="21"/>
              </w:rPr>
              <w:lastRenderedPageBreak/>
              <w:t>证券交易所</w:t>
            </w:r>
          </w:p>
        </w:tc>
        <w:tc>
          <w:tcPr>
            <w:tcW w:w="0" w:type="auto"/>
            <w:vAlign w:val="center"/>
          </w:tcPr>
          <w:p w:rsidR="007973D5" w:rsidRDefault="000711D1">
            <w:pPr>
              <w:jc w:val="center"/>
            </w:pPr>
            <w:r>
              <w:rPr>
                <w:rFonts w:eastAsiaTheme="minorEastAsia"/>
                <w:szCs w:val="21"/>
              </w:rPr>
              <w:lastRenderedPageBreak/>
              <w:t>印度</w:t>
            </w:r>
          </w:p>
        </w:tc>
        <w:tc>
          <w:tcPr>
            <w:tcW w:w="0" w:type="auto"/>
            <w:vAlign w:val="center"/>
          </w:tcPr>
          <w:p w:rsidR="007973D5" w:rsidRDefault="000711D1">
            <w:pPr>
              <w:jc w:val="right"/>
            </w:pPr>
            <w:r>
              <w:rPr>
                <w:rFonts w:eastAsiaTheme="minorEastAsia"/>
                <w:szCs w:val="21"/>
              </w:rPr>
              <w:t>50,523</w:t>
            </w:r>
          </w:p>
        </w:tc>
        <w:tc>
          <w:tcPr>
            <w:tcW w:w="0" w:type="auto"/>
            <w:vAlign w:val="center"/>
          </w:tcPr>
          <w:p w:rsidR="007973D5" w:rsidRDefault="000711D1">
            <w:pPr>
              <w:jc w:val="right"/>
            </w:pPr>
            <w:r>
              <w:rPr>
                <w:rFonts w:eastAsiaTheme="minorEastAsia"/>
                <w:szCs w:val="21"/>
              </w:rPr>
              <w:t>54,155,811.78</w:t>
            </w:r>
          </w:p>
        </w:tc>
        <w:tc>
          <w:tcPr>
            <w:tcW w:w="0" w:type="auto"/>
            <w:vAlign w:val="center"/>
          </w:tcPr>
          <w:p w:rsidR="007973D5" w:rsidRDefault="000711D1">
            <w:pPr>
              <w:jc w:val="right"/>
            </w:pPr>
            <w:r>
              <w:rPr>
                <w:rFonts w:eastAsiaTheme="minorEastAsia"/>
                <w:szCs w:val="21"/>
              </w:rPr>
              <w:t>2.18</w:t>
            </w:r>
          </w:p>
        </w:tc>
      </w:tr>
      <w:tr w:rsidR="007973D5">
        <w:tc>
          <w:tcPr>
            <w:tcW w:w="0" w:type="auto"/>
            <w:vAlign w:val="center"/>
          </w:tcPr>
          <w:p w:rsidR="007973D5" w:rsidRDefault="000711D1">
            <w:pPr>
              <w:jc w:val="center"/>
            </w:pPr>
            <w:r>
              <w:rPr>
                <w:rFonts w:eastAsiaTheme="minorEastAsia"/>
                <w:szCs w:val="21"/>
              </w:rPr>
              <w:t>7</w:t>
            </w:r>
          </w:p>
        </w:tc>
        <w:tc>
          <w:tcPr>
            <w:tcW w:w="0" w:type="auto"/>
            <w:vAlign w:val="center"/>
          </w:tcPr>
          <w:p w:rsidR="007973D5" w:rsidRDefault="000711D1">
            <w:pPr>
              <w:jc w:val="center"/>
            </w:pPr>
            <w:r>
              <w:rPr>
                <w:rFonts w:eastAsiaTheme="minorEastAsia"/>
                <w:szCs w:val="21"/>
              </w:rPr>
              <w:t>AIA Group Ltd</w:t>
            </w:r>
          </w:p>
        </w:tc>
        <w:tc>
          <w:tcPr>
            <w:tcW w:w="0" w:type="auto"/>
            <w:vAlign w:val="center"/>
          </w:tcPr>
          <w:p w:rsidR="007973D5" w:rsidRDefault="000711D1">
            <w:pPr>
              <w:jc w:val="center"/>
            </w:pPr>
            <w:r>
              <w:rPr>
                <w:rFonts w:eastAsiaTheme="minorEastAsia"/>
                <w:szCs w:val="21"/>
              </w:rPr>
              <w:t>友邦保险</w:t>
            </w:r>
          </w:p>
        </w:tc>
        <w:tc>
          <w:tcPr>
            <w:tcW w:w="0" w:type="auto"/>
            <w:vAlign w:val="center"/>
          </w:tcPr>
          <w:p w:rsidR="007973D5" w:rsidRDefault="000711D1">
            <w:pPr>
              <w:jc w:val="center"/>
            </w:pPr>
            <w:r>
              <w:rPr>
                <w:rFonts w:eastAsiaTheme="minorEastAsia"/>
                <w:szCs w:val="21"/>
              </w:rPr>
              <w:t>1299</w:t>
            </w:r>
          </w:p>
        </w:tc>
        <w:tc>
          <w:tcPr>
            <w:tcW w:w="0" w:type="auto"/>
            <w:vAlign w:val="center"/>
          </w:tcPr>
          <w:p w:rsidR="007973D5" w:rsidRDefault="000711D1">
            <w:pPr>
              <w:jc w:val="center"/>
            </w:pPr>
            <w:r>
              <w:rPr>
                <w:rFonts w:eastAsiaTheme="minorEastAsia"/>
                <w:szCs w:val="21"/>
              </w:rPr>
              <w:t>香港证券交易所</w:t>
            </w:r>
          </w:p>
        </w:tc>
        <w:tc>
          <w:tcPr>
            <w:tcW w:w="0" w:type="auto"/>
            <w:vAlign w:val="center"/>
          </w:tcPr>
          <w:p w:rsidR="007973D5" w:rsidRDefault="000711D1">
            <w:pPr>
              <w:jc w:val="center"/>
            </w:pPr>
            <w:r>
              <w:rPr>
                <w:rFonts w:eastAsiaTheme="minorEastAsia"/>
                <w:szCs w:val="21"/>
              </w:rPr>
              <w:t>中国香港</w:t>
            </w:r>
          </w:p>
        </w:tc>
        <w:tc>
          <w:tcPr>
            <w:tcW w:w="0" w:type="auto"/>
            <w:vAlign w:val="center"/>
          </w:tcPr>
          <w:p w:rsidR="007973D5" w:rsidRDefault="000711D1">
            <w:pPr>
              <w:jc w:val="right"/>
            </w:pPr>
            <w:r>
              <w:rPr>
                <w:rFonts w:eastAsiaTheme="minorEastAsia"/>
                <w:szCs w:val="21"/>
              </w:rPr>
              <w:t>966,000</w:t>
            </w:r>
          </w:p>
        </w:tc>
        <w:tc>
          <w:tcPr>
            <w:tcW w:w="0" w:type="auto"/>
            <w:vAlign w:val="center"/>
          </w:tcPr>
          <w:p w:rsidR="007973D5" w:rsidRDefault="000711D1">
            <w:pPr>
              <w:jc w:val="right"/>
            </w:pPr>
            <w:r>
              <w:rPr>
                <w:rFonts w:eastAsiaTheme="minorEastAsia"/>
                <w:szCs w:val="21"/>
              </w:rPr>
              <w:t>46,019,469.62</w:t>
            </w:r>
          </w:p>
        </w:tc>
        <w:tc>
          <w:tcPr>
            <w:tcW w:w="0" w:type="auto"/>
            <w:vAlign w:val="center"/>
          </w:tcPr>
          <w:p w:rsidR="007973D5" w:rsidRDefault="000711D1">
            <w:pPr>
              <w:jc w:val="right"/>
            </w:pPr>
            <w:r>
              <w:rPr>
                <w:rFonts w:eastAsiaTheme="minorEastAsia"/>
                <w:szCs w:val="21"/>
              </w:rPr>
              <w:t>1.85</w:t>
            </w:r>
          </w:p>
        </w:tc>
      </w:tr>
      <w:tr w:rsidR="007973D5">
        <w:tc>
          <w:tcPr>
            <w:tcW w:w="0" w:type="auto"/>
            <w:vAlign w:val="center"/>
          </w:tcPr>
          <w:p w:rsidR="007973D5" w:rsidRDefault="000711D1">
            <w:pPr>
              <w:jc w:val="center"/>
            </w:pPr>
            <w:r>
              <w:rPr>
                <w:rFonts w:eastAsiaTheme="minorEastAsia"/>
                <w:szCs w:val="21"/>
              </w:rPr>
              <w:t>8</w:t>
            </w:r>
          </w:p>
        </w:tc>
        <w:tc>
          <w:tcPr>
            <w:tcW w:w="0" w:type="auto"/>
            <w:vAlign w:val="center"/>
          </w:tcPr>
          <w:p w:rsidR="007973D5" w:rsidRDefault="000711D1">
            <w:pPr>
              <w:jc w:val="center"/>
            </w:pPr>
            <w:r>
              <w:rPr>
                <w:rFonts w:eastAsiaTheme="minorEastAsia"/>
                <w:szCs w:val="21"/>
              </w:rPr>
              <w:t>Infosys Ltd</w:t>
            </w:r>
          </w:p>
        </w:tc>
        <w:tc>
          <w:tcPr>
            <w:tcW w:w="0" w:type="auto"/>
            <w:vAlign w:val="center"/>
          </w:tcPr>
          <w:p w:rsidR="007973D5" w:rsidRDefault="000711D1">
            <w:pPr>
              <w:jc w:val="center"/>
            </w:pPr>
            <w:r>
              <w:rPr>
                <w:rFonts w:eastAsiaTheme="minorEastAsia"/>
                <w:szCs w:val="21"/>
              </w:rPr>
              <w:t>Infosys</w:t>
            </w:r>
            <w:r>
              <w:rPr>
                <w:rFonts w:eastAsiaTheme="minorEastAsia"/>
                <w:szCs w:val="21"/>
              </w:rPr>
              <w:t>科技有限公司</w:t>
            </w:r>
          </w:p>
        </w:tc>
        <w:tc>
          <w:tcPr>
            <w:tcW w:w="0" w:type="auto"/>
            <w:vAlign w:val="center"/>
          </w:tcPr>
          <w:p w:rsidR="007973D5" w:rsidRDefault="000711D1">
            <w:pPr>
              <w:jc w:val="center"/>
            </w:pPr>
            <w:r>
              <w:rPr>
                <w:rFonts w:eastAsiaTheme="minorEastAsia"/>
                <w:szCs w:val="21"/>
              </w:rPr>
              <w:t>INFO</w:t>
            </w:r>
          </w:p>
        </w:tc>
        <w:tc>
          <w:tcPr>
            <w:tcW w:w="0" w:type="auto"/>
            <w:vAlign w:val="center"/>
          </w:tcPr>
          <w:p w:rsidR="007973D5" w:rsidRDefault="000711D1">
            <w:pPr>
              <w:jc w:val="center"/>
            </w:pPr>
            <w:r>
              <w:rPr>
                <w:rFonts w:eastAsiaTheme="minorEastAsia"/>
                <w:szCs w:val="21"/>
              </w:rPr>
              <w:t>印度证券交易所</w:t>
            </w:r>
          </w:p>
        </w:tc>
        <w:tc>
          <w:tcPr>
            <w:tcW w:w="0" w:type="auto"/>
            <w:vAlign w:val="center"/>
          </w:tcPr>
          <w:p w:rsidR="007973D5" w:rsidRDefault="000711D1">
            <w:pPr>
              <w:jc w:val="center"/>
            </w:pPr>
            <w:r>
              <w:rPr>
                <w:rFonts w:eastAsiaTheme="minorEastAsia"/>
                <w:szCs w:val="21"/>
              </w:rPr>
              <w:t>印度</w:t>
            </w:r>
          </w:p>
        </w:tc>
        <w:tc>
          <w:tcPr>
            <w:tcW w:w="0" w:type="auto"/>
            <w:vAlign w:val="center"/>
          </w:tcPr>
          <w:p w:rsidR="007973D5" w:rsidRDefault="000711D1">
            <w:pPr>
              <w:jc w:val="right"/>
            </w:pPr>
            <w:r>
              <w:rPr>
                <w:rFonts w:eastAsiaTheme="minorEastAsia"/>
                <w:szCs w:val="21"/>
              </w:rPr>
              <w:t>342,489</w:t>
            </w:r>
          </w:p>
        </w:tc>
        <w:tc>
          <w:tcPr>
            <w:tcW w:w="0" w:type="auto"/>
            <w:vAlign w:val="center"/>
          </w:tcPr>
          <w:p w:rsidR="007973D5" w:rsidRDefault="000711D1">
            <w:pPr>
              <w:jc w:val="right"/>
            </w:pPr>
            <w:r>
              <w:rPr>
                <w:rFonts w:eastAsiaTheme="minorEastAsia"/>
                <w:szCs w:val="21"/>
              </w:rPr>
              <w:t>43,646,182.80</w:t>
            </w:r>
          </w:p>
        </w:tc>
        <w:tc>
          <w:tcPr>
            <w:tcW w:w="0" w:type="auto"/>
            <w:vAlign w:val="center"/>
          </w:tcPr>
          <w:p w:rsidR="007973D5" w:rsidRDefault="000711D1">
            <w:pPr>
              <w:jc w:val="right"/>
            </w:pPr>
            <w:r>
              <w:rPr>
                <w:rFonts w:eastAsiaTheme="minorEastAsia"/>
                <w:szCs w:val="21"/>
              </w:rPr>
              <w:t>1.75</w:t>
            </w:r>
          </w:p>
        </w:tc>
      </w:tr>
      <w:tr w:rsidR="007973D5">
        <w:tc>
          <w:tcPr>
            <w:tcW w:w="0" w:type="auto"/>
            <w:vAlign w:val="center"/>
          </w:tcPr>
          <w:p w:rsidR="007973D5" w:rsidRDefault="000711D1">
            <w:pPr>
              <w:jc w:val="center"/>
            </w:pPr>
            <w:r>
              <w:rPr>
                <w:rFonts w:eastAsiaTheme="minorEastAsia"/>
                <w:szCs w:val="21"/>
              </w:rPr>
              <w:t>9</w:t>
            </w:r>
          </w:p>
        </w:tc>
        <w:tc>
          <w:tcPr>
            <w:tcW w:w="0" w:type="auto"/>
            <w:vAlign w:val="center"/>
          </w:tcPr>
          <w:p w:rsidR="007973D5" w:rsidRDefault="000711D1">
            <w:pPr>
              <w:jc w:val="center"/>
            </w:pPr>
            <w:r>
              <w:rPr>
                <w:rFonts w:eastAsiaTheme="minorEastAsia"/>
                <w:szCs w:val="21"/>
              </w:rPr>
              <w:t>HDFC Bank Ltd</w:t>
            </w:r>
          </w:p>
        </w:tc>
        <w:tc>
          <w:tcPr>
            <w:tcW w:w="0" w:type="auto"/>
            <w:vAlign w:val="center"/>
          </w:tcPr>
          <w:p w:rsidR="007973D5" w:rsidRDefault="000711D1">
            <w:pPr>
              <w:jc w:val="center"/>
            </w:pPr>
            <w:r>
              <w:rPr>
                <w:rFonts w:eastAsiaTheme="minorEastAsia"/>
                <w:szCs w:val="21"/>
              </w:rPr>
              <w:t>HDFC</w:t>
            </w:r>
            <w:r>
              <w:rPr>
                <w:rFonts w:eastAsiaTheme="minorEastAsia"/>
                <w:szCs w:val="21"/>
              </w:rPr>
              <w:t>银行有限公司</w:t>
            </w:r>
          </w:p>
        </w:tc>
        <w:tc>
          <w:tcPr>
            <w:tcW w:w="0" w:type="auto"/>
            <w:vAlign w:val="center"/>
          </w:tcPr>
          <w:p w:rsidR="007973D5" w:rsidRDefault="000711D1">
            <w:pPr>
              <w:jc w:val="center"/>
            </w:pPr>
            <w:r>
              <w:rPr>
                <w:rFonts w:eastAsiaTheme="minorEastAsia"/>
                <w:szCs w:val="21"/>
              </w:rPr>
              <w:t>HDFCB</w:t>
            </w:r>
          </w:p>
        </w:tc>
        <w:tc>
          <w:tcPr>
            <w:tcW w:w="0" w:type="auto"/>
            <w:vAlign w:val="center"/>
          </w:tcPr>
          <w:p w:rsidR="007973D5" w:rsidRDefault="000711D1">
            <w:pPr>
              <w:jc w:val="center"/>
            </w:pPr>
            <w:r>
              <w:rPr>
                <w:rFonts w:eastAsiaTheme="minorEastAsia"/>
                <w:szCs w:val="21"/>
              </w:rPr>
              <w:t>印度证券交易所</w:t>
            </w:r>
          </w:p>
        </w:tc>
        <w:tc>
          <w:tcPr>
            <w:tcW w:w="0" w:type="auto"/>
            <w:vAlign w:val="center"/>
          </w:tcPr>
          <w:p w:rsidR="007973D5" w:rsidRDefault="000711D1">
            <w:pPr>
              <w:jc w:val="center"/>
            </w:pPr>
            <w:r>
              <w:rPr>
                <w:rFonts w:eastAsiaTheme="minorEastAsia"/>
                <w:szCs w:val="21"/>
              </w:rPr>
              <w:t>印度</w:t>
            </w:r>
          </w:p>
        </w:tc>
        <w:tc>
          <w:tcPr>
            <w:tcW w:w="0" w:type="auto"/>
            <w:vAlign w:val="center"/>
          </w:tcPr>
          <w:p w:rsidR="007973D5" w:rsidRDefault="000711D1">
            <w:pPr>
              <w:jc w:val="right"/>
            </w:pPr>
            <w:r>
              <w:rPr>
                <w:rFonts w:eastAsiaTheme="minorEastAsia"/>
                <w:szCs w:val="21"/>
              </w:rPr>
              <w:t>353,746</w:t>
            </w:r>
          </w:p>
        </w:tc>
        <w:tc>
          <w:tcPr>
            <w:tcW w:w="0" w:type="auto"/>
            <w:vAlign w:val="center"/>
          </w:tcPr>
          <w:p w:rsidR="007973D5" w:rsidRDefault="000711D1">
            <w:pPr>
              <w:jc w:val="right"/>
            </w:pPr>
            <w:r>
              <w:rPr>
                <w:rFonts w:eastAsiaTheme="minorEastAsia"/>
                <w:szCs w:val="21"/>
              </w:rPr>
              <w:t>43,571,592.85</w:t>
            </w:r>
          </w:p>
        </w:tc>
        <w:tc>
          <w:tcPr>
            <w:tcW w:w="0" w:type="auto"/>
            <w:vAlign w:val="center"/>
          </w:tcPr>
          <w:p w:rsidR="007973D5" w:rsidRDefault="000711D1">
            <w:pPr>
              <w:jc w:val="right"/>
            </w:pPr>
            <w:r>
              <w:rPr>
                <w:rFonts w:eastAsiaTheme="minorEastAsia"/>
                <w:szCs w:val="21"/>
              </w:rPr>
              <w:t>1.75</w:t>
            </w:r>
          </w:p>
        </w:tc>
      </w:tr>
      <w:tr w:rsidR="007973D5">
        <w:tc>
          <w:tcPr>
            <w:tcW w:w="0" w:type="auto"/>
            <w:vAlign w:val="center"/>
          </w:tcPr>
          <w:p w:rsidR="007973D5" w:rsidRDefault="000711D1">
            <w:pPr>
              <w:jc w:val="center"/>
            </w:pPr>
            <w:r>
              <w:rPr>
                <w:rFonts w:eastAsiaTheme="minorEastAsia"/>
                <w:szCs w:val="21"/>
              </w:rPr>
              <w:t>10</w:t>
            </w:r>
          </w:p>
        </w:tc>
        <w:tc>
          <w:tcPr>
            <w:tcW w:w="0" w:type="auto"/>
            <w:vAlign w:val="center"/>
          </w:tcPr>
          <w:p w:rsidR="007973D5" w:rsidRDefault="000711D1">
            <w:pPr>
              <w:jc w:val="center"/>
            </w:pPr>
            <w:r>
              <w:rPr>
                <w:rFonts w:eastAsiaTheme="minorEastAsia"/>
                <w:szCs w:val="21"/>
              </w:rPr>
              <w:t>Rio Tinto Ltd</w:t>
            </w:r>
          </w:p>
        </w:tc>
        <w:tc>
          <w:tcPr>
            <w:tcW w:w="0" w:type="auto"/>
            <w:vAlign w:val="center"/>
          </w:tcPr>
          <w:p w:rsidR="007973D5" w:rsidRDefault="000711D1">
            <w:pPr>
              <w:jc w:val="center"/>
            </w:pPr>
            <w:r>
              <w:rPr>
                <w:rFonts w:eastAsiaTheme="minorEastAsia"/>
                <w:szCs w:val="21"/>
              </w:rPr>
              <w:t>力拓有限公司</w:t>
            </w:r>
          </w:p>
        </w:tc>
        <w:tc>
          <w:tcPr>
            <w:tcW w:w="0" w:type="auto"/>
            <w:vAlign w:val="center"/>
          </w:tcPr>
          <w:p w:rsidR="007973D5" w:rsidRDefault="000711D1">
            <w:pPr>
              <w:jc w:val="center"/>
            </w:pPr>
            <w:r>
              <w:rPr>
                <w:rFonts w:eastAsiaTheme="minorEastAsia"/>
                <w:szCs w:val="21"/>
              </w:rPr>
              <w:t>RIO</w:t>
            </w:r>
          </w:p>
        </w:tc>
        <w:tc>
          <w:tcPr>
            <w:tcW w:w="0" w:type="auto"/>
            <w:vAlign w:val="center"/>
          </w:tcPr>
          <w:p w:rsidR="007973D5" w:rsidRDefault="000711D1">
            <w:pPr>
              <w:jc w:val="center"/>
            </w:pPr>
            <w:r>
              <w:rPr>
                <w:rFonts w:eastAsiaTheme="minorEastAsia"/>
                <w:szCs w:val="21"/>
              </w:rPr>
              <w:t>澳大利亚证券交易所</w:t>
            </w:r>
          </w:p>
        </w:tc>
        <w:tc>
          <w:tcPr>
            <w:tcW w:w="0" w:type="auto"/>
            <w:vAlign w:val="center"/>
          </w:tcPr>
          <w:p w:rsidR="007973D5" w:rsidRDefault="000711D1">
            <w:pPr>
              <w:jc w:val="center"/>
            </w:pPr>
            <w:r>
              <w:rPr>
                <w:rFonts w:eastAsiaTheme="minorEastAsia"/>
                <w:szCs w:val="21"/>
              </w:rPr>
              <w:t>澳大利亚</w:t>
            </w:r>
          </w:p>
        </w:tc>
        <w:tc>
          <w:tcPr>
            <w:tcW w:w="0" w:type="auto"/>
            <w:vAlign w:val="center"/>
          </w:tcPr>
          <w:p w:rsidR="007973D5" w:rsidRDefault="000711D1">
            <w:pPr>
              <w:jc w:val="right"/>
            </w:pPr>
            <w:r>
              <w:rPr>
                <w:rFonts w:eastAsiaTheme="minorEastAsia"/>
                <w:szCs w:val="21"/>
              </w:rPr>
              <w:t>76,734</w:t>
            </w:r>
          </w:p>
        </w:tc>
        <w:tc>
          <w:tcPr>
            <w:tcW w:w="0" w:type="auto"/>
            <w:vAlign w:val="center"/>
          </w:tcPr>
          <w:p w:rsidR="007973D5" w:rsidRDefault="000711D1">
            <w:pPr>
              <w:jc w:val="right"/>
            </w:pPr>
            <w:r>
              <w:rPr>
                <w:rFonts w:eastAsiaTheme="minorEastAsia"/>
                <w:szCs w:val="21"/>
              </w:rPr>
              <w:t>43,247,283.11</w:t>
            </w:r>
          </w:p>
        </w:tc>
        <w:tc>
          <w:tcPr>
            <w:tcW w:w="0" w:type="auto"/>
            <w:vAlign w:val="center"/>
          </w:tcPr>
          <w:p w:rsidR="007973D5" w:rsidRDefault="000711D1">
            <w:pPr>
              <w:jc w:val="right"/>
            </w:pPr>
            <w:r>
              <w:rPr>
                <w:rFonts w:eastAsiaTheme="minorEastAsia"/>
                <w:szCs w:val="21"/>
              </w:rPr>
              <w:t>1.74</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6,779,580.58</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293,590.00</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9763FD" w:rsidP="00797DD2">
            <w:pPr>
              <w:autoSpaceDE w:val="0"/>
              <w:autoSpaceDN w:val="0"/>
              <w:adjustRightInd w:val="0"/>
              <w:spacing w:before="29" w:line="360" w:lineRule="auto"/>
              <w:ind w:left="15"/>
              <w:jc w:val="right"/>
              <w:rPr>
                <w:rFonts w:eastAsiaTheme="minorEastAsia"/>
                <w:color w:val="000000" w:themeColor="text1"/>
                <w:kern w:val="0"/>
                <w:szCs w:val="21"/>
              </w:rPr>
            </w:pPr>
            <w:r w:rsidRPr="009763FD">
              <w:rPr>
                <w:rFonts w:eastAsiaTheme="minorEastAsia"/>
                <w:color w:val="000000" w:themeColor="text1"/>
                <w:kern w:val="0"/>
                <w:szCs w:val="21"/>
              </w:rPr>
              <w:t>4,349,920.31</w:t>
            </w:r>
            <w:r w:rsidRPr="009763FD">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9763FD" w:rsidP="00797DD2">
            <w:pPr>
              <w:autoSpaceDE w:val="0"/>
              <w:autoSpaceDN w:val="0"/>
              <w:adjustRightInd w:val="0"/>
              <w:spacing w:before="29" w:line="360" w:lineRule="auto"/>
              <w:ind w:left="15"/>
              <w:jc w:val="right"/>
              <w:rPr>
                <w:rFonts w:eastAsiaTheme="minorEastAsia"/>
                <w:color w:val="000000" w:themeColor="text1"/>
                <w:kern w:val="0"/>
                <w:szCs w:val="21"/>
              </w:rPr>
            </w:pPr>
            <w:r w:rsidRPr="000711D1">
              <w:rPr>
                <w:rFonts w:eastAsiaTheme="minorEastAsia"/>
                <w:color w:val="000000" w:themeColor="text1"/>
                <w:szCs w:val="21"/>
              </w:rPr>
              <w:t>11</w:t>
            </w:r>
            <w:r>
              <w:rPr>
                <w:rFonts w:eastAsiaTheme="minorEastAsia"/>
                <w:color w:val="000000" w:themeColor="text1"/>
                <w:szCs w:val="21"/>
              </w:rPr>
              <w:t>,</w:t>
            </w:r>
            <w:r w:rsidRPr="000711D1">
              <w:rPr>
                <w:rFonts w:eastAsiaTheme="minorEastAsia"/>
                <w:color w:val="000000" w:themeColor="text1"/>
                <w:szCs w:val="21"/>
              </w:rPr>
              <w:t>423</w:t>
            </w:r>
            <w:r>
              <w:rPr>
                <w:rFonts w:eastAsiaTheme="minorEastAsia"/>
                <w:color w:val="000000" w:themeColor="text1"/>
                <w:szCs w:val="21"/>
              </w:rPr>
              <w:t>,</w:t>
            </w:r>
            <w:r w:rsidRPr="000711D1">
              <w:rPr>
                <w:rFonts w:eastAsiaTheme="minorEastAsia"/>
                <w:color w:val="000000" w:themeColor="text1"/>
                <w:szCs w:val="21"/>
              </w:rPr>
              <w:t>090.89</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2,792,647,949.80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200,187.36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12,065,342.66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3,299,048.04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38,680,885.27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2,432,538.33</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2,766,032,407.19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1,066,697.07</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5645F7" w:rsidRPr="00B76BBB" w:rsidRDefault="005645F7" w:rsidP="005645F7">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5645F7" w:rsidRPr="00DF18FE" w:rsidRDefault="005645F7" w:rsidP="005645F7">
      <w:pPr>
        <w:spacing w:line="360" w:lineRule="auto"/>
        <w:ind w:firstLineChars="200" w:firstLine="480"/>
        <w:rPr>
          <w:color w:val="000000"/>
          <w:sz w:val="24"/>
        </w:rPr>
      </w:pPr>
      <w:r w:rsidRPr="00DF18FE">
        <w:rPr>
          <w:color w:val="000000"/>
          <w:sz w:val="24"/>
        </w:rPr>
        <w:t>无。</w:t>
      </w:r>
    </w:p>
    <w:p w:rsidR="005645F7" w:rsidRPr="00D678E4" w:rsidRDefault="005645F7" w:rsidP="005645F7">
      <w:pPr>
        <w:autoSpaceDE w:val="0"/>
        <w:autoSpaceDN w:val="0"/>
        <w:adjustRightInd w:val="0"/>
        <w:spacing w:line="360" w:lineRule="auto"/>
        <w:jc w:val="left"/>
        <w:rPr>
          <w:rFonts w:eastAsiaTheme="minorEastAsia"/>
          <w:color w:val="000000" w:themeColor="text1"/>
          <w:szCs w:val="21"/>
        </w:rPr>
      </w:pPr>
    </w:p>
    <w:p w:rsidR="00BB5F3D" w:rsidRPr="00A3398F" w:rsidRDefault="005645F7" w:rsidP="005645F7">
      <w:pPr>
        <w:spacing w:line="360" w:lineRule="auto"/>
        <w:jc w:val="left"/>
        <w:rPr>
          <w:rFonts w:eastAsiaTheme="minorEastAsia"/>
          <w:b/>
          <w:color w:val="000000" w:themeColor="text1"/>
          <w:sz w:val="24"/>
        </w:rPr>
      </w:pPr>
      <w:r w:rsidRPr="00A3398F">
        <w:rPr>
          <w:rFonts w:eastAsiaTheme="minorEastAsia"/>
          <w:b/>
          <w:color w:val="000000" w:themeColor="text1"/>
          <w:sz w:val="24"/>
        </w:rPr>
        <w:t>7.2</w:t>
      </w:r>
      <w:r w:rsidR="00BB5F3D" w:rsidRPr="00A3398F">
        <w:rPr>
          <w:rFonts w:eastAsiaTheme="minorEastAsia"/>
          <w:b/>
          <w:color w:val="000000" w:themeColor="text1"/>
          <w:sz w:val="24"/>
        </w:rPr>
        <w:t>基金管理人运用固有资金投资本基金交易明细</w:t>
      </w:r>
    </w:p>
    <w:p w:rsidR="005E64DA" w:rsidRPr="00A3398F" w:rsidRDefault="00BB5F3D" w:rsidP="00095FD1">
      <w:pPr>
        <w:autoSpaceDE w:val="0"/>
        <w:autoSpaceDN w:val="0"/>
        <w:adjustRightInd w:val="0"/>
        <w:spacing w:line="360" w:lineRule="auto"/>
        <w:ind w:firstLineChars="200" w:firstLine="420"/>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7973D5" w:rsidRDefault="000711D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二〇二四年四月二十二日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95FD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95FD1">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5FD1">
      <w:rPr>
        <w:rStyle w:val="a8"/>
        <w:noProof/>
      </w:rPr>
      <w:t>15</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摩根亚太优势混合型证券投资基金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1D1"/>
    <w:rsid w:val="0007171B"/>
    <w:rsid w:val="00081D05"/>
    <w:rsid w:val="000876A0"/>
    <w:rsid w:val="00087CF7"/>
    <w:rsid w:val="00094876"/>
    <w:rsid w:val="00095912"/>
    <w:rsid w:val="00095CE0"/>
    <w:rsid w:val="00095FD1"/>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45F7"/>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3D5"/>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2458"/>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5664"/>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63FD"/>
    <w:rsid w:val="009779FD"/>
    <w:rsid w:val="0098062B"/>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1612B"/>
    <w:rsid w:val="00B203C4"/>
    <w:rsid w:val="00B22995"/>
    <w:rsid w:val="00B22A61"/>
    <w:rsid w:val="00B22E81"/>
    <w:rsid w:val="00B23996"/>
    <w:rsid w:val="00B23CB2"/>
    <w:rsid w:val="00B2561A"/>
    <w:rsid w:val="00B25A64"/>
    <w:rsid w:val="00B27BF6"/>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0352943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116</TotalTime>
  <Pages>17</Pages>
  <Words>1476</Words>
  <Characters>8416</Characters>
  <Application>Microsoft Office Word</Application>
  <DocSecurity>0</DocSecurity>
  <Lines>70</Lines>
  <Paragraphs>19</Paragraphs>
  <ScaleCrop>false</ScaleCrop>
  <Company>TRT. Ltd. Co.</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39</cp:revision>
  <cp:lastPrinted>2007-07-19T00:46:00Z</cp:lastPrinted>
  <dcterms:created xsi:type="dcterms:W3CDTF">2014-12-16T02:40:00Z</dcterms:created>
  <dcterms:modified xsi:type="dcterms:W3CDTF">2024-04-19T05:31:00Z</dcterms:modified>
</cp:coreProperties>
</file>