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摩根亚太优势混合型证券投资基金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二〇二五年一月二十二日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w:t>
      </w:r>
      <w:r>
        <w:rPr>
          <w:rFonts w:eastAsiaTheme="minorEastAsia"/>
          <w:color w:val="000000" w:themeColor="text1"/>
          <w:szCs w:val="21"/>
        </w:rPr>
        <w:t>险，投资者在作出投资决策前应仔细阅读本基金的招募说明书。</w:t>
      </w:r>
      <w:r>
        <w:rPr>
          <w:rFonts w:eastAsiaTheme="minorEastAsia"/>
          <w:color w:val="000000" w:themeColor="text1"/>
          <w:szCs w:val="21"/>
        </w:rPr>
        <w:t xml:space="preserve"> </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摩根亚太优势混合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377016</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2007</w:t>
            </w:r>
            <w:r w:rsidRPr="00A3398F">
              <w:rPr>
                <w:rFonts w:eastAsiaTheme="minorEastAsia"/>
                <w:color w:val="000000" w:themeColor="text1"/>
                <w:kern w:val="0"/>
                <w:szCs w:val="21"/>
              </w:rPr>
              <w:t>年</w:t>
            </w:r>
            <w:r w:rsidRPr="00A3398F">
              <w:rPr>
                <w:rFonts w:eastAsiaTheme="minorEastAsia"/>
                <w:color w:val="000000" w:themeColor="text1"/>
                <w:kern w:val="0"/>
                <w:szCs w:val="21"/>
              </w:rPr>
              <w:t>10</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2,543,485,031.25</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4F7733" w:rsidRDefault="004F15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本基金在投资过程中注重各区域市场环境、政经前景分析，并强调公司品质与成长性的结合。首先在亚太地区经济发展格局下，通过自上而下分析，甄别不同国家与地区、</w:t>
            </w:r>
            <w:r>
              <w:rPr>
                <w:rFonts w:eastAsiaTheme="minorEastAsia"/>
                <w:color w:val="000000" w:themeColor="text1"/>
                <w:kern w:val="0"/>
                <w:szCs w:val="21"/>
              </w:rPr>
              <w:lastRenderedPageBreak/>
              <w:t>行业与板块的投资机会，首先考虑国家与地区的资产配置，决定行业与板块的基本布局，并从中初步筛选出具有国际比较优势的大盘蓝筹公司，同时采取自下而上的选股策略，注重个股成</w:t>
            </w:r>
            <w:r>
              <w:rPr>
                <w:rFonts w:eastAsiaTheme="minorEastAsia"/>
                <w:color w:val="000000" w:themeColor="text1"/>
                <w:kern w:val="0"/>
                <w:szCs w:val="21"/>
              </w:rPr>
              <w:t>长性指标分析，挖掘拥有更佳成长特性的公司，构建成长型公司股票池。最后通过深入的相对价值评估，形成优化的核心投资组合。在固定收益类投资部分，其资产布局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并结合现金管理、货币市场工具等来制订具体策略。</w:t>
            </w:r>
          </w:p>
          <w:p w:rsidR="004F7733" w:rsidRDefault="004F15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4F7733" w:rsidRDefault="004F15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w:t>
            </w:r>
            <w:r>
              <w:rPr>
                <w:rFonts w:eastAsiaTheme="minorEastAsia"/>
                <w:color w:val="000000" w:themeColor="text1"/>
                <w:kern w:val="0"/>
                <w:szCs w:val="21"/>
              </w:rPr>
              <w:t>略的正确实施。</w:t>
            </w:r>
          </w:p>
          <w:p w:rsidR="004F7733" w:rsidRDefault="004F15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p>
          <w:p w:rsidR="004F7733" w:rsidRDefault="004F15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4F7733" w:rsidRDefault="004F15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本基金固定收益类投资主要目的是风险防御及现金替代性管理，一般不做积极主动性资产配置。固定收益类品种投资将坚持安全性、流动性和收益性为资产配置原则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在投资方向上主要借助短期金融工具，同时结合亚太区具备</w:t>
            </w:r>
            <w:r>
              <w:rPr>
                <w:rFonts w:eastAsiaTheme="minorEastAsia"/>
                <w:color w:val="000000" w:themeColor="text1"/>
                <w:kern w:val="0"/>
                <w:szCs w:val="21"/>
              </w:rPr>
              <w:t>投资等级的政府债券、公司债券等来制订具体策略，完善资产布局。</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、其他投资策略：包括多币种管理策略、衍生品投资策</w:t>
            </w:r>
            <w:r w:rsidRPr="00A3398F">
              <w:rPr>
                <w:rFonts w:eastAsiaTheme="minorEastAsia"/>
                <w:color w:val="000000" w:themeColor="text1"/>
                <w:kern w:val="0"/>
                <w:szCs w:val="21"/>
              </w:rPr>
              <w:lastRenderedPageBreak/>
              <w:t>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本基金的业绩比较基准为：摩根斯坦利综合亚太指数（不含日本）（</w:t>
            </w:r>
            <w:r w:rsidRPr="00A3398F">
              <w:rPr>
                <w:rFonts w:eastAsiaTheme="minorEastAsia"/>
                <w:color w:val="000000" w:themeColor="text1"/>
                <w:kern w:val="0"/>
                <w:szCs w:val="21"/>
              </w:rPr>
              <w:t>MSCI AC Asia Pacific Index ex Japan</w:t>
            </w:r>
            <w:r w:rsidRPr="00A3398F">
              <w:rPr>
                <w:rFonts w:eastAsiaTheme="minorEastAsia"/>
                <w:color w:val="000000" w:themeColor="text1"/>
                <w:kern w:val="0"/>
                <w:szCs w:val="21"/>
              </w:rPr>
              <w:t>）。</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本基金为区域性混合型证券投资基金，基金投资风险收益水平低于股票型基金，高于债券型基金和平衡型基金。由于投资国家与地区市场的分散，风险低于投资单一市场的混合型基金。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Bank of New York Mellon Company</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纽约梅隆银行股份有限公司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377016</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019641</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2,541,674,490.89</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1,810,540.36</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121,383,872.63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94,775.56</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-124,821,862.90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-100,792.03</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-0.0484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-0.0512</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2,431,818,838.76</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1,719,811.68</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0.9568</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0.9499</w:t>
            </w:r>
          </w:p>
        </w:tc>
      </w:tr>
    </w:tbl>
    <w:p w:rsidR="004F7733" w:rsidRDefault="004F15F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4F7733">
        <w:tc>
          <w:tcPr>
            <w:tcW w:w="1290" w:type="dxa"/>
            <w:vAlign w:val="center"/>
          </w:tcPr>
          <w:p w:rsidR="004F7733" w:rsidRDefault="004F15FA">
            <w:pPr>
              <w:jc w:val="left"/>
            </w:pPr>
            <w:r>
              <w:rPr>
                <w:rFonts w:eastAsiaTheme="minorEastAsia"/>
                <w:color w:val="000000" w:themeColor="text1"/>
                <w:szCs w:val="21"/>
              </w:rPr>
              <w:t>过去三个月</w:t>
            </w:r>
          </w:p>
        </w:tc>
        <w:tc>
          <w:tcPr>
            <w:tcW w:w="1291" w:type="dxa"/>
            <w:vAlign w:val="center"/>
          </w:tcPr>
          <w:p w:rsidR="004F7733" w:rsidRDefault="004F15FA">
            <w:pPr>
              <w:jc w:val="right"/>
            </w:pPr>
            <w:r>
              <w:rPr>
                <w:rFonts w:eastAsiaTheme="minorEastAsia"/>
                <w:color w:val="000000" w:themeColor="text1"/>
                <w:szCs w:val="21"/>
              </w:rPr>
              <w:t>-4.81%</w:t>
            </w:r>
          </w:p>
        </w:tc>
        <w:tc>
          <w:tcPr>
            <w:tcW w:w="1291" w:type="dxa"/>
            <w:vAlign w:val="center"/>
          </w:tcPr>
          <w:p w:rsidR="004F7733" w:rsidRDefault="004F15FA">
            <w:pPr>
              <w:jc w:val="right"/>
            </w:pPr>
            <w:r>
              <w:rPr>
                <w:rFonts w:eastAsiaTheme="minorEastAsia"/>
                <w:color w:val="000000" w:themeColor="text1"/>
                <w:szCs w:val="21"/>
              </w:rPr>
              <w:t>0.69%</w:t>
            </w:r>
          </w:p>
        </w:tc>
        <w:tc>
          <w:tcPr>
            <w:tcW w:w="1291" w:type="dxa"/>
            <w:vAlign w:val="center"/>
          </w:tcPr>
          <w:p w:rsidR="004F7733" w:rsidRDefault="004F15FA">
            <w:pPr>
              <w:jc w:val="right"/>
            </w:pPr>
            <w:r>
              <w:rPr>
                <w:rFonts w:eastAsiaTheme="minorEastAsia"/>
                <w:color w:val="000000" w:themeColor="text1"/>
                <w:szCs w:val="21"/>
              </w:rPr>
              <w:t>-5.92%</w:t>
            </w:r>
          </w:p>
        </w:tc>
        <w:tc>
          <w:tcPr>
            <w:tcW w:w="1291" w:type="dxa"/>
            <w:vAlign w:val="center"/>
          </w:tcPr>
          <w:p w:rsidR="004F7733" w:rsidRDefault="004F15FA">
            <w:pPr>
              <w:jc w:val="right"/>
            </w:pPr>
            <w:r>
              <w:rPr>
                <w:rFonts w:eastAsiaTheme="minorEastAsia"/>
                <w:color w:val="000000" w:themeColor="text1"/>
                <w:szCs w:val="21"/>
              </w:rPr>
              <w:t>0.72%</w:t>
            </w:r>
          </w:p>
        </w:tc>
        <w:tc>
          <w:tcPr>
            <w:tcW w:w="1291" w:type="dxa"/>
            <w:vAlign w:val="center"/>
          </w:tcPr>
          <w:p w:rsidR="004F7733" w:rsidRDefault="004F15FA">
            <w:pPr>
              <w:jc w:val="right"/>
            </w:pPr>
            <w:r>
              <w:rPr>
                <w:rFonts w:eastAsiaTheme="minorEastAsia"/>
                <w:color w:val="000000" w:themeColor="text1"/>
                <w:szCs w:val="21"/>
              </w:rPr>
              <w:t>1.11%</w:t>
            </w:r>
          </w:p>
        </w:tc>
        <w:tc>
          <w:tcPr>
            <w:tcW w:w="1291" w:type="dxa"/>
            <w:vAlign w:val="center"/>
          </w:tcPr>
          <w:p w:rsidR="004F7733" w:rsidRDefault="004F15FA">
            <w:pPr>
              <w:jc w:val="right"/>
            </w:pPr>
            <w:r>
              <w:rPr>
                <w:rFonts w:eastAsiaTheme="minorEastAsia"/>
                <w:color w:val="000000" w:themeColor="text1"/>
                <w:szCs w:val="21"/>
              </w:rPr>
              <w:t>-0.03%</w:t>
            </w:r>
          </w:p>
        </w:tc>
      </w:tr>
      <w:tr w:rsidR="004F7733">
        <w:tc>
          <w:tcPr>
            <w:tcW w:w="1290" w:type="dxa"/>
            <w:vAlign w:val="center"/>
          </w:tcPr>
          <w:p w:rsidR="004F7733" w:rsidRDefault="004F15FA">
            <w:pPr>
              <w:jc w:val="left"/>
            </w:pPr>
            <w:r>
              <w:rPr>
                <w:rFonts w:eastAsiaTheme="minorEastAsia"/>
                <w:color w:val="000000" w:themeColor="text1"/>
                <w:szCs w:val="21"/>
              </w:rPr>
              <w:t>过去六个月</w:t>
            </w:r>
          </w:p>
        </w:tc>
        <w:tc>
          <w:tcPr>
            <w:tcW w:w="1291" w:type="dxa"/>
            <w:vAlign w:val="center"/>
          </w:tcPr>
          <w:p w:rsidR="004F7733" w:rsidRDefault="004F15FA">
            <w:pPr>
              <w:jc w:val="right"/>
            </w:pPr>
            <w:r>
              <w:rPr>
                <w:rFonts w:eastAsiaTheme="minorEastAsia"/>
                <w:color w:val="000000" w:themeColor="text1"/>
                <w:szCs w:val="21"/>
              </w:rPr>
              <w:t>0.85%</w:t>
            </w:r>
          </w:p>
        </w:tc>
        <w:tc>
          <w:tcPr>
            <w:tcW w:w="1291" w:type="dxa"/>
            <w:vAlign w:val="center"/>
          </w:tcPr>
          <w:p w:rsidR="004F7733" w:rsidRDefault="004F15FA">
            <w:pPr>
              <w:jc w:val="right"/>
            </w:pPr>
            <w:r>
              <w:rPr>
                <w:rFonts w:eastAsiaTheme="minorEastAsia"/>
                <w:color w:val="000000" w:themeColor="text1"/>
                <w:szCs w:val="21"/>
              </w:rPr>
              <w:t>0.93%</w:t>
            </w:r>
          </w:p>
        </w:tc>
        <w:tc>
          <w:tcPr>
            <w:tcW w:w="1291" w:type="dxa"/>
            <w:vAlign w:val="center"/>
          </w:tcPr>
          <w:p w:rsidR="004F7733" w:rsidRDefault="004F15FA">
            <w:pPr>
              <w:jc w:val="right"/>
            </w:pPr>
            <w:r>
              <w:rPr>
                <w:rFonts w:eastAsiaTheme="minorEastAsia"/>
                <w:color w:val="000000" w:themeColor="text1"/>
                <w:szCs w:val="21"/>
              </w:rPr>
              <w:t>1.33%</w:t>
            </w:r>
          </w:p>
        </w:tc>
        <w:tc>
          <w:tcPr>
            <w:tcW w:w="1291" w:type="dxa"/>
            <w:vAlign w:val="center"/>
          </w:tcPr>
          <w:p w:rsidR="004F7733" w:rsidRDefault="004F15FA">
            <w:pPr>
              <w:jc w:val="right"/>
            </w:pPr>
            <w:r>
              <w:rPr>
                <w:rFonts w:eastAsiaTheme="minorEastAsia"/>
                <w:color w:val="000000" w:themeColor="text1"/>
                <w:szCs w:val="21"/>
              </w:rPr>
              <w:t>0.91%</w:t>
            </w:r>
          </w:p>
        </w:tc>
        <w:tc>
          <w:tcPr>
            <w:tcW w:w="1291" w:type="dxa"/>
            <w:vAlign w:val="center"/>
          </w:tcPr>
          <w:p w:rsidR="004F7733" w:rsidRDefault="004F15FA">
            <w:pPr>
              <w:jc w:val="right"/>
            </w:pPr>
            <w:r>
              <w:rPr>
                <w:rFonts w:eastAsiaTheme="minorEastAsia"/>
                <w:color w:val="000000" w:themeColor="text1"/>
                <w:szCs w:val="21"/>
              </w:rPr>
              <w:t>-0.48%</w:t>
            </w:r>
          </w:p>
        </w:tc>
        <w:tc>
          <w:tcPr>
            <w:tcW w:w="1291" w:type="dxa"/>
            <w:vAlign w:val="center"/>
          </w:tcPr>
          <w:p w:rsidR="004F7733" w:rsidRDefault="004F15FA">
            <w:pPr>
              <w:jc w:val="right"/>
            </w:pPr>
            <w:r>
              <w:rPr>
                <w:rFonts w:eastAsiaTheme="minorEastAsia"/>
                <w:color w:val="000000" w:themeColor="text1"/>
                <w:szCs w:val="21"/>
              </w:rPr>
              <w:t>0.02%</w:t>
            </w:r>
          </w:p>
        </w:tc>
      </w:tr>
      <w:tr w:rsidR="004F7733">
        <w:tc>
          <w:tcPr>
            <w:tcW w:w="1290" w:type="dxa"/>
            <w:vAlign w:val="center"/>
          </w:tcPr>
          <w:p w:rsidR="004F7733" w:rsidRDefault="004F15FA">
            <w:pPr>
              <w:jc w:val="left"/>
            </w:pPr>
            <w:r>
              <w:rPr>
                <w:rFonts w:eastAsiaTheme="minorEastAsia"/>
                <w:color w:val="000000" w:themeColor="text1"/>
                <w:szCs w:val="21"/>
              </w:rPr>
              <w:t>过去一年</w:t>
            </w:r>
          </w:p>
        </w:tc>
        <w:tc>
          <w:tcPr>
            <w:tcW w:w="1291" w:type="dxa"/>
            <w:vAlign w:val="center"/>
          </w:tcPr>
          <w:p w:rsidR="004F7733" w:rsidRDefault="004F15FA">
            <w:pPr>
              <w:jc w:val="right"/>
            </w:pPr>
            <w:r>
              <w:rPr>
                <w:rFonts w:eastAsiaTheme="minorEastAsia"/>
                <w:color w:val="000000" w:themeColor="text1"/>
                <w:szCs w:val="21"/>
              </w:rPr>
              <w:t>7.98%</w:t>
            </w:r>
          </w:p>
        </w:tc>
        <w:tc>
          <w:tcPr>
            <w:tcW w:w="1291" w:type="dxa"/>
            <w:vAlign w:val="center"/>
          </w:tcPr>
          <w:p w:rsidR="004F7733" w:rsidRDefault="004F15FA">
            <w:pPr>
              <w:jc w:val="right"/>
            </w:pPr>
            <w:r>
              <w:rPr>
                <w:rFonts w:eastAsiaTheme="minorEastAsia"/>
                <w:color w:val="000000" w:themeColor="text1"/>
                <w:szCs w:val="21"/>
              </w:rPr>
              <w:t>0.89%</w:t>
            </w:r>
          </w:p>
        </w:tc>
        <w:tc>
          <w:tcPr>
            <w:tcW w:w="1291" w:type="dxa"/>
            <w:vAlign w:val="center"/>
          </w:tcPr>
          <w:p w:rsidR="004F7733" w:rsidRDefault="004F15FA">
            <w:pPr>
              <w:jc w:val="right"/>
            </w:pPr>
            <w:r>
              <w:rPr>
                <w:rFonts w:eastAsiaTheme="minorEastAsia"/>
                <w:color w:val="000000" w:themeColor="text1"/>
                <w:szCs w:val="21"/>
              </w:rPr>
              <w:t>9.27%</w:t>
            </w:r>
          </w:p>
        </w:tc>
        <w:tc>
          <w:tcPr>
            <w:tcW w:w="1291" w:type="dxa"/>
            <w:vAlign w:val="center"/>
          </w:tcPr>
          <w:p w:rsidR="004F7733" w:rsidRDefault="004F15FA">
            <w:pPr>
              <w:jc w:val="right"/>
            </w:pPr>
            <w:r>
              <w:rPr>
                <w:rFonts w:eastAsiaTheme="minorEastAsia"/>
                <w:color w:val="000000" w:themeColor="text1"/>
                <w:szCs w:val="21"/>
              </w:rPr>
              <w:t>0.88%</w:t>
            </w:r>
          </w:p>
        </w:tc>
        <w:tc>
          <w:tcPr>
            <w:tcW w:w="1291" w:type="dxa"/>
            <w:vAlign w:val="center"/>
          </w:tcPr>
          <w:p w:rsidR="004F7733" w:rsidRDefault="004F15FA">
            <w:pPr>
              <w:jc w:val="right"/>
            </w:pPr>
            <w:r>
              <w:rPr>
                <w:rFonts w:eastAsiaTheme="minorEastAsia"/>
                <w:color w:val="000000" w:themeColor="text1"/>
                <w:szCs w:val="21"/>
              </w:rPr>
              <w:t>-1.29%</w:t>
            </w:r>
          </w:p>
        </w:tc>
        <w:tc>
          <w:tcPr>
            <w:tcW w:w="1291" w:type="dxa"/>
            <w:vAlign w:val="center"/>
          </w:tcPr>
          <w:p w:rsidR="004F7733" w:rsidRDefault="004F15FA">
            <w:pPr>
              <w:jc w:val="right"/>
            </w:pPr>
            <w:r>
              <w:rPr>
                <w:rFonts w:eastAsiaTheme="minorEastAsia"/>
                <w:color w:val="000000" w:themeColor="text1"/>
                <w:szCs w:val="21"/>
              </w:rPr>
              <w:t>0.01%</w:t>
            </w:r>
          </w:p>
        </w:tc>
      </w:tr>
      <w:tr w:rsidR="004F7733">
        <w:tc>
          <w:tcPr>
            <w:tcW w:w="1290" w:type="dxa"/>
            <w:vAlign w:val="center"/>
          </w:tcPr>
          <w:p w:rsidR="004F7733" w:rsidRDefault="004F15FA">
            <w:pPr>
              <w:jc w:val="left"/>
            </w:pPr>
            <w:r>
              <w:rPr>
                <w:rFonts w:eastAsiaTheme="minorEastAsia"/>
                <w:color w:val="000000" w:themeColor="text1"/>
                <w:szCs w:val="21"/>
              </w:rPr>
              <w:t>过去三年</w:t>
            </w:r>
          </w:p>
        </w:tc>
        <w:tc>
          <w:tcPr>
            <w:tcW w:w="1291" w:type="dxa"/>
            <w:vAlign w:val="center"/>
          </w:tcPr>
          <w:p w:rsidR="004F7733" w:rsidRDefault="004F15FA">
            <w:pPr>
              <w:jc w:val="right"/>
            </w:pPr>
            <w:r>
              <w:rPr>
                <w:rFonts w:eastAsiaTheme="minorEastAsia"/>
                <w:color w:val="000000" w:themeColor="text1"/>
                <w:szCs w:val="21"/>
              </w:rPr>
              <w:t>-0.69%</w:t>
            </w:r>
          </w:p>
        </w:tc>
        <w:tc>
          <w:tcPr>
            <w:tcW w:w="1291" w:type="dxa"/>
            <w:vAlign w:val="center"/>
          </w:tcPr>
          <w:p w:rsidR="004F7733" w:rsidRDefault="004F15FA">
            <w:pPr>
              <w:jc w:val="right"/>
            </w:pPr>
            <w:r>
              <w:rPr>
                <w:rFonts w:eastAsiaTheme="minorEastAsia"/>
                <w:color w:val="000000" w:themeColor="text1"/>
                <w:szCs w:val="21"/>
              </w:rPr>
              <w:t>1.06%</w:t>
            </w:r>
          </w:p>
        </w:tc>
        <w:tc>
          <w:tcPr>
            <w:tcW w:w="1291" w:type="dxa"/>
            <w:vAlign w:val="center"/>
          </w:tcPr>
          <w:p w:rsidR="004F7733" w:rsidRDefault="004F15FA">
            <w:pPr>
              <w:jc w:val="right"/>
            </w:pPr>
            <w:r>
              <w:rPr>
                <w:rFonts w:eastAsiaTheme="minorEastAsia"/>
                <w:color w:val="000000" w:themeColor="text1"/>
                <w:szCs w:val="21"/>
              </w:rPr>
              <w:t>3.01%</w:t>
            </w:r>
          </w:p>
        </w:tc>
        <w:tc>
          <w:tcPr>
            <w:tcW w:w="1291" w:type="dxa"/>
            <w:vAlign w:val="center"/>
          </w:tcPr>
          <w:p w:rsidR="004F7733" w:rsidRDefault="004F15FA">
            <w:pPr>
              <w:jc w:val="right"/>
            </w:pPr>
            <w:r>
              <w:rPr>
                <w:rFonts w:eastAsiaTheme="minorEastAsia"/>
                <w:color w:val="000000" w:themeColor="text1"/>
                <w:szCs w:val="21"/>
              </w:rPr>
              <w:t>1.04%</w:t>
            </w:r>
          </w:p>
        </w:tc>
        <w:tc>
          <w:tcPr>
            <w:tcW w:w="1291" w:type="dxa"/>
            <w:vAlign w:val="center"/>
          </w:tcPr>
          <w:p w:rsidR="004F7733" w:rsidRDefault="004F15FA">
            <w:pPr>
              <w:jc w:val="right"/>
            </w:pPr>
            <w:r>
              <w:rPr>
                <w:rFonts w:eastAsiaTheme="minorEastAsia"/>
                <w:color w:val="000000" w:themeColor="text1"/>
                <w:szCs w:val="21"/>
              </w:rPr>
              <w:t>-3.70%</w:t>
            </w:r>
          </w:p>
        </w:tc>
        <w:tc>
          <w:tcPr>
            <w:tcW w:w="1291" w:type="dxa"/>
            <w:vAlign w:val="center"/>
          </w:tcPr>
          <w:p w:rsidR="004F7733" w:rsidRDefault="004F15FA">
            <w:pPr>
              <w:jc w:val="right"/>
            </w:pPr>
            <w:r>
              <w:rPr>
                <w:rFonts w:eastAsiaTheme="minorEastAsia"/>
                <w:color w:val="000000" w:themeColor="text1"/>
                <w:szCs w:val="21"/>
              </w:rPr>
              <w:t>0.02%</w:t>
            </w:r>
          </w:p>
        </w:tc>
      </w:tr>
      <w:tr w:rsidR="004F7733">
        <w:tc>
          <w:tcPr>
            <w:tcW w:w="1290" w:type="dxa"/>
            <w:vAlign w:val="center"/>
          </w:tcPr>
          <w:p w:rsidR="004F7733" w:rsidRDefault="004F15FA">
            <w:pPr>
              <w:jc w:val="left"/>
            </w:pPr>
            <w:r>
              <w:rPr>
                <w:rFonts w:eastAsiaTheme="minorEastAsia"/>
                <w:color w:val="000000" w:themeColor="text1"/>
                <w:szCs w:val="21"/>
              </w:rPr>
              <w:t>过去五年</w:t>
            </w:r>
          </w:p>
        </w:tc>
        <w:tc>
          <w:tcPr>
            <w:tcW w:w="1291" w:type="dxa"/>
            <w:vAlign w:val="center"/>
          </w:tcPr>
          <w:p w:rsidR="004F7733" w:rsidRDefault="004F15FA">
            <w:pPr>
              <w:jc w:val="right"/>
            </w:pPr>
            <w:r>
              <w:rPr>
                <w:rFonts w:eastAsiaTheme="minorEastAsia"/>
                <w:color w:val="000000" w:themeColor="text1"/>
                <w:szCs w:val="21"/>
              </w:rPr>
              <w:t>11.52%</w:t>
            </w:r>
          </w:p>
        </w:tc>
        <w:tc>
          <w:tcPr>
            <w:tcW w:w="1291" w:type="dxa"/>
            <w:vAlign w:val="center"/>
          </w:tcPr>
          <w:p w:rsidR="004F7733" w:rsidRDefault="004F15FA">
            <w:pPr>
              <w:jc w:val="right"/>
            </w:pPr>
            <w:r>
              <w:rPr>
                <w:rFonts w:eastAsiaTheme="minorEastAsia"/>
                <w:color w:val="000000" w:themeColor="text1"/>
                <w:szCs w:val="21"/>
              </w:rPr>
              <w:t>1.23%</w:t>
            </w:r>
          </w:p>
        </w:tc>
        <w:tc>
          <w:tcPr>
            <w:tcW w:w="1291" w:type="dxa"/>
            <w:vAlign w:val="center"/>
          </w:tcPr>
          <w:p w:rsidR="004F7733" w:rsidRDefault="004F15FA">
            <w:pPr>
              <w:jc w:val="right"/>
            </w:pPr>
            <w:r>
              <w:rPr>
                <w:rFonts w:eastAsiaTheme="minorEastAsia"/>
                <w:color w:val="000000" w:themeColor="text1"/>
                <w:szCs w:val="21"/>
              </w:rPr>
              <w:t>6.16%</w:t>
            </w:r>
          </w:p>
        </w:tc>
        <w:tc>
          <w:tcPr>
            <w:tcW w:w="1291" w:type="dxa"/>
            <w:vAlign w:val="center"/>
          </w:tcPr>
          <w:p w:rsidR="004F7733" w:rsidRDefault="004F15FA">
            <w:pPr>
              <w:jc w:val="right"/>
            </w:pPr>
            <w:r>
              <w:rPr>
                <w:rFonts w:eastAsiaTheme="minorEastAsia"/>
                <w:color w:val="000000" w:themeColor="text1"/>
                <w:szCs w:val="21"/>
              </w:rPr>
              <w:t>1.15%</w:t>
            </w:r>
          </w:p>
        </w:tc>
        <w:tc>
          <w:tcPr>
            <w:tcW w:w="1291" w:type="dxa"/>
            <w:vAlign w:val="center"/>
          </w:tcPr>
          <w:p w:rsidR="004F7733" w:rsidRDefault="004F15FA">
            <w:pPr>
              <w:jc w:val="right"/>
            </w:pPr>
            <w:r>
              <w:rPr>
                <w:rFonts w:eastAsiaTheme="minorEastAsia"/>
                <w:color w:val="000000" w:themeColor="text1"/>
                <w:szCs w:val="21"/>
              </w:rPr>
              <w:t>5.36%</w:t>
            </w:r>
          </w:p>
        </w:tc>
        <w:tc>
          <w:tcPr>
            <w:tcW w:w="1291" w:type="dxa"/>
            <w:vAlign w:val="center"/>
          </w:tcPr>
          <w:p w:rsidR="004F7733" w:rsidRDefault="004F15FA">
            <w:pPr>
              <w:jc w:val="right"/>
            </w:pPr>
            <w:r>
              <w:rPr>
                <w:rFonts w:eastAsiaTheme="minorEastAsia"/>
                <w:color w:val="000000" w:themeColor="text1"/>
                <w:szCs w:val="21"/>
              </w:rPr>
              <w:t>0.08%</w:t>
            </w:r>
          </w:p>
        </w:tc>
      </w:tr>
      <w:tr w:rsidR="004F7733">
        <w:tc>
          <w:tcPr>
            <w:tcW w:w="1290" w:type="dxa"/>
            <w:vAlign w:val="center"/>
          </w:tcPr>
          <w:p w:rsidR="004F7733" w:rsidRDefault="004F15FA">
            <w:pPr>
              <w:jc w:val="left"/>
            </w:pPr>
            <w:r>
              <w:rPr>
                <w:rFonts w:eastAsiaTheme="minorEastAsia"/>
                <w:color w:val="000000" w:themeColor="text1"/>
                <w:szCs w:val="21"/>
              </w:rPr>
              <w:t>自基金合同生效起至今</w:t>
            </w:r>
          </w:p>
        </w:tc>
        <w:tc>
          <w:tcPr>
            <w:tcW w:w="1291" w:type="dxa"/>
            <w:vAlign w:val="center"/>
          </w:tcPr>
          <w:p w:rsidR="004F7733" w:rsidRDefault="004F15FA">
            <w:pPr>
              <w:jc w:val="right"/>
            </w:pPr>
            <w:r>
              <w:rPr>
                <w:rFonts w:eastAsiaTheme="minorEastAsia"/>
                <w:color w:val="000000" w:themeColor="text1"/>
                <w:szCs w:val="21"/>
              </w:rPr>
              <w:t>-4.32%</w:t>
            </w:r>
          </w:p>
        </w:tc>
        <w:tc>
          <w:tcPr>
            <w:tcW w:w="1291" w:type="dxa"/>
            <w:vAlign w:val="center"/>
          </w:tcPr>
          <w:p w:rsidR="004F7733" w:rsidRDefault="004F15FA">
            <w:pPr>
              <w:jc w:val="right"/>
            </w:pPr>
            <w:r>
              <w:rPr>
                <w:rFonts w:eastAsiaTheme="minorEastAsia"/>
                <w:color w:val="000000" w:themeColor="text1"/>
                <w:szCs w:val="21"/>
              </w:rPr>
              <w:t>1.29%</w:t>
            </w:r>
          </w:p>
        </w:tc>
        <w:tc>
          <w:tcPr>
            <w:tcW w:w="1291" w:type="dxa"/>
            <w:vAlign w:val="center"/>
          </w:tcPr>
          <w:p w:rsidR="004F7733" w:rsidRDefault="004F15FA">
            <w:pPr>
              <w:jc w:val="right"/>
            </w:pPr>
            <w:r>
              <w:rPr>
                <w:rFonts w:eastAsiaTheme="minorEastAsia"/>
                <w:color w:val="000000" w:themeColor="text1"/>
                <w:szCs w:val="21"/>
              </w:rPr>
              <w:t>-2.25%</w:t>
            </w:r>
          </w:p>
        </w:tc>
        <w:tc>
          <w:tcPr>
            <w:tcW w:w="1291" w:type="dxa"/>
            <w:vAlign w:val="center"/>
          </w:tcPr>
          <w:p w:rsidR="004F7733" w:rsidRDefault="004F15FA">
            <w:pPr>
              <w:jc w:val="right"/>
            </w:pPr>
            <w:r>
              <w:rPr>
                <w:rFonts w:eastAsiaTheme="minorEastAsia"/>
                <w:color w:val="000000" w:themeColor="text1"/>
                <w:szCs w:val="21"/>
              </w:rPr>
              <w:t>1.28%</w:t>
            </w:r>
          </w:p>
        </w:tc>
        <w:tc>
          <w:tcPr>
            <w:tcW w:w="1291" w:type="dxa"/>
            <w:vAlign w:val="center"/>
          </w:tcPr>
          <w:p w:rsidR="004F7733" w:rsidRDefault="004F15FA">
            <w:pPr>
              <w:jc w:val="right"/>
            </w:pPr>
            <w:r>
              <w:rPr>
                <w:rFonts w:eastAsiaTheme="minorEastAsia"/>
                <w:color w:val="000000" w:themeColor="text1"/>
                <w:szCs w:val="21"/>
              </w:rPr>
              <w:t>-2.07%</w:t>
            </w:r>
          </w:p>
        </w:tc>
        <w:tc>
          <w:tcPr>
            <w:tcW w:w="1291" w:type="dxa"/>
            <w:vAlign w:val="center"/>
          </w:tcPr>
          <w:p w:rsidR="004F7733" w:rsidRDefault="004F15FA">
            <w:pPr>
              <w:jc w:val="right"/>
            </w:pPr>
            <w:r>
              <w:rPr>
                <w:rFonts w:eastAsiaTheme="minorEastAsia"/>
                <w:color w:val="000000" w:themeColor="text1"/>
                <w:szCs w:val="21"/>
              </w:rPr>
              <w:t>0.01%</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摩根亚太优势混合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4F7733">
        <w:tc>
          <w:tcPr>
            <w:tcW w:w="1290" w:type="dxa"/>
            <w:vAlign w:val="center"/>
          </w:tcPr>
          <w:p w:rsidR="004F7733" w:rsidRDefault="004F15FA">
            <w:pPr>
              <w:jc w:val="left"/>
            </w:pPr>
            <w:r>
              <w:rPr>
                <w:rFonts w:eastAsiaTheme="minorEastAsia"/>
                <w:color w:val="000000" w:themeColor="text1"/>
                <w:szCs w:val="21"/>
              </w:rPr>
              <w:t>过去三个月</w:t>
            </w:r>
          </w:p>
        </w:tc>
        <w:tc>
          <w:tcPr>
            <w:tcW w:w="1291" w:type="dxa"/>
            <w:vAlign w:val="center"/>
          </w:tcPr>
          <w:p w:rsidR="004F7733" w:rsidRDefault="004F15FA">
            <w:pPr>
              <w:jc w:val="right"/>
            </w:pPr>
            <w:r>
              <w:rPr>
                <w:rFonts w:eastAsiaTheme="minorEastAsia"/>
                <w:color w:val="000000" w:themeColor="text1"/>
                <w:szCs w:val="21"/>
              </w:rPr>
              <w:t>-4.92%</w:t>
            </w:r>
          </w:p>
        </w:tc>
        <w:tc>
          <w:tcPr>
            <w:tcW w:w="1291" w:type="dxa"/>
            <w:vAlign w:val="center"/>
          </w:tcPr>
          <w:p w:rsidR="004F7733" w:rsidRDefault="004F15FA">
            <w:pPr>
              <w:jc w:val="right"/>
            </w:pPr>
            <w:r>
              <w:rPr>
                <w:rFonts w:eastAsiaTheme="minorEastAsia"/>
                <w:color w:val="000000" w:themeColor="text1"/>
                <w:szCs w:val="21"/>
              </w:rPr>
              <w:t>0.69%</w:t>
            </w:r>
          </w:p>
        </w:tc>
        <w:tc>
          <w:tcPr>
            <w:tcW w:w="1291" w:type="dxa"/>
            <w:vAlign w:val="center"/>
          </w:tcPr>
          <w:p w:rsidR="004F7733" w:rsidRDefault="004F15FA">
            <w:pPr>
              <w:jc w:val="right"/>
            </w:pPr>
            <w:r>
              <w:rPr>
                <w:rFonts w:eastAsiaTheme="minorEastAsia"/>
                <w:color w:val="000000" w:themeColor="text1"/>
                <w:szCs w:val="21"/>
              </w:rPr>
              <w:t>-5.92%</w:t>
            </w:r>
          </w:p>
        </w:tc>
        <w:tc>
          <w:tcPr>
            <w:tcW w:w="1291" w:type="dxa"/>
            <w:vAlign w:val="center"/>
          </w:tcPr>
          <w:p w:rsidR="004F7733" w:rsidRDefault="004F15FA">
            <w:pPr>
              <w:jc w:val="right"/>
            </w:pPr>
            <w:r>
              <w:rPr>
                <w:rFonts w:eastAsiaTheme="minorEastAsia"/>
                <w:color w:val="000000" w:themeColor="text1"/>
                <w:szCs w:val="21"/>
              </w:rPr>
              <w:t>0.72%</w:t>
            </w:r>
          </w:p>
        </w:tc>
        <w:tc>
          <w:tcPr>
            <w:tcW w:w="1291" w:type="dxa"/>
            <w:vAlign w:val="center"/>
          </w:tcPr>
          <w:p w:rsidR="004F7733" w:rsidRDefault="004F15FA">
            <w:pPr>
              <w:jc w:val="right"/>
            </w:pPr>
            <w:r>
              <w:rPr>
                <w:rFonts w:eastAsiaTheme="minorEastAsia"/>
                <w:color w:val="000000" w:themeColor="text1"/>
                <w:szCs w:val="21"/>
              </w:rPr>
              <w:t>1.00%</w:t>
            </w:r>
          </w:p>
        </w:tc>
        <w:tc>
          <w:tcPr>
            <w:tcW w:w="1291" w:type="dxa"/>
            <w:vAlign w:val="center"/>
          </w:tcPr>
          <w:p w:rsidR="004F7733" w:rsidRDefault="004F15FA">
            <w:pPr>
              <w:jc w:val="right"/>
            </w:pPr>
            <w:r>
              <w:rPr>
                <w:rFonts w:eastAsiaTheme="minorEastAsia"/>
                <w:color w:val="000000" w:themeColor="text1"/>
                <w:szCs w:val="21"/>
              </w:rPr>
              <w:t>-0.03%</w:t>
            </w:r>
          </w:p>
        </w:tc>
      </w:tr>
      <w:tr w:rsidR="004F7733">
        <w:tc>
          <w:tcPr>
            <w:tcW w:w="1290" w:type="dxa"/>
            <w:vAlign w:val="center"/>
          </w:tcPr>
          <w:p w:rsidR="004F7733" w:rsidRDefault="004F15FA">
            <w:pPr>
              <w:jc w:val="left"/>
            </w:pPr>
            <w:r>
              <w:rPr>
                <w:rFonts w:eastAsiaTheme="minorEastAsia"/>
                <w:color w:val="000000" w:themeColor="text1"/>
                <w:szCs w:val="21"/>
              </w:rPr>
              <w:t>过去六个月</w:t>
            </w:r>
          </w:p>
        </w:tc>
        <w:tc>
          <w:tcPr>
            <w:tcW w:w="1291" w:type="dxa"/>
            <w:vAlign w:val="center"/>
          </w:tcPr>
          <w:p w:rsidR="004F7733" w:rsidRDefault="004F15FA">
            <w:pPr>
              <w:jc w:val="right"/>
            </w:pPr>
            <w:r>
              <w:rPr>
                <w:rFonts w:eastAsiaTheme="minorEastAsia"/>
                <w:color w:val="000000" w:themeColor="text1"/>
                <w:szCs w:val="21"/>
              </w:rPr>
              <w:t>0.70%</w:t>
            </w:r>
          </w:p>
        </w:tc>
        <w:tc>
          <w:tcPr>
            <w:tcW w:w="1291" w:type="dxa"/>
            <w:vAlign w:val="center"/>
          </w:tcPr>
          <w:p w:rsidR="004F7733" w:rsidRDefault="004F15FA">
            <w:pPr>
              <w:jc w:val="right"/>
            </w:pPr>
            <w:r>
              <w:rPr>
                <w:rFonts w:eastAsiaTheme="minorEastAsia"/>
                <w:color w:val="000000" w:themeColor="text1"/>
                <w:szCs w:val="21"/>
              </w:rPr>
              <w:t>0.93%</w:t>
            </w:r>
          </w:p>
        </w:tc>
        <w:tc>
          <w:tcPr>
            <w:tcW w:w="1291" w:type="dxa"/>
            <w:vAlign w:val="center"/>
          </w:tcPr>
          <w:p w:rsidR="004F7733" w:rsidRDefault="004F15FA">
            <w:pPr>
              <w:jc w:val="right"/>
            </w:pPr>
            <w:r>
              <w:rPr>
                <w:rFonts w:eastAsiaTheme="minorEastAsia"/>
                <w:color w:val="000000" w:themeColor="text1"/>
                <w:szCs w:val="21"/>
              </w:rPr>
              <w:t>1.33%</w:t>
            </w:r>
          </w:p>
        </w:tc>
        <w:tc>
          <w:tcPr>
            <w:tcW w:w="1291" w:type="dxa"/>
            <w:vAlign w:val="center"/>
          </w:tcPr>
          <w:p w:rsidR="004F7733" w:rsidRDefault="004F15FA">
            <w:pPr>
              <w:jc w:val="right"/>
            </w:pPr>
            <w:r>
              <w:rPr>
                <w:rFonts w:eastAsiaTheme="minorEastAsia"/>
                <w:color w:val="000000" w:themeColor="text1"/>
                <w:szCs w:val="21"/>
              </w:rPr>
              <w:t>0.91%</w:t>
            </w:r>
          </w:p>
        </w:tc>
        <w:tc>
          <w:tcPr>
            <w:tcW w:w="1291" w:type="dxa"/>
            <w:vAlign w:val="center"/>
          </w:tcPr>
          <w:p w:rsidR="004F7733" w:rsidRDefault="004F15FA">
            <w:pPr>
              <w:jc w:val="right"/>
            </w:pPr>
            <w:r>
              <w:rPr>
                <w:rFonts w:eastAsiaTheme="minorEastAsia"/>
                <w:color w:val="000000" w:themeColor="text1"/>
                <w:szCs w:val="21"/>
              </w:rPr>
              <w:t>-0.63%</w:t>
            </w:r>
          </w:p>
        </w:tc>
        <w:tc>
          <w:tcPr>
            <w:tcW w:w="1291" w:type="dxa"/>
            <w:vAlign w:val="center"/>
          </w:tcPr>
          <w:p w:rsidR="004F7733" w:rsidRDefault="004F15FA">
            <w:pPr>
              <w:jc w:val="right"/>
            </w:pPr>
            <w:r>
              <w:rPr>
                <w:rFonts w:eastAsiaTheme="minorEastAsia"/>
                <w:color w:val="000000" w:themeColor="text1"/>
                <w:szCs w:val="21"/>
              </w:rPr>
              <w:t>0.02%</w:t>
            </w:r>
          </w:p>
        </w:tc>
      </w:tr>
      <w:tr w:rsidR="004F7733">
        <w:tc>
          <w:tcPr>
            <w:tcW w:w="1290" w:type="dxa"/>
            <w:vAlign w:val="center"/>
          </w:tcPr>
          <w:p w:rsidR="004F7733" w:rsidRDefault="004F15FA">
            <w:pPr>
              <w:jc w:val="left"/>
            </w:pPr>
            <w:r>
              <w:rPr>
                <w:rFonts w:eastAsiaTheme="minorEastAsia"/>
                <w:color w:val="000000" w:themeColor="text1"/>
                <w:szCs w:val="21"/>
              </w:rPr>
              <w:t>过去一年</w:t>
            </w:r>
          </w:p>
        </w:tc>
        <w:tc>
          <w:tcPr>
            <w:tcW w:w="1291" w:type="dxa"/>
            <w:vAlign w:val="center"/>
          </w:tcPr>
          <w:p w:rsidR="004F7733" w:rsidRDefault="004F15FA">
            <w:pPr>
              <w:jc w:val="right"/>
            </w:pPr>
            <w:r>
              <w:rPr>
                <w:rFonts w:eastAsiaTheme="minorEastAsia"/>
                <w:color w:val="000000" w:themeColor="text1"/>
                <w:szCs w:val="21"/>
              </w:rPr>
              <w:t>7.44%</w:t>
            </w:r>
          </w:p>
        </w:tc>
        <w:tc>
          <w:tcPr>
            <w:tcW w:w="1291" w:type="dxa"/>
            <w:vAlign w:val="center"/>
          </w:tcPr>
          <w:p w:rsidR="004F7733" w:rsidRDefault="004F15FA">
            <w:pPr>
              <w:jc w:val="right"/>
            </w:pPr>
            <w:r>
              <w:rPr>
                <w:rFonts w:eastAsiaTheme="minorEastAsia"/>
                <w:color w:val="000000" w:themeColor="text1"/>
                <w:szCs w:val="21"/>
              </w:rPr>
              <w:t>0.89%</w:t>
            </w:r>
          </w:p>
        </w:tc>
        <w:tc>
          <w:tcPr>
            <w:tcW w:w="1291" w:type="dxa"/>
            <w:vAlign w:val="center"/>
          </w:tcPr>
          <w:p w:rsidR="004F7733" w:rsidRDefault="004F15FA">
            <w:pPr>
              <w:jc w:val="right"/>
            </w:pPr>
            <w:r>
              <w:rPr>
                <w:rFonts w:eastAsiaTheme="minorEastAsia"/>
                <w:color w:val="000000" w:themeColor="text1"/>
                <w:szCs w:val="21"/>
              </w:rPr>
              <w:t>9.27%</w:t>
            </w:r>
          </w:p>
        </w:tc>
        <w:tc>
          <w:tcPr>
            <w:tcW w:w="1291" w:type="dxa"/>
            <w:vAlign w:val="center"/>
          </w:tcPr>
          <w:p w:rsidR="004F7733" w:rsidRDefault="004F15FA">
            <w:pPr>
              <w:jc w:val="right"/>
            </w:pPr>
            <w:r>
              <w:rPr>
                <w:rFonts w:eastAsiaTheme="minorEastAsia"/>
                <w:color w:val="000000" w:themeColor="text1"/>
                <w:szCs w:val="21"/>
              </w:rPr>
              <w:t>0.88%</w:t>
            </w:r>
          </w:p>
        </w:tc>
        <w:tc>
          <w:tcPr>
            <w:tcW w:w="1291" w:type="dxa"/>
            <w:vAlign w:val="center"/>
          </w:tcPr>
          <w:p w:rsidR="004F7733" w:rsidRDefault="004F15FA">
            <w:pPr>
              <w:jc w:val="right"/>
            </w:pPr>
            <w:r>
              <w:rPr>
                <w:rFonts w:eastAsiaTheme="minorEastAsia"/>
                <w:color w:val="000000" w:themeColor="text1"/>
                <w:szCs w:val="21"/>
              </w:rPr>
              <w:t>-1.83%</w:t>
            </w:r>
          </w:p>
        </w:tc>
        <w:tc>
          <w:tcPr>
            <w:tcW w:w="1291" w:type="dxa"/>
            <w:vAlign w:val="center"/>
          </w:tcPr>
          <w:p w:rsidR="004F7733" w:rsidRDefault="004F15FA">
            <w:pPr>
              <w:jc w:val="right"/>
            </w:pPr>
            <w:r>
              <w:rPr>
                <w:rFonts w:eastAsiaTheme="minorEastAsia"/>
                <w:color w:val="000000" w:themeColor="text1"/>
                <w:szCs w:val="21"/>
              </w:rPr>
              <w:t>0.01%</w:t>
            </w:r>
          </w:p>
        </w:tc>
      </w:tr>
      <w:tr w:rsidR="004F7733">
        <w:tc>
          <w:tcPr>
            <w:tcW w:w="1290" w:type="dxa"/>
            <w:vAlign w:val="center"/>
          </w:tcPr>
          <w:p w:rsidR="004F7733" w:rsidRDefault="004F15FA">
            <w:pPr>
              <w:jc w:val="left"/>
            </w:pPr>
            <w:r>
              <w:rPr>
                <w:rFonts w:eastAsiaTheme="minorEastAsia"/>
                <w:color w:val="000000" w:themeColor="text1"/>
                <w:szCs w:val="21"/>
              </w:rPr>
              <w:t>过去三年</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r>
      <w:tr w:rsidR="004F7733">
        <w:tc>
          <w:tcPr>
            <w:tcW w:w="1290" w:type="dxa"/>
            <w:vAlign w:val="center"/>
          </w:tcPr>
          <w:p w:rsidR="004F7733" w:rsidRDefault="004F15FA">
            <w:pPr>
              <w:jc w:val="left"/>
            </w:pPr>
            <w:r>
              <w:rPr>
                <w:rFonts w:eastAsiaTheme="minorEastAsia"/>
                <w:color w:val="000000" w:themeColor="text1"/>
                <w:szCs w:val="21"/>
              </w:rPr>
              <w:t>过去五年</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c>
          <w:tcPr>
            <w:tcW w:w="1291" w:type="dxa"/>
            <w:vAlign w:val="center"/>
          </w:tcPr>
          <w:p w:rsidR="004F7733" w:rsidRDefault="004F15FA">
            <w:pPr>
              <w:jc w:val="right"/>
            </w:pPr>
            <w:r>
              <w:rPr>
                <w:rFonts w:eastAsiaTheme="minorEastAsia"/>
                <w:color w:val="000000" w:themeColor="text1"/>
                <w:szCs w:val="21"/>
              </w:rPr>
              <w:t>-</w:t>
            </w:r>
          </w:p>
        </w:tc>
      </w:tr>
      <w:tr w:rsidR="004F7733">
        <w:tc>
          <w:tcPr>
            <w:tcW w:w="1290" w:type="dxa"/>
            <w:vAlign w:val="center"/>
          </w:tcPr>
          <w:p w:rsidR="004F7733" w:rsidRDefault="004F15FA">
            <w:pPr>
              <w:jc w:val="left"/>
            </w:pPr>
            <w:r>
              <w:rPr>
                <w:rFonts w:eastAsiaTheme="minorEastAsia"/>
                <w:color w:val="000000" w:themeColor="text1"/>
                <w:szCs w:val="21"/>
              </w:rPr>
              <w:t>自基金合同生效起至今</w:t>
            </w:r>
          </w:p>
        </w:tc>
        <w:tc>
          <w:tcPr>
            <w:tcW w:w="1291" w:type="dxa"/>
            <w:vAlign w:val="center"/>
          </w:tcPr>
          <w:p w:rsidR="004F7733" w:rsidRDefault="004F15FA">
            <w:pPr>
              <w:jc w:val="right"/>
            </w:pPr>
            <w:r>
              <w:rPr>
                <w:rFonts w:eastAsiaTheme="minorEastAsia"/>
                <w:color w:val="000000" w:themeColor="text1"/>
                <w:szCs w:val="21"/>
              </w:rPr>
              <w:t>11.41%</w:t>
            </w:r>
          </w:p>
        </w:tc>
        <w:tc>
          <w:tcPr>
            <w:tcW w:w="1291" w:type="dxa"/>
            <w:vAlign w:val="center"/>
          </w:tcPr>
          <w:p w:rsidR="004F7733" w:rsidRDefault="004F15FA">
            <w:pPr>
              <w:jc w:val="right"/>
            </w:pPr>
            <w:r>
              <w:rPr>
                <w:rFonts w:eastAsiaTheme="minorEastAsia"/>
                <w:color w:val="000000" w:themeColor="text1"/>
                <w:szCs w:val="21"/>
              </w:rPr>
              <w:t>0.91%</w:t>
            </w:r>
          </w:p>
        </w:tc>
        <w:tc>
          <w:tcPr>
            <w:tcW w:w="1291" w:type="dxa"/>
            <w:vAlign w:val="center"/>
          </w:tcPr>
          <w:p w:rsidR="004F7733" w:rsidRDefault="004F15FA">
            <w:pPr>
              <w:jc w:val="right"/>
            </w:pPr>
            <w:r>
              <w:rPr>
                <w:rFonts w:eastAsiaTheme="minorEastAsia"/>
                <w:color w:val="000000" w:themeColor="text1"/>
                <w:szCs w:val="21"/>
              </w:rPr>
              <w:t>17.05%</w:t>
            </w:r>
          </w:p>
        </w:tc>
        <w:tc>
          <w:tcPr>
            <w:tcW w:w="1291" w:type="dxa"/>
            <w:vAlign w:val="center"/>
          </w:tcPr>
          <w:p w:rsidR="004F7733" w:rsidRDefault="004F15FA">
            <w:pPr>
              <w:jc w:val="right"/>
            </w:pPr>
            <w:r>
              <w:rPr>
                <w:rFonts w:eastAsiaTheme="minorEastAsia"/>
                <w:color w:val="000000" w:themeColor="text1"/>
                <w:szCs w:val="21"/>
              </w:rPr>
              <w:t>0.89%</w:t>
            </w:r>
          </w:p>
        </w:tc>
        <w:tc>
          <w:tcPr>
            <w:tcW w:w="1291" w:type="dxa"/>
            <w:vAlign w:val="center"/>
          </w:tcPr>
          <w:p w:rsidR="004F7733" w:rsidRDefault="004F15FA">
            <w:pPr>
              <w:jc w:val="right"/>
            </w:pPr>
            <w:r>
              <w:rPr>
                <w:rFonts w:eastAsiaTheme="minorEastAsia"/>
                <w:color w:val="000000" w:themeColor="text1"/>
                <w:szCs w:val="21"/>
              </w:rPr>
              <w:t>-5.64%</w:t>
            </w:r>
          </w:p>
        </w:tc>
        <w:tc>
          <w:tcPr>
            <w:tcW w:w="1291" w:type="dxa"/>
            <w:vAlign w:val="center"/>
          </w:tcPr>
          <w:p w:rsidR="004F7733" w:rsidRDefault="004F15FA">
            <w:pPr>
              <w:jc w:val="right"/>
            </w:pPr>
            <w:r>
              <w:rPr>
                <w:rFonts w:eastAsiaTheme="minorEastAsia"/>
                <w:color w:val="000000" w:themeColor="text1"/>
                <w:szCs w:val="21"/>
              </w:rPr>
              <w:t>0.02%</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w:t>
      </w:r>
      <w:r w:rsidRPr="00A3398F">
        <w:rPr>
          <w:rFonts w:eastAsiaTheme="minorEastAsia"/>
          <w:b/>
          <w:color w:val="000000" w:themeColor="text1"/>
          <w:kern w:val="0"/>
          <w:sz w:val="24"/>
        </w:rPr>
        <w:lastRenderedPageBreak/>
        <w:t>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摩根亚太优势混合型证券投资基金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2007</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10</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．摩根亚太优势混合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．摩根亚太优势混合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w:t>
      </w:r>
      <w:r>
        <w:rPr>
          <w:rFonts w:eastAsiaTheme="minorEastAsia"/>
          <w:color w:val="000000" w:themeColor="text1"/>
          <w:szCs w:val="21"/>
        </w:rPr>
        <w:lastRenderedPageBreak/>
        <w:t>末。</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4F7733">
        <w:tc>
          <w:tcPr>
            <w:tcW w:w="851" w:type="dxa"/>
            <w:vAlign w:val="center"/>
          </w:tcPr>
          <w:p w:rsidR="004F7733" w:rsidRDefault="004F15FA">
            <w:pPr>
              <w:jc w:val="center"/>
            </w:pPr>
            <w:r>
              <w:rPr>
                <w:rFonts w:eastAsiaTheme="minorEastAsia"/>
                <w:color w:val="000000" w:themeColor="text1"/>
                <w:szCs w:val="21"/>
              </w:rPr>
              <w:t>张军</w:t>
            </w:r>
          </w:p>
        </w:tc>
        <w:tc>
          <w:tcPr>
            <w:tcW w:w="850" w:type="dxa"/>
            <w:vAlign w:val="center"/>
          </w:tcPr>
          <w:p w:rsidR="004F7733" w:rsidRDefault="004F15FA">
            <w:pPr>
              <w:jc w:val="center"/>
            </w:pPr>
            <w:r>
              <w:rPr>
                <w:rFonts w:eastAsiaTheme="minorEastAsia"/>
                <w:color w:val="000000" w:themeColor="text1"/>
                <w:szCs w:val="21"/>
              </w:rPr>
              <w:t>本基金基金经理</w:t>
            </w:r>
          </w:p>
        </w:tc>
        <w:tc>
          <w:tcPr>
            <w:tcW w:w="1560" w:type="dxa"/>
            <w:vAlign w:val="center"/>
          </w:tcPr>
          <w:p w:rsidR="004F7733" w:rsidRDefault="004F15FA">
            <w:pPr>
              <w:jc w:val="center"/>
            </w:pPr>
            <w:r>
              <w:rPr>
                <w:rFonts w:eastAsiaTheme="minorEastAsia"/>
                <w:color w:val="000000" w:themeColor="text1"/>
                <w:szCs w:val="21"/>
              </w:rPr>
              <w:t>2008-03-08</w:t>
            </w:r>
          </w:p>
        </w:tc>
        <w:tc>
          <w:tcPr>
            <w:tcW w:w="1559" w:type="dxa"/>
            <w:vAlign w:val="center"/>
          </w:tcPr>
          <w:p w:rsidR="004F7733" w:rsidRDefault="004F15FA">
            <w:pPr>
              <w:jc w:val="center"/>
            </w:pPr>
            <w:r>
              <w:rPr>
                <w:rFonts w:eastAsiaTheme="minorEastAsia"/>
                <w:color w:val="000000" w:themeColor="text1"/>
                <w:szCs w:val="21"/>
              </w:rPr>
              <w:t>-</w:t>
            </w:r>
          </w:p>
        </w:tc>
        <w:tc>
          <w:tcPr>
            <w:tcW w:w="1417" w:type="dxa"/>
            <w:vAlign w:val="center"/>
          </w:tcPr>
          <w:p w:rsidR="004F7733" w:rsidRDefault="004F15FA">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2694" w:type="dxa"/>
            <w:vAlign w:val="center"/>
          </w:tcPr>
          <w:p w:rsidR="004F7733" w:rsidRDefault="004F15FA">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4F7733" w:rsidRDefault="004F15FA">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2.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9,550,950,927.28</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31,225,466.11</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9,582,176,393.39</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36"/>
        <w:gridCol w:w="2103"/>
        <w:gridCol w:w="627"/>
        <w:gridCol w:w="4847"/>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w:t>
            </w:r>
            <w:r w:rsidRPr="00A3398F">
              <w:rPr>
                <w:rFonts w:eastAsiaTheme="minorEastAsia"/>
                <w:color w:val="000000" w:themeColor="text1"/>
                <w:kern w:val="0"/>
                <w:szCs w:val="21"/>
              </w:rPr>
              <w:lastRenderedPageBreak/>
              <w:t>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lastRenderedPageBreak/>
              <w:t>说明</w:t>
            </w:r>
          </w:p>
        </w:tc>
      </w:tr>
      <w:tr w:rsidR="004F7733">
        <w:tc>
          <w:tcPr>
            <w:tcW w:w="0" w:type="auto"/>
            <w:vAlign w:val="center"/>
          </w:tcPr>
          <w:p w:rsidR="004F7733" w:rsidRDefault="004F15FA">
            <w:pPr>
              <w:jc w:val="center"/>
            </w:pPr>
            <w:r>
              <w:rPr>
                <w:rFonts w:eastAsiaTheme="minorEastAsia"/>
                <w:color w:val="000000" w:themeColor="text1"/>
                <w:szCs w:val="21"/>
              </w:rPr>
              <w:t>Robert Lloyd</w:t>
            </w:r>
          </w:p>
        </w:tc>
        <w:tc>
          <w:tcPr>
            <w:tcW w:w="0" w:type="auto"/>
            <w:vAlign w:val="center"/>
          </w:tcPr>
          <w:p w:rsidR="004F7733" w:rsidRDefault="004F15FA">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 xml:space="preserve">) </w:t>
            </w:r>
            <w:r>
              <w:rPr>
                <w:rFonts w:eastAsiaTheme="minorEastAsia"/>
                <w:color w:val="000000" w:themeColor="text1"/>
                <w:szCs w:val="21"/>
              </w:rPr>
              <w:t>董事总经理，新兴市场和亚太地区（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w:t>
            </w:r>
          </w:p>
        </w:tc>
        <w:tc>
          <w:tcPr>
            <w:tcW w:w="0" w:type="auto"/>
            <w:vAlign w:val="center"/>
          </w:tcPr>
          <w:p w:rsidR="004F7733" w:rsidRDefault="004F15FA">
            <w:pPr>
              <w:jc w:val="center"/>
            </w:pPr>
            <w:r>
              <w:rPr>
                <w:rFonts w:eastAsiaTheme="minorEastAsia"/>
                <w:color w:val="000000" w:themeColor="text1"/>
                <w:szCs w:val="21"/>
              </w:rPr>
              <w:t>23</w:t>
            </w:r>
            <w:r>
              <w:rPr>
                <w:rFonts w:eastAsiaTheme="minorEastAsia"/>
                <w:color w:val="000000" w:themeColor="text1"/>
                <w:szCs w:val="21"/>
              </w:rPr>
              <w:t>年</w:t>
            </w:r>
          </w:p>
        </w:tc>
        <w:tc>
          <w:tcPr>
            <w:tcW w:w="0" w:type="auto"/>
            <w:vAlign w:val="center"/>
          </w:tcPr>
          <w:p w:rsidR="004F7733" w:rsidRDefault="004F15FA">
            <w:pPr>
              <w:jc w:val="left"/>
            </w:pPr>
            <w:r>
              <w:rPr>
                <w:rFonts w:eastAsiaTheme="minorEastAsia"/>
                <w:color w:val="000000" w:themeColor="text1"/>
                <w:szCs w:val="21"/>
              </w:rPr>
              <w:t>Robert Lloyd</w:t>
            </w:r>
            <w:r>
              <w:rPr>
                <w:rFonts w:eastAsiaTheme="minorEastAsia"/>
                <w:color w:val="000000" w:themeColor="text1"/>
                <w:szCs w:val="21"/>
              </w:rPr>
              <w:t>，董事总经理，是新兴市场和亚太地区（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）股票团队中亚太股票的基金经理。他常驻香港，于</w:t>
            </w:r>
            <w:r>
              <w:rPr>
                <w:rFonts w:eastAsiaTheme="minorEastAsia"/>
                <w:color w:val="000000" w:themeColor="text1"/>
                <w:szCs w:val="21"/>
              </w:rPr>
              <w:t>2005</w:t>
            </w:r>
            <w:r>
              <w:rPr>
                <w:rFonts w:eastAsiaTheme="minorEastAsia"/>
                <w:color w:val="000000" w:themeColor="text1"/>
                <w:szCs w:val="21"/>
              </w:rPr>
              <w:t>年加入</w:t>
            </w:r>
            <w:r>
              <w:rPr>
                <w:rFonts w:eastAsiaTheme="minorEastAsia"/>
                <w:color w:val="000000" w:themeColor="text1"/>
                <w:szCs w:val="21"/>
              </w:rPr>
              <w:t>EMAP</w:t>
            </w:r>
            <w:r>
              <w:rPr>
                <w:rFonts w:eastAsiaTheme="minorEastAsia"/>
                <w:color w:val="000000" w:themeColor="text1"/>
                <w:szCs w:val="21"/>
              </w:rPr>
              <w:t>东京团队，于</w:t>
            </w:r>
            <w:r>
              <w:rPr>
                <w:rFonts w:eastAsiaTheme="minorEastAsia"/>
                <w:color w:val="000000" w:themeColor="text1"/>
                <w:szCs w:val="21"/>
              </w:rPr>
              <w:t>2009</w:t>
            </w:r>
            <w:r>
              <w:rPr>
                <w:rFonts w:eastAsiaTheme="minorEastAsia"/>
                <w:color w:val="000000" w:themeColor="text1"/>
                <w:szCs w:val="21"/>
              </w:rPr>
              <w:t>年调回香港。在此之前，</w:t>
            </w:r>
            <w:r>
              <w:rPr>
                <w:rFonts w:eastAsiaTheme="minorEastAsia"/>
                <w:color w:val="000000" w:themeColor="text1"/>
                <w:szCs w:val="21"/>
              </w:rPr>
              <w:t>Robert</w:t>
            </w:r>
            <w:r>
              <w:rPr>
                <w:rFonts w:eastAsiaTheme="minorEastAsia"/>
                <w:color w:val="000000" w:themeColor="text1"/>
                <w:szCs w:val="21"/>
              </w:rPr>
              <w:t>在瑞银资产管理公司（日本）担任投资分析师三年，专注在风险控制及日本股票。</w:t>
            </w:r>
            <w:r>
              <w:rPr>
                <w:rFonts w:eastAsiaTheme="minorEastAsia"/>
                <w:color w:val="000000" w:themeColor="text1"/>
                <w:szCs w:val="21"/>
              </w:rPr>
              <w:t>Robert</w:t>
            </w:r>
            <w:r>
              <w:rPr>
                <w:rFonts w:eastAsiaTheme="minorEastAsia"/>
                <w:color w:val="000000" w:themeColor="text1"/>
                <w:szCs w:val="21"/>
              </w:rPr>
              <w:t>的职业生涯从在德意志银行（日本）的信贷部担任抵押品分析师开始。</w:t>
            </w:r>
            <w:r>
              <w:rPr>
                <w:rFonts w:eastAsiaTheme="minorEastAsia"/>
                <w:color w:val="000000" w:themeColor="text1"/>
                <w:szCs w:val="21"/>
              </w:rPr>
              <w:t>Robert</w:t>
            </w:r>
            <w:r>
              <w:rPr>
                <w:rFonts w:eastAsiaTheme="minorEastAsia"/>
                <w:color w:val="000000" w:themeColor="text1"/>
                <w:szCs w:val="21"/>
              </w:rPr>
              <w:t>拥有美国蒙大纳大学文学及语言学士学位。</w:t>
            </w:r>
          </w:p>
        </w:tc>
      </w:tr>
      <w:tr w:rsidR="004F7733">
        <w:tc>
          <w:tcPr>
            <w:tcW w:w="0" w:type="auto"/>
            <w:vAlign w:val="center"/>
          </w:tcPr>
          <w:p w:rsidR="004F7733" w:rsidRDefault="004F15FA">
            <w:pPr>
              <w:jc w:val="center"/>
            </w:pPr>
            <w:r>
              <w:rPr>
                <w:rFonts w:eastAsiaTheme="minorEastAsia"/>
                <w:color w:val="000000" w:themeColor="text1"/>
                <w:szCs w:val="21"/>
              </w:rPr>
              <w:t>Julian Won</w:t>
            </w:r>
            <w:r>
              <w:rPr>
                <w:rFonts w:eastAsiaTheme="minorEastAsia"/>
                <w:color w:val="000000" w:themeColor="text1"/>
                <w:szCs w:val="21"/>
              </w:rPr>
              <w:t>g</w:t>
            </w:r>
          </w:p>
        </w:tc>
        <w:tc>
          <w:tcPr>
            <w:tcW w:w="0" w:type="auto"/>
            <w:vAlign w:val="center"/>
          </w:tcPr>
          <w:p w:rsidR="004F7733" w:rsidRDefault="004F15FA">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4F7733" w:rsidRDefault="004F15FA">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rsidR="004F7733" w:rsidRDefault="004F15FA">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w:t>
      </w:r>
      <w:r>
        <w:rPr>
          <w:rFonts w:eastAsiaTheme="minorEastAsia"/>
          <w:color w:val="000000" w:themeColor="text1"/>
          <w:szCs w:val="21"/>
        </w:rPr>
        <w:lastRenderedPageBreak/>
        <w:t>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报告期内，亚太区（除日本）股市股指震荡下跌。基金的投资组合在中国香港、韩国市场有超配且创造了超额收益，而在澳洲和中国台湾市场的投资表现较弱。</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美联储的货币政策变化对全球金融市场和贸易环境产生重大影响。美联储在</w:t>
      </w:r>
      <w:r>
        <w:rPr>
          <w:rFonts w:eastAsiaTheme="minorEastAsia"/>
          <w:color w:val="000000" w:themeColor="text1"/>
          <w:szCs w:val="21"/>
        </w:rPr>
        <w:t>2024</w:t>
      </w:r>
      <w:r>
        <w:rPr>
          <w:rFonts w:eastAsiaTheme="minorEastAsia"/>
          <w:color w:val="000000" w:themeColor="text1"/>
          <w:szCs w:val="21"/>
        </w:rPr>
        <w:t>年降息三次，从</w:t>
      </w:r>
      <w:r>
        <w:rPr>
          <w:rFonts w:eastAsiaTheme="minorEastAsia"/>
          <w:color w:val="000000" w:themeColor="text1"/>
          <w:szCs w:val="21"/>
        </w:rPr>
        <w:t>9</w:t>
      </w:r>
      <w:r>
        <w:rPr>
          <w:rFonts w:eastAsiaTheme="minorEastAsia"/>
          <w:color w:val="000000" w:themeColor="text1"/>
          <w:szCs w:val="21"/>
        </w:rPr>
        <w:t>月份大幅降息</w:t>
      </w:r>
      <w:r>
        <w:rPr>
          <w:rFonts w:eastAsiaTheme="minorEastAsia"/>
          <w:color w:val="000000" w:themeColor="text1"/>
          <w:szCs w:val="21"/>
        </w:rPr>
        <w:t>50</w:t>
      </w:r>
      <w:r>
        <w:rPr>
          <w:rFonts w:eastAsiaTheme="minorEastAsia"/>
          <w:color w:val="000000" w:themeColor="text1"/>
          <w:szCs w:val="21"/>
        </w:rPr>
        <w:t>个基点开始，随后进行了小幅降息，表明央行对经济稳定同时应对通胀的信心。这些货币政策的调整对新兴市场产生积极影响。中国香港股市在本季度内表现出色，受益于中国宏观政策的利好支持以及部分国际资金回流港股。中国台湾和韩国股市受益于半导体产业的强劲增长以及全球科技股的上涨潮。然而，特朗普当选后可能带来的中美贸易摩擦不确定性和韩国国内政治局势风波对股市构成了一定的压力。</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展望后市，亚太区企业盈利有待恢复，同时面临外</w:t>
      </w:r>
      <w:r>
        <w:rPr>
          <w:rFonts w:eastAsiaTheme="minorEastAsia"/>
          <w:color w:val="000000" w:themeColor="text1"/>
          <w:szCs w:val="21"/>
        </w:rPr>
        <w:t>部风险：尽管存在特殊驱动因素，但亚洲的</w:t>
      </w:r>
      <w:r>
        <w:rPr>
          <w:rFonts w:eastAsiaTheme="minorEastAsia"/>
          <w:color w:val="000000" w:themeColor="text1"/>
          <w:szCs w:val="21"/>
        </w:rPr>
        <w:t>GDP</w:t>
      </w:r>
      <w:r>
        <w:rPr>
          <w:rFonts w:eastAsiaTheme="minorEastAsia"/>
          <w:color w:val="000000" w:themeColor="text1"/>
          <w:szCs w:val="21"/>
        </w:rPr>
        <w:t>增长（以美元计算）仍然与全球出口密切相关，亚洲的每股收益增长也与亚洲的</w:t>
      </w:r>
      <w:r>
        <w:rPr>
          <w:rFonts w:eastAsiaTheme="minorEastAsia"/>
          <w:color w:val="000000" w:themeColor="text1"/>
          <w:szCs w:val="21"/>
        </w:rPr>
        <w:t>GDP</w:t>
      </w:r>
      <w:r>
        <w:rPr>
          <w:rFonts w:eastAsiaTheme="minorEastAsia"/>
          <w:color w:val="000000" w:themeColor="text1"/>
          <w:szCs w:val="21"/>
        </w:rPr>
        <w:t>和出口增长以及全球采购经理人指数密切相关。因此，任何成熟市场评级下调都将影响亚洲的每股收益预期。</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印度的关键驱动因素是未来多年增长的高能见度。我们重点关注印度以下因素：</w:t>
      </w:r>
      <w:r>
        <w:rPr>
          <w:rFonts w:eastAsiaTheme="minorEastAsia"/>
          <w:color w:val="000000" w:themeColor="text1"/>
          <w:szCs w:val="21"/>
        </w:rPr>
        <w:t>1</w:t>
      </w:r>
      <w:r>
        <w:rPr>
          <w:rFonts w:eastAsiaTheme="minorEastAsia"/>
          <w:color w:val="000000" w:themeColor="text1"/>
          <w:szCs w:val="21"/>
        </w:rPr>
        <w:t>）大选后的市场波动率变化；</w:t>
      </w:r>
      <w:r>
        <w:rPr>
          <w:rFonts w:eastAsiaTheme="minorEastAsia"/>
          <w:color w:val="000000" w:themeColor="text1"/>
          <w:szCs w:val="21"/>
        </w:rPr>
        <w:t>2</w:t>
      </w:r>
      <w:r>
        <w:rPr>
          <w:rFonts w:eastAsiaTheme="minorEastAsia"/>
          <w:color w:val="000000" w:themeColor="text1"/>
          <w:szCs w:val="21"/>
        </w:rPr>
        <w:t>）外资仓位是否继续维持低位；</w:t>
      </w:r>
      <w:r>
        <w:rPr>
          <w:rFonts w:eastAsiaTheme="minorEastAsia"/>
          <w:color w:val="000000" w:themeColor="text1"/>
          <w:szCs w:val="21"/>
        </w:rPr>
        <w:t>3</w:t>
      </w:r>
      <w:r>
        <w:rPr>
          <w:rFonts w:eastAsiaTheme="minorEastAsia"/>
          <w:color w:val="000000" w:themeColor="text1"/>
          <w:szCs w:val="21"/>
        </w:rPr>
        <w:t>）大选后的经济和财政政策是否维持稳定；</w:t>
      </w:r>
      <w:r>
        <w:rPr>
          <w:rFonts w:eastAsiaTheme="minorEastAsia"/>
          <w:color w:val="000000" w:themeColor="text1"/>
          <w:szCs w:val="21"/>
        </w:rPr>
        <w:t>4</w:t>
      </w:r>
      <w:r>
        <w:rPr>
          <w:rFonts w:eastAsiaTheme="minorEastAsia"/>
          <w:color w:val="000000" w:themeColor="text1"/>
          <w:szCs w:val="21"/>
        </w:rPr>
        <w:t>）公司盈利中长期增长前景如何变化。</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值得关注的主要风险在于以下三个事件，投资者应密切关注。首先，中国股市因为对大规模财政刺激</w:t>
      </w:r>
      <w:r>
        <w:rPr>
          <w:rFonts w:eastAsiaTheme="minorEastAsia"/>
          <w:color w:val="000000" w:themeColor="text1"/>
          <w:szCs w:val="21"/>
        </w:rPr>
        <w:t>的预期而上涨，后续市场需要对此进行确认；其次，在股价飙升之后，获利回吐是可以预期的；第三，美国当选总统特朗普实施他所谓的重大关税，美国提高关税的全球</w:t>
      </w:r>
      <w:r>
        <w:rPr>
          <w:rFonts w:eastAsiaTheme="minorEastAsia"/>
          <w:color w:val="000000" w:themeColor="text1"/>
          <w:szCs w:val="21"/>
        </w:rPr>
        <w:lastRenderedPageBreak/>
        <w:t>影响和对中国股市可能的影响。</w:t>
      </w:r>
    </w:p>
    <w:p w:rsidR="004F7733" w:rsidRDefault="004F7733">
      <w:pPr>
        <w:spacing w:line="360" w:lineRule="auto"/>
        <w:ind w:firstLineChars="200" w:firstLine="420"/>
        <w:rPr>
          <w:rFonts w:eastAsiaTheme="minorEastAsia"/>
          <w:color w:val="000000" w:themeColor="text1"/>
          <w:szCs w:val="21"/>
        </w:rPr>
      </w:pP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:-4.81%</w:t>
      </w:r>
      <w:r>
        <w:rPr>
          <w:rFonts w:eastAsiaTheme="minorEastAsia"/>
          <w:color w:val="000000" w:themeColor="text1"/>
          <w:szCs w:val="21"/>
        </w:rPr>
        <w:t>，同期业绩比较基准收益率为</w:t>
      </w:r>
      <w:r>
        <w:rPr>
          <w:rFonts w:eastAsiaTheme="minorEastAsia"/>
          <w:color w:val="000000" w:themeColor="text1"/>
          <w:szCs w:val="21"/>
        </w:rPr>
        <w:t>:-5.92%</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:-4.92%</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:-5.92%</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2,256,469,608.44</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92.02</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2,146,101,955.75</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87.52</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110,367,652.69</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4.50</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lastRenderedPageBreak/>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193,089,096.31</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7.87</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2,562,404.64</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0.10</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2,452,121,109.39</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581,291,739.65</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23.89%</w:t>
      </w:r>
      <w:r w:rsidRPr="00A3398F">
        <w:rPr>
          <w:rFonts w:eastAsiaTheme="minorEastAsia"/>
          <w:color w:val="000000" w:themeColor="text1"/>
          <w:szCs w:val="21"/>
        </w:rPr>
        <w:t>。</w:t>
      </w:r>
      <w:bookmarkStart w:id="3" w:name="_Toc351577071"/>
    </w:p>
    <w:bookmarkEnd w:id="3"/>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4F7733">
        <w:trPr>
          <w:jc w:val="center"/>
        </w:trPr>
        <w:tc>
          <w:tcPr>
            <w:tcW w:w="2410" w:type="dxa"/>
            <w:vAlign w:val="center"/>
          </w:tcPr>
          <w:p w:rsidR="004F7733" w:rsidRDefault="004F15FA">
            <w:pPr>
              <w:jc w:val="left"/>
            </w:pPr>
            <w:r>
              <w:rPr>
                <w:rFonts w:eastAsiaTheme="minorEastAsia"/>
                <w:color w:val="000000" w:themeColor="text1"/>
                <w:szCs w:val="21"/>
              </w:rPr>
              <w:t>中国香港</w:t>
            </w:r>
          </w:p>
        </w:tc>
        <w:tc>
          <w:tcPr>
            <w:tcW w:w="3118" w:type="dxa"/>
            <w:vAlign w:val="center"/>
          </w:tcPr>
          <w:p w:rsidR="004F7733" w:rsidRDefault="004F15FA">
            <w:pPr>
              <w:jc w:val="right"/>
            </w:pPr>
            <w:r>
              <w:rPr>
                <w:rFonts w:eastAsiaTheme="minorEastAsia"/>
                <w:color w:val="000000" w:themeColor="text1"/>
                <w:szCs w:val="21"/>
              </w:rPr>
              <w:t>627,033,448.41</w:t>
            </w:r>
          </w:p>
        </w:tc>
        <w:tc>
          <w:tcPr>
            <w:tcW w:w="3076" w:type="dxa"/>
            <w:vAlign w:val="center"/>
          </w:tcPr>
          <w:p w:rsidR="004F7733" w:rsidRDefault="004F15FA">
            <w:pPr>
              <w:jc w:val="right"/>
            </w:pPr>
            <w:r>
              <w:rPr>
                <w:rFonts w:eastAsiaTheme="minorEastAsia"/>
                <w:color w:val="000000" w:themeColor="text1"/>
                <w:szCs w:val="21"/>
              </w:rPr>
              <w:t>25.77</w:t>
            </w:r>
          </w:p>
        </w:tc>
      </w:tr>
      <w:tr w:rsidR="004F7733">
        <w:trPr>
          <w:jc w:val="center"/>
        </w:trPr>
        <w:tc>
          <w:tcPr>
            <w:tcW w:w="2410" w:type="dxa"/>
            <w:vAlign w:val="center"/>
          </w:tcPr>
          <w:p w:rsidR="004F7733" w:rsidRDefault="004F15FA">
            <w:pPr>
              <w:jc w:val="left"/>
            </w:pPr>
            <w:r>
              <w:rPr>
                <w:rFonts w:eastAsiaTheme="minorEastAsia"/>
                <w:color w:val="000000" w:themeColor="text1"/>
                <w:szCs w:val="21"/>
              </w:rPr>
              <w:t>中国台湾</w:t>
            </w:r>
          </w:p>
        </w:tc>
        <w:tc>
          <w:tcPr>
            <w:tcW w:w="3118" w:type="dxa"/>
            <w:vAlign w:val="center"/>
          </w:tcPr>
          <w:p w:rsidR="004F7733" w:rsidRDefault="004F15FA">
            <w:pPr>
              <w:jc w:val="right"/>
            </w:pPr>
            <w:r>
              <w:rPr>
                <w:rFonts w:eastAsiaTheme="minorEastAsia"/>
                <w:color w:val="000000" w:themeColor="text1"/>
                <w:szCs w:val="21"/>
              </w:rPr>
              <w:t>433,118,942.41</w:t>
            </w:r>
          </w:p>
        </w:tc>
        <w:tc>
          <w:tcPr>
            <w:tcW w:w="3076" w:type="dxa"/>
            <w:vAlign w:val="center"/>
          </w:tcPr>
          <w:p w:rsidR="004F7733" w:rsidRDefault="004F15FA">
            <w:pPr>
              <w:jc w:val="right"/>
            </w:pPr>
            <w:r>
              <w:rPr>
                <w:rFonts w:eastAsiaTheme="minorEastAsia"/>
                <w:color w:val="000000" w:themeColor="text1"/>
                <w:szCs w:val="21"/>
              </w:rPr>
              <w:t>17.80</w:t>
            </w:r>
          </w:p>
        </w:tc>
      </w:tr>
      <w:tr w:rsidR="004F7733">
        <w:trPr>
          <w:jc w:val="center"/>
        </w:trPr>
        <w:tc>
          <w:tcPr>
            <w:tcW w:w="2410" w:type="dxa"/>
            <w:vAlign w:val="center"/>
          </w:tcPr>
          <w:p w:rsidR="004F7733" w:rsidRDefault="004F15FA">
            <w:pPr>
              <w:jc w:val="left"/>
            </w:pPr>
            <w:r>
              <w:rPr>
                <w:rFonts w:eastAsiaTheme="minorEastAsia"/>
                <w:color w:val="000000" w:themeColor="text1"/>
                <w:szCs w:val="21"/>
              </w:rPr>
              <w:t>印度</w:t>
            </w:r>
          </w:p>
        </w:tc>
        <w:tc>
          <w:tcPr>
            <w:tcW w:w="3118" w:type="dxa"/>
            <w:vAlign w:val="center"/>
          </w:tcPr>
          <w:p w:rsidR="004F7733" w:rsidRDefault="004F15FA">
            <w:pPr>
              <w:jc w:val="right"/>
            </w:pPr>
            <w:r>
              <w:rPr>
                <w:rFonts w:eastAsiaTheme="minorEastAsia"/>
                <w:color w:val="000000" w:themeColor="text1"/>
                <w:szCs w:val="21"/>
              </w:rPr>
              <w:t>393,076,813.38</w:t>
            </w:r>
          </w:p>
        </w:tc>
        <w:tc>
          <w:tcPr>
            <w:tcW w:w="3076" w:type="dxa"/>
            <w:vAlign w:val="center"/>
          </w:tcPr>
          <w:p w:rsidR="004F7733" w:rsidRDefault="004F15FA">
            <w:pPr>
              <w:jc w:val="right"/>
            </w:pPr>
            <w:r>
              <w:rPr>
                <w:rFonts w:eastAsiaTheme="minorEastAsia"/>
                <w:color w:val="000000" w:themeColor="text1"/>
                <w:szCs w:val="21"/>
              </w:rPr>
              <w:t>16.15</w:t>
            </w:r>
          </w:p>
        </w:tc>
      </w:tr>
      <w:tr w:rsidR="004F7733">
        <w:trPr>
          <w:jc w:val="center"/>
        </w:trPr>
        <w:tc>
          <w:tcPr>
            <w:tcW w:w="2410" w:type="dxa"/>
            <w:vAlign w:val="center"/>
          </w:tcPr>
          <w:p w:rsidR="004F7733" w:rsidRDefault="004F15FA">
            <w:pPr>
              <w:jc w:val="left"/>
            </w:pPr>
            <w:r>
              <w:rPr>
                <w:rFonts w:eastAsiaTheme="minorEastAsia"/>
                <w:color w:val="000000" w:themeColor="text1"/>
                <w:szCs w:val="21"/>
              </w:rPr>
              <w:t>澳大利亚</w:t>
            </w:r>
          </w:p>
        </w:tc>
        <w:tc>
          <w:tcPr>
            <w:tcW w:w="3118" w:type="dxa"/>
            <w:vAlign w:val="center"/>
          </w:tcPr>
          <w:p w:rsidR="004F7733" w:rsidRDefault="004F15FA">
            <w:pPr>
              <w:jc w:val="right"/>
            </w:pPr>
            <w:r>
              <w:rPr>
                <w:rFonts w:eastAsiaTheme="minorEastAsia"/>
                <w:color w:val="000000" w:themeColor="text1"/>
                <w:szCs w:val="21"/>
              </w:rPr>
              <w:t>369,239,231.82</w:t>
            </w:r>
          </w:p>
        </w:tc>
        <w:tc>
          <w:tcPr>
            <w:tcW w:w="3076" w:type="dxa"/>
            <w:vAlign w:val="center"/>
          </w:tcPr>
          <w:p w:rsidR="004F7733" w:rsidRDefault="004F15FA">
            <w:pPr>
              <w:jc w:val="right"/>
            </w:pPr>
            <w:r>
              <w:rPr>
                <w:rFonts w:eastAsiaTheme="minorEastAsia"/>
                <w:color w:val="000000" w:themeColor="text1"/>
                <w:szCs w:val="21"/>
              </w:rPr>
              <w:t>15.17</w:t>
            </w:r>
          </w:p>
        </w:tc>
      </w:tr>
      <w:tr w:rsidR="004F7733">
        <w:trPr>
          <w:jc w:val="center"/>
        </w:trPr>
        <w:tc>
          <w:tcPr>
            <w:tcW w:w="2410" w:type="dxa"/>
            <w:vAlign w:val="center"/>
          </w:tcPr>
          <w:p w:rsidR="004F7733" w:rsidRDefault="004F15FA">
            <w:pPr>
              <w:jc w:val="left"/>
            </w:pPr>
            <w:r>
              <w:rPr>
                <w:rFonts w:eastAsiaTheme="minorEastAsia"/>
                <w:color w:val="000000" w:themeColor="text1"/>
                <w:szCs w:val="21"/>
              </w:rPr>
              <w:t>韩国</w:t>
            </w:r>
          </w:p>
        </w:tc>
        <w:tc>
          <w:tcPr>
            <w:tcW w:w="3118" w:type="dxa"/>
            <w:vAlign w:val="center"/>
          </w:tcPr>
          <w:p w:rsidR="004F7733" w:rsidRDefault="004F15FA">
            <w:pPr>
              <w:jc w:val="right"/>
            </w:pPr>
            <w:r>
              <w:rPr>
                <w:rFonts w:eastAsiaTheme="minorEastAsia"/>
                <w:color w:val="000000" w:themeColor="text1"/>
                <w:szCs w:val="21"/>
              </w:rPr>
              <w:t>218,179,221.78</w:t>
            </w:r>
          </w:p>
        </w:tc>
        <w:tc>
          <w:tcPr>
            <w:tcW w:w="3076" w:type="dxa"/>
            <w:vAlign w:val="center"/>
          </w:tcPr>
          <w:p w:rsidR="004F7733" w:rsidRDefault="004F15FA">
            <w:pPr>
              <w:jc w:val="right"/>
            </w:pPr>
            <w:r>
              <w:rPr>
                <w:rFonts w:eastAsiaTheme="minorEastAsia"/>
                <w:color w:val="000000" w:themeColor="text1"/>
                <w:szCs w:val="21"/>
              </w:rPr>
              <w:t>8.97</w:t>
            </w:r>
          </w:p>
        </w:tc>
      </w:tr>
      <w:tr w:rsidR="004F7733">
        <w:trPr>
          <w:jc w:val="center"/>
        </w:trPr>
        <w:tc>
          <w:tcPr>
            <w:tcW w:w="2410" w:type="dxa"/>
            <w:vAlign w:val="center"/>
          </w:tcPr>
          <w:p w:rsidR="004F7733" w:rsidRDefault="004F15FA">
            <w:pPr>
              <w:jc w:val="left"/>
            </w:pPr>
            <w:r>
              <w:rPr>
                <w:rFonts w:eastAsiaTheme="minorEastAsia"/>
                <w:color w:val="000000" w:themeColor="text1"/>
                <w:szCs w:val="21"/>
              </w:rPr>
              <w:t>美国</w:t>
            </w:r>
          </w:p>
        </w:tc>
        <w:tc>
          <w:tcPr>
            <w:tcW w:w="3118" w:type="dxa"/>
            <w:vAlign w:val="center"/>
          </w:tcPr>
          <w:p w:rsidR="004F7733" w:rsidRDefault="004F15FA">
            <w:pPr>
              <w:jc w:val="right"/>
            </w:pPr>
            <w:r>
              <w:rPr>
                <w:rFonts w:eastAsiaTheme="minorEastAsia"/>
                <w:color w:val="000000" w:themeColor="text1"/>
                <w:szCs w:val="21"/>
              </w:rPr>
              <w:t>84,437,240.72</w:t>
            </w:r>
          </w:p>
        </w:tc>
        <w:tc>
          <w:tcPr>
            <w:tcW w:w="3076" w:type="dxa"/>
            <w:vAlign w:val="center"/>
          </w:tcPr>
          <w:p w:rsidR="004F7733" w:rsidRDefault="004F15FA">
            <w:pPr>
              <w:jc w:val="right"/>
            </w:pPr>
            <w:r>
              <w:rPr>
                <w:rFonts w:eastAsiaTheme="minorEastAsia"/>
                <w:color w:val="000000" w:themeColor="text1"/>
                <w:szCs w:val="21"/>
              </w:rPr>
              <w:t>3.47</w:t>
            </w:r>
          </w:p>
        </w:tc>
      </w:tr>
      <w:tr w:rsidR="004F7733">
        <w:trPr>
          <w:jc w:val="center"/>
        </w:trPr>
        <w:tc>
          <w:tcPr>
            <w:tcW w:w="2410" w:type="dxa"/>
            <w:vAlign w:val="center"/>
          </w:tcPr>
          <w:p w:rsidR="004F7733" w:rsidRDefault="004F15FA">
            <w:pPr>
              <w:jc w:val="left"/>
            </w:pPr>
            <w:r>
              <w:rPr>
                <w:rFonts w:eastAsiaTheme="minorEastAsia"/>
                <w:color w:val="000000" w:themeColor="text1"/>
                <w:szCs w:val="21"/>
              </w:rPr>
              <w:t>新加坡</w:t>
            </w:r>
          </w:p>
        </w:tc>
        <w:tc>
          <w:tcPr>
            <w:tcW w:w="3118" w:type="dxa"/>
            <w:vAlign w:val="center"/>
          </w:tcPr>
          <w:p w:rsidR="004F7733" w:rsidRDefault="004F15FA">
            <w:pPr>
              <w:jc w:val="right"/>
            </w:pPr>
            <w:r>
              <w:rPr>
                <w:rFonts w:eastAsiaTheme="minorEastAsia"/>
                <w:color w:val="000000" w:themeColor="text1"/>
                <w:szCs w:val="21"/>
              </w:rPr>
              <w:t>76,872,001.36</w:t>
            </w:r>
          </w:p>
        </w:tc>
        <w:tc>
          <w:tcPr>
            <w:tcW w:w="3076" w:type="dxa"/>
            <w:vAlign w:val="center"/>
          </w:tcPr>
          <w:p w:rsidR="004F7733" w:rsidRDefault="004F15FA">
            <w:pPr>
              <w:jc w:val="right"/>
            </w:pPr>
            <w:r>
              <w:rPr>
                <w:rFonts w:eastAsiaTheme="minorEastAsia"/>
                <w:color w:val="000000" w:themeColor="text1"/>
                <w:szCs w:val="21"/>
              </w:rPr>
              <w:t>3.16</w:t>
            </w:r>
          </w:p>
        </w:tc>
      </w:tr>
      <w:tr w:rsidR="004F7733">
        <w:trPr>
          <w:jc w:val="center"/>
        </w:trPr>
        <w:tc>
          <w:tcPr>
            <w:tcW w:w="2410" w:type="dxa"/>
            <w:vAlign w:val="center"/>
          </w:tcPr>
          <w:p w:rsidR="004F7733" w:rsidRDefault="004F15FA">
            <w:pPr>
              <w:jc w:val="left"/>
            </w:pPr>
            <w:r>
              <w:rPr>
                <w:rFonts w:eastAsiaTheme="minorEastAsia"/>
                <w:color w:val="000000" w:themeColor="text1"/>
                <w:szCs w:val="21"/>
              </w:rPr>
              <w:t>印度尼西亚</w:t>
            </w:r>
          </w:p>
        </w:tc>
        <w:tc>
          <w:tcPr>
            <w:tcW w:w="3118" w:type="dxa"/>
            <w:vAlign w:val="center"/>
          </w:tcPr>
          <w:p w:rsidR="004F7733" w:rsidRDefault="004F15FA">
            <w:pPr>
              <w:jc w:val="right"/>
            </w:pPr>
            <w:r>
              <w:rPr>
                <w:rFonts w:eastAsiaTheme="minorEastAsia"/>
                <w:color w:val="000000" w:themeColor="text1"/>
                <w:szCs w:val="21"/>
              </w:rPr>
              <w:t>54,512,708.56</w:t>
            </w:r>
          </w:p>
        </w:tc>
        <w:tc>
          <w:tcPr>
            <w:tcW w:w="3076" w:type="dxa"/>
            <w:vAlign w:val="center"/>
          </w:tcPr>
          <w:p w:rsidR="004F7733" w:rsidRDefault="004F15FA">
            <w:pPr>
              <w:jc w:val="right"/>
            </w:pPr>
            <w:r>
              <w:rPr>
                <w:rFonts w:eastAsiaTheme="minorEastAsia"/>
                <w:color w:val="000000" w:themeColor="text1"/>
                <w:szCs w:val="21"/>
              </w:rPr>
              <w:t>2.24</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2,256,469,608.44</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92.73</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4F7733">
        <w:tc>
          <w:tcPr>
            <w:tcW w:w="2787" w:type="dxa"/>
            <w:vAlign w:val="center"/>
          </w:tcPr>
          <w:p w:rsidR="004F7733" w:rsidRDefault="004F15FA">
            <w:pPr>
              <w:jc w:val="left"/>
            </w:pPr>
            <w:r>
              <w:rPr>
                <w:rFonts w:eastAsiaTheme="minorEastAsia"/>
                <w:color w:val="000000" w:themeColor="text1"/>
                <w:szCs w:val="21"/>
              </w:rPr>
              <w:t>信息技术</w:t>
            </w:r>
          </w:p>
        </w:tc>
        <w:tc>
          <w:tcPr>
            <w:tcW w:w="2551" w:type="dxa"/>
            <w:vAlign w:val="center"/>
          </w:tcPr>
          <w:p w:rsidR="004F7733" w:rsidRDefault="004F15FA">
            <w:pPr>
              <w:jc w:val="right"/>
            </w:pPr>
            <w:r>
              <w:rPr>
                <w:rFonts w:eastAsiaTheme="minorEastAsia"/>
                <w:color w:val="000000" w:themeColor="text1"/>
                <w:szCs w:val="21"/>
              </w:rPr>
              <w:t>570,810,998.49</w:t>
            </w:r>
          </w:p>
        </w:tc>
        <w:tc>
          <w:tcPr>
            <w:tcW w:w="3175" w:type="dxa"/>
            <w:vAlign w:val="center"/>
          </w:tcPr>
          <w:p w:rsidR="004F7733" w:rsidRDefault="004F15FA">
            <w:pPr>
              <w:jc w:val="right"/>
            </w:pPr>
            <w:r>
              <w:rPr>
                <w:rFonts w:eastAsiaTheme="minorEastAsia"/>
                <w:color w:val="000000" w:themeColor="text1"/>
                <w:szCs w:val="21"/>
              </w:rPr>
              <w:t>23.46</w:t>
            </w:r>
          </w:p>
        </w:tc>
      </w:tr>
      <w:tr w:rsidR="004F7733">
        <w:tc>
          <w:tcPr>
            <w:tcW w:w="2787" w:type="dxa"/>
            <w:vAlign w:val="center"/>
          </w:tcPr>
          <w:p w:rsidR="004F7733" w:rsidRDefault="004F15FA">
            <w:pPr>
              <w:jc w:val="left"/>
            </w:pPr>
            <w:r>
              <w:rPr>
                <w:rFonts w:eastAsiaTheme="minorEastAsia"/>
                <w:color w:val="000000" w:themeColor="text1"/>
                <w:szCs w:val="21"/>
              </w:rPr>
              <w:t>金融</w:t>
            </w:r>
          </w:p>
        </w:tc>
        <w:tc>
          <w:tcPr>
            <w:tcW w:w="2551" w:type="dxa"/>
            <w:vAlign w:val="center"/>
          </w:tcPr>
          <w:p w:rsidR="004F7733" w:rsidRDefault="004F15FA">
            <w:pPr>
              <w:jc w:val="right"/>
            </w:pPr>
            <w:r>
              <w:rPr>
                <w:rFonts w:eastAsiaTheme="minorEastAsia"/>
                <w:color w:val="000000" w:themeColor="text1"/>
                <w:szCs w:val="21"/>
              </w:rPr>
              <w:t>559,160,177.46</w:t>
            </w:r>
          </w:p>
        </w:tc>
        <w:tc>
          <w:tcPr>
            <w:tcW w:w="3175" w:type="dxa"/>
            <w:vAlign w:val="center"/>
          </w:tcPr>
          <w:p w:rsidR="004F7733" w:rsidRDefault="004F15FA">
            <w:pPr>
              <w:jc w:val="right"/>
            </w:pPr>
            <w:r>
              <w:rPr>
                <w:rFonts w:eastAsiaTheme="minorEastAsia"/>
                <w:color w:val="000000" w:themeColor="text1"/>
                <w:szCs w:val="21"/>
              </w:rPr>
              <w:t>22.98</w:t>
            </w:r>
          </w:p>
        </w:tc>
      </w:tr>
      <w:tr w:rsidR="004F7733">
        <w:tc>
          <w:tcPr>
            <w:tcW w:w="2787" w:type="dxa"/>
            <w:vAlign w:val="center"/>
          </w:tcPr>
          <w:p w:rsidR="004F7733" w:rsidRDefault="004F15FA">
            <w:pPr>
              <w:jc w:val="left"/>
            </w:pPr>
            <w:r>
              <w:rPr>
                <w:rFonts w:eastAsiaTheme="minorEastAsia"/>
                <w:color w:val="000000" w:themeColor="text1"/>
                <w:szCs w:val="21"/>
              </w:rPr>
              <w:t>电信服务</w:t>
            </w:r>
          </w:p>
        </w:tc>
        <w:tc>
          <w:tcPr>
            <w:tcW w:w="2551" w:type="dxa"/>
            <w:vAlign w:val="center"/>
          </w:tcPr>
          <w:p w:rsidR="004F7733" w:rsidRDefault="004F15FA">
            <w:pPr>
              <w:jc w:val="right"/>
            </w:pPr>
            <w:r>
              <w:rPr>
                <w:rFonts w:eastAsiaTheme="minorEastAsia"/>
                <w:color w:val="000000" w:themeColor="text1"/>
                <w:szCs w:val="21"/>
              </w:rPr>
              <w:t>366,307,030.00</w:t>
            </w:r>
          </w:p>
        </w:tc>
        <w:tc>
          <w:tcPr>
            <w:tcW w:w="3175" w:type="dxa"/>
            <w:vAlign w:val="center"/>
          </w:tcPr>
          <w:p w:rsidR="004F7733" w:rsidRDefault="004F15FA">
            <w:pPr>
              <w:jc w:val="right"/>
            </w:pPr>
            <w:r>
              <w:rPr>
                <w:rFonts w:eastAsiaTheme="minorEastAsia"/>
                <w:color w:val="000000" w:themeColor="text1"/>
                <w:szCs w:val="21"/>
              </w:rPr>
              <w:t>15.05</w:t>
            </w:r>
          </w:p>
        </w:tc>
      </w:tr>
      <w:tr w:rsidR="004F7733">
        <w:tc>
          <w:tcPr>
            <w:tcW w:w="2787" w:type="dxa"/>
            <w:vAlign w:val="center"/>
          </w:tcPr>
          <w:p w:rsidR="004F7733" w:rsidRDefault="004F15FA">
            <w:pPr>
              <w:jc w:val="left"/>
            </w:pPr>
            <w:r>
              <w:rPr>
                <w:rFonts w:eastAsiaTheme="minorEastAsia"/>
                <w:color w:val="000000" w:themeColor="text1"/>
                <w:szCs w:val="21"/>
              </w:rPr>
              <w:t>消费者非必需品</w:t>
            </w:r>
          </w:p>
        </w:tc>
        <w:tc>
          <w:tcPr>
            <w:tcW w:w="2551" w:type="dxa"/>
            <w:vAlign w:val="center"/>
          </w:tcPr>
          <w:p w:rsidR="004F7733" w:rsidRDefault="004F15FA">
            <w:pPr>
              <w:jc w:val="right"/>
            </w:pPr>
            <w:r>
              <w:rPr>
                <w:rFonts w:eastAsiaTheme="minorEastAsia"/>
                <w:color w:val="000000" w:themeColor="text1"/>
                <w:szCs w:val="21"/>
              </w:rPr>
              <w:t>309,334,554.08</w:t>
            </w:r>
          </w:p>
        </w:tc>
        <w:tc>
          <w:tcPr>
            <w:tcW w:w="3175" w:type="dxa"/>
            <w:vAlign w:val="center"/>
          </w:tcPr>
          <w:p w:rsidR="004F7733" w:rsidRDefault="004F15FA">
            <w:pPr>
              <w:jc w:val="right"/>
            </w:pPr>
            <w:r>
              <w:rPr>
                <w:rFonts w:eastAsiaTheme="minorEastAsia"/>
                <w:color w:val="000000" w:themeColor="text1"/>
                <w:szCs w:val="21"/>
              </w:rPr>
              <w:t>12.71</w:t>
            </w:r>
          </w:p>
        </w:tc>
      </w:tr>
      <w:tr w:rsidR="004F7733">
        <w:tc>
          <w:tcPr>
            <w:tcW w:w="2787" w:type="dxa"/>
            <w:vAlign w:val="center"/>
          </w:tcPr>
          <w:p w:rsidR="004F7733" w:rsidRDefault="004F15FA">
            <w:pPr>
              <w:jc w:val="left"/>
            </w:pPr>
            <w:r>
              <w:rPr>
                <w:rFonts w:eastAsiaTheme="minorEastAsia"/>
                <w:color w:val="000000" w:themeColor="text1"/>
                <w:szCs w:val="21"/>
              </w:rPr>
              <w:t>基础材料</w:t>
            </w:r>
          </w:p>
        </w:tc>
        <w:tc>
          <w:tcPr>
            <w:tcW w:w="2551" w:type="dxa"/>
            <w:vAlign w:val="center"/>
          </w:tcPr>
          <w:p w:rsidR="004F7733" w:rsidRDefault="004F15FA">
            <w:pPr>
              <w:jc w:val="right"/>
            </w:pPr>
            <w:r>
              <w:rPr>
                <w:rFonts w:eastAsiaTheme="minorEastAsia"/>
                <w:color w:val="000000" w:themeColor="text1"/>
                <w:szCs w:val="21"/>
              </w:rPr>
              <w:t>117,859,470.19</w:t>
            </w:r>
          </w:p>
        </w:tc>
        <w:tc>
          <w:tcPr>
            <w:tcW w:w="3175" w:type="dxa"/>
            <w:vAlign w:val="center"/>
          </w:tcPr>
          <w:p w:rsidR="004F7733" w:rsidRDefault="004F15FA">
            <w:pPr>
              <w:jc w:val="right"/>
            </w:pPr>
            <w:r>
              <w:rPr>
                <w:rFonts w:eastAsiaTheme="minorEastAsia"/>
                <w:color w:val="000000" w:themeColor="text1"/>
                <w:szCs w:val="21"/>
              </w:rPr>
              <w:t>4.84</w:t>
            </w:r>
          </w:p>
        </w:tc>
      </w:tr>
      <w:tr w:rsidR="004F7733">
        <w:tc>
          <w:tcPr>
            <w:tcW w:w="2787" w:type="dxa"/>
            <w:vAlign w:val="center"/>
          </w:tcPr>
          <w:p w:rsidR="004F7733" w:rsidRDefault="004F15FA">
            <w:pPr>
              <w:jc w:val="left"/>
            </w:pPr>
            <w:r>
              <w:rPr>
                <w:rFonts w:eastAsiaTheme="minorEastAsia"/>
                <w:color w:val="000000" w:themeColor="text1"/>
                <w:szCs w:val="21"/>
              </w:rPr>
              <w:t>能源</w:t>
            </w:r>
          </w:p>
        </w:tc>
        <w:tc>
          <w:tcPr>
            <w:tcW w:w="2551" w:type="dxa"/>
            <w:vAlign w:val="center"/>
          </w:tcPr>
          <w:p w:rsidR="004F7733" w:rsidRDefault="004F15FA">
            <w:pPr>
              <w:jc w:val="right"/>
            </w:pPr>
            <w:r>
              <w:rPr>
                <w:rFonts w:eastAsiaTheme="minorEastAsia"/>
                <w:color w:val="000000" w:themeColor="text1"/>
                <w:szCs w:val="21"/>
              </w:rPr>
              <w:t>91,471,644.45</w:t>
            </w:r>
          </w:p>
        </w:tc>
        <w:tc>
          <w:tcPr>
            <w:tcW w:w="3175" w:type="dxa"/>
            <w:vAlign w:val="center"/>
          </w:tcPr>
          <w:p w:rsidR="004F7733" w:rsidRDefault="004F15FA">
            <w:pPr>
              <w:jc w:val="right"/>
            </w:pPr>
            <w:r>
              <w:rPr>
                <w:rFonts w:eastAsiaTheme="minorEastAsia"/>
                <w:color w:val="000000" w:themeColor="text1"/>
                <w:szCs w:val="21"/>
              </w:rPr>
              <w:t>3.76</w:t>
            </w:r>
          </w:p>
        </w:tc>
      </w:tr>
      <w:tr w:rsidR="004F7733">
        <w:tc>
          <w:tcPr>
            <w:tcW w:w="2787" w:type="dxa"/>
            <w:vAlign w:val="center"/>
          </w:tcPr>
          <w:p w:rsidR="004F7733" w:rsidRDefault="004F15FA">
            <w:pPr>
              <w:jc w:val="left"/>
            </w:pPr>
            <w:r>
              <w:rPr>
                <w:rFonts w:eastAsiaTheme="minorEastAsia"/>
                <w:color w:val="000000" w:themeColor="text1"/>
                <w:szCs w:val="21"/>
              </w:rPr>
              <w:t>房地产</w:t>
            </w:r>
          </w:p>
        </w:tc>
        <w:tc>
          <w:tcPr>
            <w:tcW w:w="2551" w:type="dxa"/>
            <w:vAlign w:val="center"/>
          </w:tcPr>
          <w:p w:rsidR="004F7733" w:rsidRDefault="004F15FA">
            <w:pPr>
              <w:jc w:val="right"/>
            </w:pPr>
            <w:r>
              <w:rPr>
                <w:rFonts w:eastAsiaTheme="minorEastAsia"/>
                <w:color w:val="000000" w:themeColor="text1"/>
                <w:szCs w:val="21"/>
              </w:rPr>
              <w:t>85,667,585.43</w:t>
            </w:r>
          </w:p>
        </w:tc>
        <w:tc>
          <w:tcPr>
            <w:tcW w:w="3175" w:type="dxa"/>
            <w:vAlign w:val="center"/>
          </w:tcPr>
          <w:p w:rsidR="004F7733" w:rsidRDefault="004F15FA">
            <w:pPr>
              <w:jc w:val="right"/>
            </w:pPr>
            <w:r>
              <w:rPr>
                <w:rFonts w:eastAsiaTheme="minorEastAsia"/>
                <w:color w:val="000000" w:themeColor="text1"/>
                <w:szCs w:val="21"/>
              </w:rPr>
              <w:t>3.52</w:t>
            </w:r>
          </w:p>
        </w:tc>
      </w:tr>
      <w:tr w:rsidR="004F7733">
        <w:tc>
          <w:tcPr>
            <w:tcW w:w="2787" w:type="dxa"/>
            <w:vAlign w:val="center"/>
          </w:tcPr>
          <w:p w:rsidR="004F7733" w:rsidRDefault="004F15FA">
            <w:pPr>
              <w:jc w:val="left"/>
            </w:pPr>
            <w:r>
              <w:rPr>
                <w:rFonts w:eastAsiaTheme="minorEastAsia"/>
                <w:color w:val="000000" w:themeColor="text1"/>
                <w:szCs w:val="21"/>
              </w:rPr>
              <w:t>消费者常用品</w:t>
            </w:r>
          </w:p>
        </w:tc>
        <w:tc>
          <w:tcPr>
            <w:tcW w:w="2551" w:type="dxa"/>
            <w:vAlign w:val="center"/>
          </w:tcPr>
          <w:p w:rsidR="004F7733" w:rsidRDefault="004F15FA">
            <w:pPr>
              <w:jc w:val="right"/>
            </w:pPr>
            <w:r>
              <w:rPr>
                <w:rFonts w:eastAsiaTheme="minorEastAsia"/>
                <w:color w:val="000000" w:themeColor="text1"/>
                <w:szCs w:val="21"/>
              </w:rPr>
              <w:t>81,311,141.92</w:t>
            </w:r>
          </w:p>
        </w:tc>
        <w:tc>
          <w:tcPr>
            <w:tcW w:w="3175" w:type="dxa"/>
            <w:vAlign w:val="center"/>
          </w:tcPr>
          <w:p w:rsidR="004F7733" w:rsidRDefault="004F15FA">
            <w:pPr>
              <w:jc w:val="right"/>
            </w:pPr>
            <w:r>
              <w:rPr>
                <w:rFonts w:eastAsiaTheme="minorEastAsia"/>
                <w:color w:val="000000" w:themeColor="text1"/>
                <w:szCs w:val="21"/>
              </w:rPr>
              <w:t>3.34</w:t>
            </w:r>
          </w:p>
        </w:tc>
      </w:tr>
      <w:tr w:rsidR="004F7733">
        <w:tc>
          <w:tcPr>
            <w:tcW w:w="2787" w:type="dxa"/>
            <w:vAlign w:val="center"/>
          </w:tcPr>
          <w:p w:rsidR="004F7733" w:rsidRDefault="004F15FA">
            <w:pPr>
              <w:jc w:val="left"/>
            </w:pPr>
            <w:r>
              <w:rPr>
                <w:rFonts w:eastAsiaTheme="minorEastAsia"/>
                <w:color w:val="000000" w:themeColor="text1"/>
                <w:szCs w:val="21"/>
              </w:rPr>
              <w:t>工业</w:t>
            </w:r>
          </w:p>
        </w:tc>
        <w:tc>
          <w:tcPr>
            <w:tcW w:w="2551" w:type="dxa"/>
            <w:vAlign w:val="center"/>
          </w:tcPr>
          <w:p w:rsidR="004F7733" w:rsidRDefault="004F15FA">
            <w:pPr>
              <w:jc w:val="right"/>
            </w:pPr>
            <w:r>
              <w:rPr>
                <w:rFonts w:eastAsiaTheme="minorEastAsia"/>
                <w:color w:val="000000" w:themeColor="text1"/>
                <w:szCs w:val="21"/>
              </w:rPr>
              <w:t>74,547,006.42</w:t>
            </w:r>
          </w:p>
        </w:tc>
        <w:tc>
          <w:tcPr>
            <w:tcW w:w="3175" w:type="dxa"/>
            <w:vAlign w:val="center"/>
          </w:tcPr>
          <w:p w:rsidR="004F7733" w:rsidRDefault="004F15FA">
            <w:pPr>
              <w:jc w:val="right"/>
            </w:pPr>
            <w:r>
              <w:rPr>
                <w:rFonts w:eastAsiaTheme="minorEastAsia"/>
                <w:color w:val="000000" w:themeColor="text1"/>
                <w:szCs w:val="21"/>
              </w:rPr>
              <w:t>3.06</w:t>
            </w:r>
          </w:p>
        </w:tc>
      </w:tr>
      <w:tr w:rsidR="004F7733">
        <w:tc>
          <w:tcPr>
            <w:tcW w:w="2787" w:type="dxa"/>
            <w:vAlign w:val="center"/>
          </w:tcPr>
          <w:p w:rsidR="004F7733" w:rsidRDefault="004F15FA">
            <w:pPr>
              <w:jc w:val="left"/>
            </w:pPr>
            <w:r>
              <w:rPr>
                <w:rFonts w:eastAsiaTheme="minorEastAsia"/>
                <w:color w:val="000000" w:themeColor="text1"/>
                <w:szCs w:val="21"/>
              </w:rPr>
              <w:t>医疗保健</w:t>
            </w:r>
          </w:p>
        </w:tc>
        <w:tc>
          <w:tcPr>
            <w:tcW w:w="2551" w:type="dxa"/>
            <w:vAlign w:val="center"/>
          </w:tcPr>
          <w:p w:rsidR="004F7733" w:rsidRDefault="004F15FA">
            <w:pPr>
              <w:jc w:val="right"/>
            </w:pPr>
            <w:r>
              <w:rPr>
                <w:rFonts w:eastAsiaTheme="minorEastAsia"/>
                <w:color w:val="000000" w:themeColor="text1"/>
                <w:szCs w:val="21"/>
              </w:rPr>
              <w:t>-</w:t>
            </w:r>
          </w:p>
        </w:tc>
        <w:tc>
          <w:tcPr>
            <w:tcW w:w="3175" w:type="dxa"/>
            <w:vAlign w:val="center"/>
          </w:tcPr>
          <w:p w:rsidR="004F7733" w:rsidRDefault="004F15FA">
            <w:pPr>
              <w:jc w:val="right"/>
            </w:pPr>
            <w:r>
              <w:rPr>
                <w:rFonts w:eastAsiaTheme="minorEastAsia"/>
                <w:color w:val="000000" w:themeColor="text1"/>
                <w:szCs w:val="21"/>
              </w:rPr>
              <w:t>-</w:t>
            </w:r>
          </w:p>
        </w:tc>
      </w:tr>
      <w:tr w:rsidR="004F7733">
        <w:tc>
          <w:tcPr>
            <w:tcW w:w="2787" w:type="dxa"/>
            <w:vAlign w:val="center"/>
          </w:tcPr>
          <w:p w:rsidR="004F7733" w:rsidRDefault="004F15FA">
            <w:pPr>
              <w:jc w:val="left"/>
            </w:pPr>
            <w:r>
              <w:rPr>
                <w:rFonts w:eastAsiaTheme="minorEastAsia"/>
                <w:color w:val="000000" w:themeColor="text1"/>
                <w:szCs w:val="21"/>
              </w:rPr>
              <w:t>公用事业</w:t>
            </w:r>
          </w:p>
        </w:tc>
        <w:tc>
          <w:tcPr>
            <w:tcW w:w="2551" w:type="dxa"/>
            <w:vAlign w:val="center"/>
          </w:tcPr>
          <w:p w:rsidR="004F7733" w:rsidRDefault="004F15FA">
            <w:pPr>
              <w:jc w:val="right"/>
            </w:pPr>
            <w:r>
              <w:rPr>
                <w:rFonts w:eastAsiaTheme="minorEastAsia"/>
                <w:color w:val="000000" w:themeColor="text1"/>
                <w:szCs w:val="21"/>
              </w:rPr>
              <w:t>-</w:t>
            </w:r>
          </w:p>
        </w:tc>
        <w:tc>
          <w:tcPr>
            <w:tcW w:w="3175" w:type="dxa"/>
            <w:vAlign w:val="center"/>
          </w:tcPr>
          <w:p w:rsidR="004F7733" w:rsidRDefault="004F15FA">
            <w:pPr>
              <w:jc w:val="right"/>
            </w:pPr>
            <w:r>
              <w:rPr>
                <w:rFonts w:eastAsiaTheme="minorEastAsia"/>
                <w:color w:val="000000" w:themeColor="text1"/>
                <w:szCs w:val="21"/>
              </w:rPr>
              <w:t>-</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2,256,469,608.44</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92.73</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55"/>
        <w:gridCol w:w="1588"/>
        <w:gridCol w:w="923"/>
        <w:gridCol w:w="917"/>
        <w:gridCol w:w="504"/>
        <w:gridCol w:w="666"/>
        <w:gridCol w:w="1059"/>
        <w:gridCol w:w="1529"/>
        <w:gridCol w:w="872"/>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4F7733">
        <w:tc>
          <w:tcPr>
            <w:tcW w:w="0" w:type="auto"/>
            <w:vAlign w:val="center"/>
          </w:tcPr>
          <w:p w:rsidR="004F7733" w:rsidRDefault="004F15FA">
            <w:pPr>
              <w:jc w:val="center"/>
            </w:pPr>
            <w:r>
              <w:rPr>
                <w:rFonts w:eastAsiaTheme="minorEastAsia"/>
                <w:szCs w:val="21"/>
              </w:rPr>
              <w:t>1</w:t>
            </w:r>
          </w:p>
        </w:tc>
        <w:tc>
          <w:tcPr>
            <w:tcW w:w="0" w:type="auto"/>
            <w:vAlign w:val="center"/>
          </w:tcPr>
          <w:p w:rsidR="004F7733" w:rsidRDefault="004F15FA">
            <w:pPr>
              <w:jc w:val="center"/>
            </w:pPr>
            <w:r>
              <w:rPr>
                <w:rFonts w:eastAsiaTheme="minorEastAsia"/>
                <w:szCs w:val="21"/>
              </w:rPr>
              <w:t>Taiwan Semiconductor Manufacturing Co Ltd</w:t>
            </w:r>
          </w:p>
        </w:tc>
        <w:tc>
          <w:tcPr>
            <w:tcW w:w="0" w:type="auto"/>
            <w:vAlign w:val="center"/>
          </w:tcPr>
          <w:p w:rsidR="004F7733" w:rsidRDefault="004F15FA">
            <w:pPr>
              <w:jc w:val="center"/>
            </w:pPr>
            <w:r>
              <w:rPr>
                <w:rFonts w:eastAsiaTheme="minorEastAsia"/>
                <w:szCs w:val="21"/>
              </w:rPr>
              <w:t>台湾集成电路制造股份有限公司</w:t>
            </w:r>
          </w:p>
        </w:tc>
        <w:tc>
          <w:tcPr>
            <w:tcW w:w="0" w:type="auto"/>
            <w:vAlign w:val="center"/>
          </w:tcPr>
          <w:p w:rsidR="004F7733" w:rsidRDefault="004F15FA">
            <w:pPr>
              <w:jc w:val="center"/>
            </w:pPr>
            <w:r>
              <w:rPr>
                <w:rFonts w:eastAsiaTheme="minorEastAsia"/>
                <w:szCs w:val="21"/>
              </w:rPr>
              <w:t>2330</w:t>
            </w:r>
          </w:p>
        </w:tc>
        <w:tc>
          <w:tcPr>
            <w:tcW w:w="0" w:type="auto"/>
            <w:vAlign w:val="center"/>
          </w:tcPr>
          <w:p w:rsidR="004F7733" w:rsidRDefault="004F15FA">
            <w:pPr>
              <w:jc w:val="center"/>
            </w:pPr>
            <w:r>
              <w:rPr>
                <w:rFonts w:eastAsiaTheme="minorEastAsia"/>
                <w:szCs w:val="21"/>
              </w:rPr>
              <w:t>台湾交易所</w:t>
            </w:r>
          </w:p>
        </w:tc>
        <w:tc>
          <w:tcPr>
            <w:tcW w:w="0" w:type="auto"/>
            <w:vAlign w:val="center"/>
          </w:tcPr>
          <w:p w:rsidR="004F7733" w:rsidRDefault="004F15FA">
            <w:pPr>
              <w:jc w:val="center"/>
            </w:pPr>
            <w:r>
              <w:rPr>
                <w:rFonts w:eastAsiaTheme="minorEastAsia"/>
                <w:szCs w:val="21"/>
              </w:rPr>
              <w:t>中国台湾</w:t>
            </w:r>
          </w:p>
        </w:tc>
        <w:tc>
          <w:tcPr>
            <w:tcW w:w="0" w:type="auto"/>
            <w:vAlign w:val="center"/>
          </w:tcPr>
          <w:p w:rsidR="004F7733" w:rsidRDefault="004F15FA">
            <w:pPr>
              <w:jc w:val="right"/>
            </w:pPr>
            <w:r>
              <w:rPr>
                <w:rFonts w:eastAsiaTheme="minorEastAsia"/>
                <w:szCs w:val="21"/>
              </w:rPr>
              <w:t>1,009,000</w:t>
            </w:r>
          </w:p>
        </w:tc>
        <w:tc>
          <w:tcPr>
            <w:tcW w:w="0" w:type="auto"/>
            <w:vAlign w:val="center"/>
          </w:tcPr>
          <w:p w:rsidR="004F7733" w:rsidRDefault="004F15FA">
            <w:pPr>
              <w:jc w:val="right"/>
            </w:pPr>
            <w:r>
              <w:rPr>
                <w:rFonts w:eastAsiaTheme="minorEastAsia"/>
                <w:szCs w:val="21"/>
              </w:rPr>
              <w:t>237,828,173.96</w:t>
            </w:r>
          </w:p>
        </w:tc>
        <w:tc>
          <w:tcPr>
            <w:tcW w:w="0" w:type="auto"/>
            <w:vAlign w:val="center"/>
          </w:tcPr>
          <w:p w:rsidR="004F7733" w:rsidRDefault="004F15FA">
            <w:pPr>
              <w:jc w:val="right"/>
            </w:pPr>
            <w:r>
              <w:rPr>
                <w:rFonts w:eastAsiaTheme="minorEastAsia"/>
                <w:szCs w:val="21"/>
              </w:rPr>
              <w:t>9.77</w:t>
            </w:r>
          </w:p>
        </w:tc>
      </w:tr>
      <w:tr w:rsidR="004F7733">
        <w:tc>
          <w:tcPr>
            <w:tcW w:w="0" w:type="auto"/>
            <w:vAlign w:val="center"/>
          </w:tcPr>
          <w:p w:rsidR="004F7733" w:rsidRDefault="004F15FA">
            <w:pPr>
              <w:jc w:val="center"/>
            </w:pPr>
            <w:r>
              <w:rPr>
                <w:rFonts w:eastAsiaTheme="minorEastAsia"/>
                <w:szCs w:val="21"/>
              </w:rPr>
              <w:t>2</w:t>
            </w:r>
          </w:p>
        </w:tc>
        <w:tc>
          <w:tcPr>
            <w:tcW w:w="0" w:type="auto"/>
            <w:vAlign w:val="center"/>
          </w:tcPr>
          <w:p w:rsidR="004F7733" w:rsidRDefault="004F15FA">
            <w:pPr>
              <w:jc w:val="center"/>
            </w:pPr>
            <w:r>
              <w:rPr>
                <w:rFonts w:eastAsiaTheme="minorEastAsia"/>
                <w:szCs w:val="21"/>
              </w:rPr>
              <w:t>Tencent Holdings Ltd</w:t>
            </w:r>
          </w:p>
        </w:tc>
        <w:tc>
          <w:tcPr>
            <w:tcW w:w="0" w:type="auto"/>
            <w:vAlign w:val="center"/>
          </w:tcPr>
          <w:p w:rsidR="004F7733" w:rsidRDefault="004F15FA">
            <w:pPr>
              <w:jc w:val="center"/>
            </w:pPr>
            <w:r>
              <w:rPr>
                <w:rFonts w:eastAsiaTheme="minorEastAsia"/>
                <w:szCs w:val="21"/>
              </w:rPr>
              <w:t>腾讯控股有限公司</w:t>
            </w:r>
          </w:p>
        </w:tc>
        <w:tc>
          <w:tcPr>
            <w:tcW w:w="0" w:type="auto"/>
            <w:vAlign w:val="center"/>
          </w:tcPr>
          <w:p w:rsidR="004F7733" w:rsidRDefault="004F15FA">
            <w:pPr>
              <w:jc w:val="center"/>
            </w:pPr>
            <w:r>
              <w:rPr>
                <w:rFonts w:eastAsiaTheme="minorEastAsia"/>
                <w:szCs w:val="21"/>
              </w:rPr>
              <w:t>700</w:t>
            </w:r>
          </w:p>
        </w:tc>
        <w:tc>
          <w:tcPr>
            <w:tcW w:w="0" w:type="auto"/>
            <w:vAlign w:val="center"/>
          </w:tcPr>
          <w:p w:rsidR="004F7733" w:rsidRDefault="004F15FA">
            <w:pPr>
              <w:jc w:val="center"/>
            </w:pPr>
            <w:r>
              <w:rPr>
                <w:rFonts w:eastAsiaTheme="minorEastAsia"/>
                <w:szCs w:val="21"/>
              </w:rPr>
              <w:t>香港证券交易所</w:t>
            </w:r>
          </w:p>
        </w:tc>
        <w:tc>
          <w:tcPr>
            <w:tcW w:w="0" w:type="auto"/>
            <w:vAlign w:val="center"/>
          </w:tcPr>
          <w:p w:rsidR="004F7733" w:rsidRDefault="004F15FA">
            <w:pPr>
              <w:jc w:val="center"/>
            </w:pPr>
            <w:r>
              <w:rPr>
                <w:rFonts w:eastAsiaTheme="minorEastAsia"/>
                <w:szCs w:val="21"/>
              </w:rPr>
              <w:t>中国香港</w:t>
            </w:r>
          </w:p>
        </w:tc>
        <w:tc>
          <w:tcPr>
            <w:tcW w:w="0" w:type="auto"/>
            <w:vAlign w:val="center"/>
          </w:tcPr>
          <w:p w:rsidR="004F7733" w:rsidRDefault="004F15FA">
            <w:pPr>
              <w:jc w:val="right"/>
            </w:pPr>
            <w:r>
              <w:rPr>
                <w:rFonts w:eastAsiaTheme="minorEastAsia"/>
                <w:szCs w:val="21"/>
              </w:rPr>
              <w:t>407,800</w:t>
            </w:r>
          </w:p>
        </w:tc>
        <w:tc>
          <w:tcPr>
            <w:tcW w:w="0" w:type="auto"/>
            <w:vAlign w:val="center"/>
          </w:tcPr>
          <w:p w:rsidR="004F7733" w:rsidRDefault="004F15FA">
            <w:pPr>
              <w:jc w:val="right"/>
            </w:pPr>
            <w:r>
              <w:rPr>
                <w:rFonts w:eastAsiaTheme="minorEastAsia"/>
                <w:szCs w:val="21"/>
              </w:rPr>
              <w:t>157,475,509.70</w:t>
            </w:r>
          </w:p>
        </w:tc>
        <w:tc>
          <w:tcPr>
            <w:tcW w:w="0" w:type="auto"/>
            <w:vAlign w:val="center"/>
          </w:tcPr>
          <w:p w:rsidR="004F7733" w:rsidRDefault="004F15FA">
            <w:pPr>
              <w:jc w:val="right"/>
            </w:pPr>
            <w:r>
              <w:rPr>
                <w:rFonts w:eastAsiaTheme="minorEastAsia"/>
                <w:szCs w:val="21"/>
              </w:rPr>
              <w:t>6.47</w:t>
            </w:r>
          </w:p>
        </w:tc>
      </w:tr>
      <w:tr w:rsidR="004F7733">
        <w:tc>
          <w:tcPr>
            <w:tcW w:w="0" w:type="auto"/>
            <w:vAlign w:val="center"/>
          </w:tcPr>
          <w:p w:rsidR="004F7733" w:rsidRDefault="004F15FA">
            <w:pPr>
              <w:jc w:val="center"/>
            </w:pPr>
            <w:r>
              <w:rPr>
                <w:rFonts w:eastAsiaTheme="minorEastAsia"/>
                <w:szCs w:val="21"/>
              </w:rPr>
              <w:t>3</w:t>
            </w:r>
          </w:p>
        </w:tc>
        <w:tc>
          <w:tcPr>
            <w:tcW w:w="0" w:type="auto"/>
            <w:vAlign w:val="center"/>
          </w:tcPr>
          <w:p w:rsidR="004F7733" w:rsidRDefault="004F15FA">
            <w:pPr>
              <w:jc w:val="center"/>
            </w:pPr>
            <w:r>
              <w:rPr>
                <w:rFonts w:eastAsiaTheme="minorEastAsia"/>
                <w:szCs w:val="21"/>
              </w:rPr>
              <w:t>Samsung Electronics Co Ltd</w:t>
            </w:r>
          </w:p>
        </w:tc>
        <w:tc>
          <w:tcPr>
            <w:tcW w:w="0" w:type="auto"/>
            <w:vAlign w:val="center"/>
          </w:tcPr>
          <w:p w:rsidR="004F7733" w:rsidRDefault="004F15FA">
            <w:pPr>
              <w:jc w:val="center"/>
            </w:pPr>
            <w:r>
              <w:rPr>
                <w:rFonts w:eastAsiaTheme="minorEastAsia"/>
                <w:szCs w:val="21"/>
              </w:rPr>
              <w:t>三星电子有限公司</w:t>
            </w:r>
          </w:p>
        </w:tc>
        <w:tc>
          <w:tcPr>
            <w:tcW w:w="0" w:type="auto"/>
            <w:vAlign w:val="center"/>
          </w:tcPr>
          <w:p w:rsidR="004F7733" w:rsidRDefault="004F15FA">
            <w:pPr>
              <w:jc w:val="center"/>
            </w:pPr>
            <w:r>
              <w:rPr>
                <w:rFonts w:eastAsiaTheme="minorEastAsia"/>
                <w:szCs w:val="21"/>
              </w:rPr>
              <w:t>005930</w:t>
            </w:r>
          </w:p>
        </w:tc>
        <w:tc>
          <w:tcPr>
            <w:tcW w:w="0" w:type="auto"/>
            <w:vAlign w:val="center"/>
          </w:tcPr>
          <w:p w:rsidR="004F7733" w:rsidRDefault="004F15FA">
            <w:pPr>
              <w:jc w:val="center"/>
            </w:pPr>
            <w:r>
              <w:rPr>
                <w:rFonts w:eastAsiaTheme="minorEastAsia"/>
                <w:szCs w:val="21"/>
              </w:rPr>
              <w:t>韩国证券交易所</w:t>
            </w:r>
          </w:p>
        </w:tc>
        <w:tc>
          <w:tcPr>
            <w:tcW w:w="0" w:type="auto"/>
            <w:vAlign w:val="center"/>
          </w:tcPr>
          <w:p w:rsidR="004F7733" w:rsidRDefault="004F15FA">
            <w:pPr>
              <w:jc w:val="center"/>
            </w:pPr>
            <w:r>
              <w:rPr>
                <w:rFonts w:eastAsiaTheme="minorEastAsia"/>
                <w:szCs w:val="21"/>
              </w:rPr>
              <w:t>韩国</w:t>
            </w:r>
          </w:p>
        </w:tc>
        <w:tc>
          <w:tcPr>
            <w:tcW w:w="0" w:type="auto"/>
            <w:vAlign w:val="center"/>
          </w:tcPr>
          <w:p w:rsidR="004F7733" w:rsidRDefault="004F15FA">
            <w:pPr>
              <w:jc w:val="right"/>
            </w:pPr>
            <w:r>
              <w:rPr>
                <w:rFonts w:eastAsiaTheme="minorEastAsia"/>
                <w:szCs w:val="21"/>
              </w:rPr>
              <w:t>364,046</w:t>
            </w:r>
          </w:p>
        </w:tc>
        <w:tc>
          <w:tcPr>
            <w:tcW w:w="0" w:type="auto"/>
            <w:vAlign w:val="center"/>
          </w:tcPr>
          <w:p w:rsidR="004F7733" w:rsidRDefault="004F15FA">
            <w:pPr>
              <w:jc w:val="right"/>
            </w:pPr>
            <w:r>
              <w:rPr>
                <w:rFonts w:eastAsiaTheme="minorEastAsia"/>
                <w:szCs w:val="21"/>
              </w:rPr>
              <w:t>94,568,840.71</w:t>
            </w:r>
          </w:p>
        </w:tc>
        <w:tc>
          <w:tcPr>
            <w:tcW w:w="0" w:type="auto"/>
            <w:vAlign w:val="center"/>
          </w:tcPr>
          <w:p w:rsidR="004F7733" w:rsidRDefault="004F15FA">
            <w:pPr>
              <w:jc w:val="right"/>
            </w:pPr>
            <w:r>
              <w:rPr>
                <w:rFonts w:eastAsiaTheme="minorEastAsia"/>
                <w:szCs w:val="21"/>
              </w:rPr>
              <w:t>3.89</w:t>
            </w:r>
          </w:p>
        </w:tc>
      </w:tr>
      <w:tr w:rsidR="004F7733">
        <w:tc>
          <w:tcPr>
            <w:tcW w:w="0" w:type="auto"/>
            <w:vAlign w:val="center"/>
          </w:tcPr>
          <w:p w:rsidR="004F7733" w:rsidRDefault="004F15FA">
            <w:pPr>
              <w:jc w:val="center"/>
            </w:pPr>
            <w:r>
              <w:rPr>
                <w:rFonts w:eastAsiaTheme="minorEastAsia"/>
                <w:szCs w:val="21"/>
              </w:rPr>
              <w:t>4</w:t>
            </w:r>
          </w:p>
        </w:tc>
        <w:tc>
          <w:tcPr>
            <w:tcW w:w="0" w:type="auto"/>
            <w:vAlign w:val="center"/>
          </w:tcPr>
          <w:p w:rsidR="004F7733" w:rsidRDefault="004F15FA">
            <w:pPr>
              <w:jc w:val="center"/>
            </w:pPr>
            <w:r>
              <w:rPr>
                <w:rFonts w:eastAsiaTheme="minorEastAsia"/>
                <w:szCs w:val="21"/>
              </w:rPr>
              <w:t>Alibaba Group Holding Ltd</w:t>
            </w:r>
          </w:p>
        </w:tc>
        <w:tc>
          <w:tcPr>
            <w:tcW w:w="0" w:type="auto"/>
            <w:vAlign w:val="center"/>
          </w:tcPr>
          <w:p w:rsidR="004F7733" w:rsidRDefault="004F15FA">
            <w:pPr>
              <w:jc w:val="center"/>
            </w:pPr>
            <w:r>
              <w:rPr>
                <w:rFonts w:eastAsiaTheme="minorEastAsia"/>
                <w:szCs w:val="21"/>
              </w:rPr>
              <w:t>阿里巴巴集团控股有限公司</w:t>
            </w:r>
          </w:p>
        </w:tc>
        <w:tc>
          <w:tcPr>
            <w:tcW w:w="0" w:type="auto"/>
            <w:vAlign w:val="center"/>
          </w:tcPr>
          <w:p w:rsidR="004F7733" w:rsidRDefault="004F15FA">
            <w:pPr>
              <w:jc w:val="center"/>
            </w:pPr>
            <w:r>
              <w:rPr>
                <w:rFonts w:eastAsiaTheme="minorEastAsia"/>
                <w:szCs w:val="21"/>
              </w:rPr>
              <w:t>9988</w:t>
            </w:r>
          </w:p>
        </w:tc>
        <w:tc>
          <w:tcPr>
            <w:tcW w:w="0" w:type="auto"/>
            <w:vAlign w:val="center"/>
          </w:tcPr>
          <w:p w:rsidR="004F7733" w:rsidRDefault="004F15FA">
            <w:pPr>
              <w:jc w:val="center"/>
            </w:pPr>
            <w:r>
              <w:rPr>
                <w:rFonts w:eastAsiaTheme="minorEastAsia"/>
                <w:szCs w:val="21"/>
              </w:rPr>
              <w:t>香港证券交易所</w:t>
            </w:r>
          </w:p>
        </w:tc>
        <w:tc>
          <w:tcPr>
            <w:tcW w:w="0" w:type="auto"/>
            <w:vAlign w:val="center"/>
          </w:tcPr>
          <w:p w:rsidR="004F7733" w:rsidRDefault="004F15FA">
            <w:pPr>
              <w:jc w:val="center"/>
            </w:pPr>
            <w:r>
              <w:rPr>
                <w:rFonts w:eastAsiaTheme="minorEastAsia"/>
                <w:szCs w:val="21"/>
              </w:rPr>
              <w:t>中国香港</w:t>
            </w:r>
          </w:p>
        </w:tc>
        <w:tc>
          <w:tcPr>
            <w:tcW w:w="0" w:type="auto"/>
            <w:vAlign w:val="center"/>
          </w:tcPr>
          <w:p w:rsidR="004F7733" w:rsidRDefault="004F15FA">
            <w:pPr>
              <w:jc w:val="right"/>
            </w:pPr>
            <w:r>
              <w:rPr>
                <w:rFonts w:eastAsiaTheme="minorEastAsia"/>
                <w:szCs w:val="21"/>
              </w:rPr>
              <w:t>1,155,600</w:t>
            </w:r>
          </w:p>
        </w:tc>
        <w:tc>
          <w:tcPr>
            <w:tcW w:w="0" w:type="auto"/>
            <w:vAlign w:val="center"/>
          </w:tcPr>
          <w:p w:rsidR="004F7733" w:rsidRDefault="004F15FA">
            <w:pPr>
              <w:jc w:val="right"/>
            </w:pPr>
            <w:r>
              <w:rPr>
                <w:rFonts w:eastAsiaTheme="minorEastAsia"/>
                <w:szCs w:val="21"/>
              </w:rPr>
              <w:t>88,178,862.30</w:t>
            </w:r>
          </w:p>
        </w:tc>
        <w:tc>
          <w:tcPr>
            <w:tcW w:w="0" w:type="auto"/>
            <w:vAlign w:val="center"/>
          </w:tcPr>
          <w:p w:rsidR="004F7733" w:rsidRDefault="004F15FA">
            <w:pPr>
              <w:jc w:val="right"/>
            </w:pPr>
            <w:r>
              <w:rPr>
                <w:rFonts w:eastAsiaTheme="minorEastAsia"/>
                <w:szCs w:val="21"/>
              </w:rPr>
              <w:t>3.62</w:t>
            </w:r>
          </w:p>
        </w:tc>
      </w:tr>
      <w:tr w:rsidR="004F7733">
        <w:tc>
          <w:tcPr>
            <w:tcW w:w="0" w:type="auto"/>
            <w:vAlign w:val="center"/>
          </w:tcPr>
          <w:p w:rsidR="004F7733" w:rsidRDefault="004F15FA">
            <w:pPr>
              <w:jc w:val="center"/>
            </w:pPr>
            <w:r>
              <w:rPr>
                <w:rFonts w:eastAsiaTheme="minorEastAsia"/>
                <w:szCs w:val="21"/>
              </w:rPr>
              <w:t>5</w:t>
            </w:r>
          </w:p>
        </w:tc>
        <w:tc>
          <w:tcPr>
            <w:tcW w:w="0" w:type="auto"/>
            <w:vAlign w:val="center"/>
          </w:tcPr>
          <w:p w:rsidR="004F7733" w:rsidRDefault="004F15FA">
            <w:pPr>
              <w:jc w:val="center"/>
            </w:pPr>
            <w:r>
              <w:rPr>
                <w:rFonts w:eastAsiaTheme="minorEastAsia"/>
                <w:szCs w:val="21"/>
              </w:rPr>
              <w:t>Yum China Holdings Inc</w:t>
            </w:r>
          </w:p>
        </w:tc>
        <w:tc>
          <w:tcPr>
            <w:tcW w:w="0" w:type="auto"/>
            <w:vAlign w:val="center"/>
          </w:tcPr>
          <w:p w:rsidR="004F7733" w:rsidRDefault="004F15FA">
            <w:pPr>
              <w:jc w:val="center"/>
            </w:pPr>
            <w:r>
              <w:rPr>
                <w:rFonts w:eastAsiaTheme="minorEastAsia"/>
                <w:szCs w:val="21"/>
              </w:rPr>
              <w:t>百胜中国控股有限公</w:t>
            </w:r>
            <w:r>
              <w:rPr>
                <w:rFonts w:eastAsiaTheme="minorEastAsia"/>
                <w:szCs w:val="21"/>
              </w:rPr>
              <w:lastRenderedPageBreak/>
              <w:t>司</w:t>
            </w:r>
          </w:p>
        </w:tc>
        <w:tc>
          <w:tcPr>
            <w:tcW w:w="0" w:type="auto"/>
            <w:vAlign w:val="center"/>
          </w:tcPr>
          <w:p w:rsidR="004F7733" w:rsidRDefault="004F15FA">
            <w:pPr>
              <w:jc w:val="center"/>
            </w:pPr>
            <w:r>
              <w:rPr>
                <w:rFonts w:eastAsiaTheme="minorEastAsia"/>
                <w:szCs w:val="21"/>
              </w:rPr>
              <w:lastRenderedPageBreak/>
              <w:t>9987</w:t>
            </w:r>
          </w:p>
        </w:tc>
        <w:tc>
          <w:tcPr>
            <w:tcW w:w="0" w:type="auto"/>
            <w:vAlign w:val="center"/>
          </w:tcPr>
          <w:p w:rsidR="004F7733" w:rsidRDefault="004F15FA">
            <w:pPr>
              <w:jc w:val="center"/>
            </w:pPr>
            <w:r>
              <w:rPr>
                <w:rFonts w:eastAsiaTheme="minorEastAsia"/>
                <w:szCs w:val="21"/>
              </w:rPr>
              <w:t>香港证</w:t>
            </w:r>
            <w:r>
              <w:rPr>
                <w:rFonts w:eastAsiaTheme="minorEastAsia"/>
                <w:szCs w:val="21"/>
              </w:rPr>
              <w:lastRenderedPageBreak/>
              <w:t>券交易所</w:t>
            </w:r>
          </w:p>
        </w:tc>
        <w:tc>
          <w:tcPr>
            <w:tcW w:w="0" w:type="auto"/>
            <w:vAlign w:val="center"/>
          </w:tcPr>
          <w:p w:rsidR="004F7733" w:rsidRDefault="004F15FA">
            <w:pPr>
              <w:jc w:val="center"/>
            </w:pPr>
            <w:r>
              <w:rPr>
                <w:rFonts w:eastAsiaTheme="minorEastAsia"/>
                <w:szCs w:val="21"/>
              </w:rPr>
              <w:lastRenderedPageBreak/>
              <w:t>中国香港</w:t>
            </w:r>
          </w:p>
        </w:tc>
        <w:tc>
          <w:tcPr>
            <w:tcW w:w="0" w:type="auto"/>
            <w:vAlign w:val="center"/>
          </w:tcPr>
          <w:p w:rsidR="004F7733" w:rsidRDefault="004F15FA">
            <w:pPr>
              <w:jc w:val="right"/>
            </w:pPr>
            <w:r>
              <w:rPr>
                <w:rFonts w:eastAsiaTheme="minorEastAsia"/>
                <w:szCs w:val="21"/>
              </w:rPr>
              <w:t>182,150</w:t>
            </w:r>
          </w:p>
        </w:tc>
        <w:tc>
          <w:tcPr>
            <w:tcW w:w="0" w:type="auto"/>
            <w:vAlign w:val="center"/>
          </w:tcPr>
          <w:p w:rsidR="004F7733" w:rsidRDefault="004F15FA">
            <w:pPr>
              <w:jc w:val="right"/>
            </w:pPr>
            <w:r>
              <w:rPr>
                <w:rFonts w:eastAsiaTheme="minorEastAsia"/>
                <w:szCs w:val="21"/>
              </w:rPr>
              <w:t>63,119,377.20</w:t>
            </w:r>
          </w:p>
        </w:tc>
        <w:tc>
          <w:tcPr>
            <w:tcW w:w="0" w:type="auto"/>
            <w:vAlign w:val="center"/>
          </w:tcPr>
          <w:p w:rsidR="004F7733" w:rsidRDefault="004F15FA">
            <w:pPr>
              <w:jc w:val="right"/>
            </w:pPr>
            <w:r>
              <w:rPr>
                <w:rFonts w:eastAsiaTheme="minorEastAsia"/>
                <w:szCs w:val="21"/>
              </w:rPr>
              <w:t>2.59</w:t>
            </w:r>
          </w:p>
        </w:tc>
      </w:tr>
      <w:tr w:rsidR="004F7733">
        <w:tc>
          <w:tcPr>
            <w:tcW w:w="0" w:type="auto"/>
            <w:vAlign w:val="center"/>
          </w:tcPr>
          <w:p w:rsidR="004F7733" w:rsidRDefault="004F15FA">
            <w:pPr>
              <w:jc w:val="center"/>
            </w:pPr>
            <w:r>
              <w:rPr>
                <w:rFonts w:eastAsiaTheme="minorEastAsia"/>
                <w:szCs w:val="21"/>
              </w:rPr>
              <w:t>6</w:t>
            </w:r>
          </w:p>
        </w:tc>
        <w:tc>
          <w:tcPr>
            <w:tcW w:w="0" w:type="auto"/>
            <w:vAlign w:val="center"/>
          </w:tcPr>
          <w:p w:rsidR="004F7733" w:rsidRDefault="004F15FA">
            <w:pPr>
              <w:jc w:val="center"/>
            </w:pPr>
            <w:r>
              <w:rPr>
                <w:rFonts w:eastAsiaTheme="minorEastAsia"/>
                <w:szCs w:val="21"/>
              </w:rPr>
              <w:t>HDFC Bank Ltd</w:t>
            </w:r>
          </w:p>
        </w:tc>
        <w:tc>
          <w:tcPr>
            <w:tcW w:w="0" w:type="auto"/>
            <w:vAlign w:val="center"/>
          </w:tcPr>
          <w:p w:rsidR="004F7733" w:rsidRDefault="004F15FA">
            <w:pPr>
              <w:jc w:val="center"/>
            </w:pPr>
            <w:r>
              <w:rPr>
                <w:rFonts w:eastAsiaTheme="minorEastAsia"/>
                <w:szCs w:val="21"/>
              </w:rPr>
              <w:t>HDFC</w:t>
            </w:r>
            <w:r>
              <w:rPr>
                <w:rFonts w:eastAsiaTheme="minorEastAsia"/>
                <w:szCs w:val="21"/>
              </w:rPr>
              <w:t>银行有限公司</w:t>
            </w:r>
          </w:p>
        </w:tc>
        <w:tc>
          <w:tcPr>
            <w:tcW w:w="0" w:type="auto"/>
            <w:vAlign w:val="center"/>
          </w:tcPr>
          <w:p w:rsidR="004F7733" w:rsidRDefault="004F15FA">
            <w:pPr>
              <w:jc w:val="center"/>
            </w:pPr>
            <w:r>
              <w:rPr>
                <w:rFonts w:eastAsiaTheme="minorEastAsia"/>
                <w:szCs w:val="21"/>
              </w:rPr>
              <w:t>HDFCB</w:t>
            </w:r>
          </w:p>
        </w:tc>
        <w:tc>
          <w:tcPr>
            <w:tcW w:w="0" w:type="auto"/>
            <w:vAlign w:val="center"/>
          </w:tcPr>
          <w:p w:rsidR="004F7733" w:rsidRDefault="004F15FA">
            <w:pPr>
              <w:jc w:val="center"/>
            </w:pPr>
            <w:r>
              <w:rPr>
                <w:rFonts w:eastAsiaTheme="minorEastAsia"/>
                <w:szCs w:val="21"/>
              </w:rPr>
              <w:t>印度证券交易所</w:t>
            </w:r>
          </w:p>
        </w:tc>
        <w:tc>
          <w:tcPr>
            <w:tcW w:w="0" w:type="auto"/>
            <w:vAlign w:val="center"/>
          </w:tcPr>
          <w:p w:rsidR="004F7733" w:rsidRDefault="004F15FA">
            <w:pPr>
              <w:jc w:val="center"/>
            </w:pPr>
            <w:r>
              <w:rPr>
                <w:rFonts w:eastAsiaTheme="minorEastAsia"/>
                <w:szCs w:val="21"/>
              </w:rPr>
              <w:t>印度</w:t>
            </w:r>
          </w:p>
        </w:tc>
        <w:tc>
          <w:tcPr>
            <w:tcW w:w="0" w:type="auto"/>
            <w:vAlign w:val="center"/>
          </w:tcPr>
          <w:p w:rsidR="004F7733" w:rsidRDefault="004F15FA">
            <w:pPr>
              <w:jc w:val="right"/>
            </w:pPr>
            <w:r>
              <w:rPr>
                <w:rFonts w:eastAsiaTheme="minorEastAsia"/>
                <w:szCs w:val="21"/>
              </w:rPr>
              <w:t>397,447</w:t>
            </w:r>
          </w:p>
        </w:tc>
        <w:tc>
          <w:tcPr>
            <w:tcW w:w="0" w:type="auto"/>
            <w:vAlign w:val="center"/>
          </w:tcPr>
          <w:p w:rsidR="004F7733" w:rsidRDefault="004F15FA">
            <w:pPr>
              <w:jc w:val="right"/>
            </w:pPr>
            <w:r>
              <w:rPr>
                <w:rFonts w:eastAsiaTheme="minorEastAsia"/>
                <w:szCs w:val="21"/>
              </w:rPr>
              <w:t>59,161,602.62</w:t>
            </w:r>
          </w:p>
        </w:tc>
        <w:tc>
          <w:tcPr>
            <w:tcW w:w="0" w:type="auto"/>
            <w:vAlign w:val="center"/>
          </w:tcPr>
          <w:p w:rsidR="004F7733" w:rsidRDefault="004F15FA">
            <w:pPr>
              <w:jc w:val="right"/>
            </w:pPr>
            <w:r>
              <w:rPr>
                <w:rFonts w:eastAsiaTheme="minorEastAsia"/>
                <w:szCs w:val="21"/>
              </w:rPr>
              <w:t>2.43</w:t>
            </w:r>
          </w:p>
        </w:tc>
      </w:tr>
      <w:tr w:rsidR="004F7733">
        <w:tc>
          <w:tcPr>
            <w:tcW w:w="0" w:type="auto"/>
            <w:vAlign w:val="center"/>
          </w:tcPr>
          <w:p w:rsidR="004F7733" w:rsidRDefault="004F15FA">
            <w:pPr>
              <w:jc w:val="center"/>
            </w:pPr>
            <w:r>
              <w:rPr>
                <w:rFonts w:eastAsiaTheme="minorEastAsia"/>
                <w:szCs w:val="21"/>
              </w:rPr>
              <w:t>7</w:t>
            </w:r>
          </w:p>
        </w:tc>
        <w:tc>
          <w:tcPr>
            <w:tcW w:w="0" w:type="auto"/>
            <w:vAlign w:val="center"/>
          </w:tcPr>
          <w:p w:rsidR="004F7733" w:rsidRDefault="004F15FA">
            <w:pPr>
              <w:jc w:val="center"/>
            </w:pPr>
            <w:r>
              <w:rPr>
                <w:rFonts w:eastAsiaTheme="minorEastAsia"/>
                <w:szCs w:val="21"/>
              </w:rPr>
              <w:t>Infosys Ltd</w:t>
            </w:r>
          </w:p>
        </w:tc>
        <w:tc>
          <w:tcPr>
            <w:tcW w:w="0" w:type="auto"/>
            <w:vAlign w:val="center"/>
          </w:tcPr>
          <w:p w:rsidR="004F7733" w:rsidRDefault="004F15FA">
            <w:pPr>
              <w:jc w:val="center"/>
            </w:pPr>
            <w:r>
              <w:rPr>
                <w:rFonts w:eastAsiaTheme="minorEastAsia"/>
                <w:szCs w:val="21"/>
              </w:rPr>
              <w:t>Infosys</w:t>
            </w:r>
            <w:r>
              <w:rPr>
                <w:rFonts w:eastAsiaTheme="minorEastAsia"/>
                <w:szCs w:val="21"/>
              </w:rPr>
              <w:t>科技有限公司</w:t>
            </w:r>
          </w:p>
        </w:tc>
        <w:tc>
          <w:tcPr>
            <w:tcW w:w="0" w:type="auto"/>
            <w:vAlign w:val="center"/>
          </w:tcPr>
          <w:p w:rsidR="004F7733" w:rsidRDefault="004F15FA">
            <w:pPr>
              <w:jc w:val="center"/>
            </w:pPr>
            <w:r>
              <w:rPr>
                <w:rFonts w:eastAsiaTheme="minorEastAsia"/>
                <w:szCs w:val="21"/>
              </w:rPr>
              <w:t>INFO</w:t>
            </w:r>
          </w:p>
        </w:tc>
        <w:tc>
          <w:tcPr>
            <w:tcW w:w="0" w:type="auto"/>
            <w:vAlign w:val="center"/>
          </w:tcPr>
          <w:p w:rsidR="004F7733" w:rsidRDefault="004F15FA">
            <w:pPr>
              <w:jc w:val="center"/>
            </w:pPr>
            <w:r>
              <w:rPr>
                <w:rFonts w:eastAsiaTheme="minorEastAsia"/>
                <w:szCs w:val="21"/>
              </w:rPr>
              <w:t>印度证券交易所</w:t>
            </w:r>
          </w:p>
        </w:tc>
        <w:tc>
          <w:tcPr>
            <w:tcW w:w="0" w:type="auto"/>
            <w:vAlign w:val="center"/>
          </w:tcPr>
          <w:p w:rsidR="004F7733" w:rsidRDefault="004F15FA">
            <w:pPr>
              <w:jc w:val="center"/>
            </w:pPr>
            <w:r>
              <w:rPr>
                <w:rFonts w:eastAsiaTheme="minorEastAsia"/>
                <w:szCs w:val="21"/>
              </w:rPr>
              <w:t>印度</w:t>
            </w:r>
          </w:p>
        </w:tc>
        <w:tc>
          <w:tcPr>
            <w:tcW w:w="0" w:type="auto"/>
            <w:vAlign w:val="center"/>
          </w:tcPr>
          <w:p w:rsidR="004F7733" w:rsidRDefault="004F15FA">
            <w:pPr>
              <w:jc w:val="right"/>
            </w:pPr>
            <w:r>
              <w:rPr>
                <w:rFonts w:eastAsiaTheme="minorEastAsia"/>
                <w:szCs w:val="21"/>
              </w:rPr>
              <w:t>369,960</w:t>
            </w:r>
          </w:p>
        </w:tc>
        <w:tc>
          <w:tcPr>
            <w:tcW w:w="0" w:type="auto"/>
            <w:vAlign w:val="center"/>
          </w:tcPr>
          <w:p w:rsidR="004F7733" w:rsidRDefault="004F15FA">
            <w:pPr>
              <w:jc w:val="right"/>
            </w:pPr>
            <w:r>
              <w:rPr>
                <w:rFonts w:eastAsiaTheme="minorEastAsia"/>
                <w:szCs w:val="21"/>
              </w:rPr>
              <w:t>58,398,452.00</w:t>
            </w:r>
          </w:p>
        </w:tc>
        <w:tc>
          <w:tcPr>
            <w:tcW w:w="0" w:type="auto"/>
            <w:vAlign w:val="center"/>
          </w:tcPr>
          <w:p w:rsidR="004F7733" w:rsidRDefault="004F15FA">
            <w:pPr>
              <w:jc w:val="right"/>
            </w:pPr>
            <w:r>
              <w:rPr>
                <w:rFonts w:eastAsiaTheme="minorEastAsia"/>
                <w:szCs w:val="21"/>
              </w:rPr>
              <w:t>2.40</w:t>
            </w:r>
          </w:p>
        </w:tc>
      </w:tr>
      <w:tr w:rsidR="004F7733">
        <w:tc>
          <w:tcPr>
            <w:tcW w:w="0" w:type="auto"/>
            <w:vAlign w:val="center"/>
          </w:tcPr>
          <w:p w:rsidR="004F7733" w:rsidRDefault="004F15FA">
            <w:pPr>
              <w:jc w:val="center"/>
            </w:pPr>
            <w:r>
              <w:rPr>
                <w:rFonts w:eastAsiaTheme="minorEastAsia"/>
                <w:szCs w:val="21"/>
              </w:rPr>
              <w:t>8</w:t>
            </w:r>
          </w:p>
        </w:tc>
        <w:tc>
          <w:tcPr>
            <w:tcW w:w="0" w:type="auto"/>
            <w:vAlign w:val="center"/>
          </w:tcPr>
          <w:p w:rsidR="004F7733" w:rsidRDefault="004F15FA">
            <w:pPr>
              <w:jc w:val="center"/>
            </w:pPr>
            <w:r>
              <w:rPr>
                <w:rFonts w:eastAsiaTheme="minorEastAsia"/>
                <w:szCs w:val="21"/>
              </w:rPr>
              <w:t>AIA Group Ltd</w:t>
            </w:r>
          </w:p>
        </w:tc>
        <w:tc>
          <w:tcPr>
            <w:tcW w:w="0" w:type="auto"/>
            <w:vAlign w:val="center"/>
          </w:tcPr>
          <w:p w:rsidR="004F7733" w:rsidRDefault="004F15FA">
            <w:pPr>
              <w:jc w:val="center"/>
            </w:pPr>
            <w:r>
              <w:rPr>
                <w:rFonts w:eastAsiaTheme="minorEastAsia"/>
                <w:szCs w:val="21"/>
              </w:rPr>
              <w:t>友邦保险控股有限公司</w:t>
            </w:r>
          </w:p>
        </w:tc>
        <w:tc>
          <w:tcPr>
            <w:tcW w:w="0" w:type="auto"/>
            <w:vAlign w:val="center"/>
          </w:tcPr>
          <w:p w:rsidR="004F7733" w:rsidRDefault="004F15FA">
            <w:pPr>
              <w:jc w:val="center"/>
            </w:pPr>
            <w:r>
              <w:rPr>
                <w:rFonts w:eastAsiaTheme="minorEastAsia"/>
                <w:szCs w:val="21"/>
              </w:rPr>
              <w:t>1299</w:t>
            </w:r>
          </w:p>
        </w:tc>
        <w:tc>
          <w:tcPr>
            <w:tcW w:w="0" w:type="auto"/>
            <w:vAlign w:val="center"/>
          </w:tcPr>
          <w:p w:rsidR="004F7733" w:rsidRDefault="004F15FA">
            <w:pPr>
              <w:jc w:val="center"/>
            </w:pPr>
            <w:r>
              <w:rPr>
                <w:rFonts w:eastAsiaTheme="minorEastAsia"/>
                <w:szCs w:val="21"/>
              </w:rPr>
              <w:t>香港证券交易所</w:t>
            </w:r>
          </w:p>
        </w:tc>
        <w:tc>
          <w:tcPr>
            <w:tcW w:w="0" w:type="auto"/>
            <w:vAlign w:val="center"/>
          </w:tcPr>
          <w:p w:rsidR="004F7733" w:rsidRDefault="004F15FA">
            <w:pPr>
              <w:jc w:val="center"/>
            </w:pPr>
            <w:r>
              <w:rPr>
                <w:rFonts w:eastAsiaTheme="minorEastAsia"/>
                <w:szCs w:val="21"/>
              </w:rPr>
              <w:t>中国香港</w:t>
            </w:r>
          </w:p>
        </w:tc>
        <w:tc>
          <w:tcPr>
            <w:tcW w:w="0" w:type="auto"/>
            <w:vAlign w:val="center"/>
          </w:tcPr>
          <w:p w:rsidR="004F7733" w:rsidRDefault="004F15FA">
            <w:pPr>
              <w:jc w:val="right"/>
            </w:pPr>
            <w:r>
              <w:rPr>
                <w:rFonts w:eastAsiaTheme="minorEastAsia"/>
                <w:szCs w:val="21"/>
              </w:rPr>
              <w:t>1,117,000</w:t>
            </w:r>
          </w:p>
        </w:tc>
        <w:tc>
          <w:tcPr>
            <w:tcW w:w="0" w:type="auto"/>
            <w:vAlign w:val="center"/>
          </w:tcPr>
          <w:p w:rsidR="004F7733" w:rsidRDefault="004F15FA">
            <w:pPr>
              <w:jc w:val="right"/>
            </w:pPr>
            <w:r>
              <w:rPr>
                <w:rFonts w:eastAsiaTheme="minorEastAsia"/>
                <w:szCs w:val="21"/>
              </w:rPr>
              <w:t>58,235,970.08</w:t>
            </w:r>
          </w:p>
        </w:tc>
        <w:tc>
          <w:tcPr>
            <w:tcW w:w="0" w:type="auto"/>
            <w:vAlign w:val="center"/>
          </w:tcPr>
          <w:p w:rsidR="004F7733" w:rsidRDefault="004F15FA">
            <w:pPr>
              <w:jc w:val="right"/>
            </w:pPr>
            <w:r>
              <w:rPr>
                <w:rFonts w:eastAsiaTheme="minorEastAsia"/>
                <w:szCs w:val="21"/>
              </w:rPr>
              <w:t>2.39</w:t>
            </w:r>
          </w:p>
        </w:tc>
      </w:tr>
      <w:tr w:rsidR="004F7733">
        <w:tc>
          <w:tcPr>
            <w:tcW w:w="0" w:type="auto"/>
            <w:vAlign w:val="center"/>
          </w:tcPr>
          <w:p w:rsidR="004F7733" w:rsidRDefault="004F15FA">
            <w:pPr>
              <w:jc w:val="center"/>
            </w:pPr>
            <w:r>
              <w:rPr>
                <w:rFonts w:eastAsiaTheme="minorEastAsia"/>
                <w:szCs w:val="21"/>
              </w:rPr>
              <w:t>9</w:t>
            </w:r>
          </w:p>
        </w:tc>
        <w:tc>
          <w:tcPr>
            <w:tcW w:w="0" w:type="auto"/>
            <w:vAlign w:val="center"/>
          </w:tcPr>
          <w:p w:rsidR="004F7733" w:rsidRDefault="004F15FA">
            <w:pPr>
              <w:jc w:val="center"/>
            </w:pPr>
            <w:r>
              <w:rPr>
                <w:rFonts w:eastAsiaTheme="minorEastAsia"/>
                <w:szCs w:val="21"/>
              </w:rPr>
              <w:t>Telstra Group Ltd</w:t>
            </w:r>
          </w:p>
        </w:tc>
        <w:tc>
          <w:tcPr>
            <w:tcW w:w="0" w:type="auto"/>
            <w:vAlign w:val="center"/>
          </w:tcPr>
          <w:p w:rsidR="004F7733" w:rsidRDefault="004F15FA">
            <w:pPr>
              <w:jc w:val="center"/>
            </w:pPr>
            <w:r>
              <w:rPr>
                <w:rFonts w:eastAsiaTheme="minorEastAsia"/>
                <w:szCs w:val="21"/>
              </w:rPr>
              <w:t>澳大利亚电信集团有限公司</w:t>
            </w:r>
          </w:p>
        </w:tc>
        <w:tc>
          <w:tcPr>
            <w:tcW w:w="0" w:type="auto"/>
            <w:vAlign w:val="center"/>
          </w:tcPr>
          <w:p w:rsidR="004F7733" w:rsidRDefault="004F15FA">
            <w:pPr>
              <w:jc w:val="center"/>
            </w:pPr>
            <w:r>
              <w:rPr>
                <w:rFonts w:eastAsiaTheme="minorEastAsia"/>
                <w:szCs w:val="21"/>
              </w:rPr>
              <w:t>TLS</w:t>
            </w:r>
          </w:p>
        </w:tc>
        <w:tc>
          <w:tcPr>
            <w:tcW w:w="0" w:type="auto"/>
            <w:vAlign w:val="center"/>
          </w:tcPr>
          <w:p w:rsidR="004F7733" w:rsidRDefault="004F15FA">
            <w:pPr>
              <w:jc w:val="center"/>
            </w:pPr>
            <w:r>
              <w:rPr>
                <w:rFonts w:eastAsiaTheme="minorEastAsia"/>
                <w:szCs w:val="21"/>
              </w:rPr>
              <w:t>澳大利亚证券交易所</w:t>
            </w:r>
          </w:p>
        </w:tc>
        <w:tc>
          <w:tcPr>
            <w:tcW w:w="0" w:type="auto"/>
            <w:vAlign w:val="center"/>
          </w:tcPr>
          <w:p w:rsidR="004F7733" w:rsidRDefault="004F15FA">
            <w:pPr>
              <w:jc w:val="center"/>
            </w:pPr>
            <w:r>
              <w:rPr>
                <w:rFonts w:eastAsiaTheme="minorEastAsia"/>
                <w:szCs w:val="21"/>
              </w:rPr>
              <w:t>澳大利亚</w:t>
            </w:r>
          </w:p>
        </w:tc>
        <w:tc>
          <w:tcPr>
            <w:tcW w:w="0" w:type="auto"/>
            <w:vAlign w:val="center"/>
          </w:tcPr>
          <w:p w:rsidR="004F7733" w:rsidRDefault="004F15FA">
            <w:pPr>
              <w:jc w:val="right"/>
            </w:pPr>
            <w:r>
              <w:rPr>
                <w:rFonts w:eastAsiaTheme="minorEastAsia"/>
                <w:szCs w:val="21"/>
              </w:rPr>
              <w:t>3,242,347</w:t>
            </w:r>
          </w:p>
        </w:tc>
        <w:tc>
          <w:tcPr>
            <w:tcW w:w="0" w:type="auto"/>
            <w:vAlign w:val="center"/>
          </w:tcPr>
          <w:p w:rsidR="004F7733" w:rsidRDefault="004F15FA">
            <w:pPr>
              <w:jc w:val="right"/>
            </w:pPr>
            <w:r>
              <w:rPr>
                <w:rFonts w:eastAsiaTheme="minorEastAsia"/>
                <w:szCs w:val="21"/>
              </w:rPr>
              <w:t>57,867,134.48</w:t>
            </w:r>
          </w:p>
        </w:tc>
        <w:tc>
          <w:tcPr>
            <w:tcW w:w="0" w:type="auto"/>
            <w:vAlign w:val="center"/>
          </w:tcPr>
          <w:p w:rsidR="004F7733" w:rsidRDefault="004F15FA">
            <w:pPr>
              <w:jc w:val="right"/>
            </w:pPr>
            <w:r>
              <w:rPr>
                <w:rFonts w:eastAsiaTheme="minorEastAsia"/>
                <w:szCs w:val="21"/>
              </w:rPr>
              <w:t>2.38</w:t>
            </w:r>
          </w:p>
        </w:tc>
      </w:tr>
      <w:tr w:rsidR="004F7733">
        <w:tc>
          <w:tcPr>
            <w:tcW w:w="0" w:type="auto"/>
            <w:vAlign w:val="center"/>
          </w:tcPr>
          <w:p w:rsidR="004F7733" w:rsidRDefault="004F15FA">
            <w:pPr>
              <w:jc w:val="center"/>
            </w:pPr>
            <w:r>
              <w:rPr>
                <w:rFonts w:eastAsiaTheme="minorEastAsia"/>
                <w:szCs w:val="21"/>
              </w:rPr>
              <w:t>10</w:t>
            </w:r>
          </w:p>
        </w:tc>
        <w:tc>
          <w:tcPr>
            <w:tcW w:w="0" w:type="auto"/>
            <w:vAlign w:val="center"/>
          </w:tcPr>
          <w:p w:rsidR="004F7733" w:rsidRDefault="004F15FA">
            <w:pPr>
              <w:jc w:val="center"/>
            </w:pPr>
            <w:r>
              <w:rPr>
                <w:rFonts w:eastAsiaTheme="minorEastAsia"/>
                <w:szCs w:val="21"/>
              </w:rPr>
              <w:t>Hong Kong Exchanges &amp; Clearing Ltd</w:t>
            </w:r>
          </w:p>
        </w:tc>
        <w:tc>
          <w:tcPr>
            <w:tcW w:w="0" w:type="auto"/>
            <w:vAlign w:val="center"/>
          </w:tcPr>
          <w:p w:rsidR="004F7733" w:rsidRDefault="004F15FA">
            <w:pPr>
              <w:jc w:val="center"/>
            </w:pPr>
            <w:r>
              <w:rPr>
                <w:rFonts w:eastAsiaTheme="minorEastAsia"/>
                <w:szCs w:val="21"/>
              </w:rPr>
              <w:t>香港交易及结算所有限公司</w:t>
            </w:r>
          </w:p>
        </w:tc>
        <w:tc>
          <w:tcPr>
            <w:tcW w:w="0" w:type="auto"/>
            <w:vAlign w:val="center"/>
          </w:tcPr>
          <w:p w:rsidR="004F7733" w:rsidRDefault="004F15FA">
            <w:pPr>
              <w:jc w:val="center"/>
            </w:pPr>
            <w:r>
              <w:rPr>
                <w:rFonts w:eastAsiaTheme="minorEastAsia"/>
                <w:szCs w:val="21"/>
              </w:rPr>
              <w:t>388</w:t>
            </w:r>
          </w:p>
        </w:tc>
        <w:tc>
          <w:tcPr>
            <w:tcW w:w="0" w:type="auto"/>
            <w:vAlign w:val="center"/>
          </w:tcPr>
          <w:p w:rsidR="004F7733" w:rsidRDefault="004F15FA">
            <w:pPr>
              <w:jc w:val="center"/>
            </w:pPr>
            <w:r>
              <w:rPr>
                <w:rFonts w:eastAsiaTheme="minorEastAsia"/>
                <w:szCs w:val="21"/>
              </w:rPr>
              <w:t>香港证券交易所</w:t>
            </w:r>
          </w:p>
        </w:tc>
        <w:tc>
          <w:tcPr>
            <w:tcW w:w="0" w:type="auto"/>
            <w:vAlign w:val="center"/>
          </w:tcPr>
          <w:p w:rsidR="004F7733" w:rsidRDefault="004F15FA">
            <w:pPr>
              <w:jc w:val="center"/>
            </w:pPr>
            <w:r>
              <w:rPr>
                <w:rFonts w:eastAsiaTheme="minorEastAsia"/>
                <w:szCs w:val="21"/>
              </w:rPr>
              <w:t>中国香港</w:t>
            </w:r>
          </w:p>
        </w:tc>
        <w:tc>
          <w:tcPr>
            <w:tcW w:w="0" w:type="auto"/>
            <w:vAlign w:val="center"/>
          </w:tcPr>
          <w:p w:rsidR="004F7733" w:rsidRDefault="004F15FA">
            <w:pPr>
              <w:jc w:val="right"/>
            </w:pPr>
            <w:r>
              <w:rPr>
                <w:rFonts w:eastAsiaTheme="minorEastAsia"/>
                <w:szCs w:val="21"/>
              </w:rPr>
              <w:t>203,000</w:t>
            </w:r>
          </w:p>
        </w:tc>
        <w:tc>
          <w:tcPr>
            <w:tcW w:w="0" w:type="auto"/>
            <w:vAlign w:val="center"/>
          </w:tcPr>
          <w:p w:rsidR="004F7733" w:rsidRDefault="004F15FA">
            <w:pPr>
              <w:jc w:val="right"/>
            </w:pPr>
            <w:r>
              <w:rPr>
                <w:rFonts w:eastAsiaTheme="minorEastAsia"/>
                <w:szCs w:val="21"/>
              </w:rPr>
              <w:t>55,418,308.18</w:t>
            </w:r>
          </w:p>
        </w:tc>
        <w:tc>
          <w:tcPr>
            <w:tcW w:w="0" w:type="auto"/>
            <w:vAlign w:val="center"/>
          </w:tcPr>
          <w:p w:rsidR="004F7733" w:rsidRDefault="004F15FA">
            <w:pPr>
              <w:jc w:val="right"/>
            </w:pPr>
            <w:r>
              <w:rPr>
                <w:rFonts w:eastAsiaTheme="minorEastAsia"/>
                <w:szCs w:val="21"/>
              </w:rPr>
              <w:t>2.28</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1,488,131.69</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96,435.69</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977,837.26</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2,562,404.64</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摩根亚太优势混合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2,657,841,735.04</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2,515,721.84</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3,231,232.52</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542,194.70</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119,398,476.67</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1,247,376.18</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2,541,674,490.89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1,810,540.36</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DF18FE" w:rsidRDefault="00D678E4" w:rsidP="00D678E4">
      <w:pPr>
        <w:spacing w:line="360" w:lineRule="auto"/>
        <w:ind w:firstLineChars="200" w:firstLine="480"/>
        <w:rPr>
          <w:color w:val="000000"/>
          <w:sz w:val="24"/>
        </w:rPr>
      </w:pPr>
      <w:r w:rsidRPr="00DF18FE">
        <w:rPr>
          <w:color w:val="000000"/>
          <w:sz w:val="24"/>
        </w:rPr>
        <w:t>无。</w:t>
      </w:r>
    </w:p>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lastRenderedPageBreak/>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基金合同》；</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托管协议》；</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4F7733" w:rsidRDefault="004F15FA">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二〇二五年一月二十二日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F15F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F15FA">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F15FA">
      <w:rPr>
        <w:rStyle w:val="a8"/>
        <w:noProof/>
      </w:rPr>
      <w:t>2</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摩根亚太优势混合型证券投资基金</w:t>
    </w:r>
    <w:r w:rsidRPr="006669C9">
      <w:t>(QDII)2024</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5FA"/>
    <w:rsid w:val="004F16AD"/>
    <w:rsid w:val="004F6565"/>
    <w:rsid w:val="004F7733"/>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111</TotalTime>
  <Pages>16</Pages>
  <Words>1393</Words>
  <Characters>7944</Characters>
  <Application>Microsoft Office Word</Application>
  <DocSecurity>0</DocSecurity>
  <Lines>66</Lines>
  <Paragraphs>18</Paragraphs>
  <ScaleCrop>false</ScaleCrop>
  <Company>TRT. Ltd. Co.</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31</cp:revision>
  <cp:lastPrinted>2007-07-19T00:46:00Z</cp:lastPrinted>
  <dcterms:created xsi:type="dcterms:W3CDTF">2014-12-16T02:40:00Z</dcterms:created>
  <dcterms:modified xsi:type="dcterms:W3CDTF">2025-01-21T06:34:00Z</dcterms:modified>
</cp:coreProperties>
</file>