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0B5D4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上投摩根内需动力混合型证券投资基金</w:t>
      </w:r>
    </w:p>
    <w:p w:rsidR="001808F5" w:rsidRDefault="000B5D4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2019年第4季度报告</w:t>
      </w:r>
    </w:p>
    <w:p w:rsidR="001808F5" w:rsidRDefault="000B5D44">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2019年12月31日</w:t>
      </w: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bookmarkStart w:id="0" w:name="_GoBack"/>
      <w:bookmarkEnd w:id="0"/>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jc w:val="center"/>
        <w:rPr>
          <w:rFonts w:asciiTheme="minorEastAsia" w:eastAsiaTheme="minorEastAsia" w:hAnsiTheme="minorEastAsia"/>
          <w:b/>
          <w:bCs/>
          <w:color w:val="000000" w:themeColor="text1"/>
          <w:sz w:val="24"/>
          <w:szCs w:val="24"/>
        </w:rPr>
      </w:pPr>
    </w:p>
    <w:p w:rsidR="001808F5" w:rsidRDefault="001808F5">
      <w:pPr>
        <w:spacing w:line="360" w:lineRule="auto"/>
        <w:rPr>
          <w:rFonts w:asciiTheme="minorEastAsia" w:eastAsiaTheme="minorEastAsia" w:hAnsiTheme="minorEastAsia"/>
          <w:b/>
          <w:bCs/>
          <w:color w:val="000000" w:themeColor="text1"/>
          <w:sz w:val="24"/>
          <w:szCs w:val="24"/>
        </w:rPr>
      </w:pPr>
    </w:p>
    <w:p w:rsidR="001808F5" w:rsidRDefault="000B5D44">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1808F5" w:rsidRDefault="000B5D44">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中国工商银行股份有限公司</w:t>
      </w:r>
    </w:p>
    <w:p w:rsidR="001808F5" w:rsidRDefault="000B5D44">
      <w:pPr>
        <w:spacing w:line="360" w:lineRule="auto"/>
        <w:ind w:firstLineChars="900" w:firstLine="2168"/>
        <w:rPr>
          <w:rFonts w:asciiTheme="minorEastAsia" w:eastAsiaTheme="minorEastAsia" w:hAnsiTheme="minorEastAsia"/>
          <w:b/>
          <w:color w:val="000000" w:themeColor="text1"/>
          <w:sz w:val="24"/>
          <w:szCs w:val="24"/>
        </w:rPr>
        <w:sectPr w:rsidR="001808F5">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二〇二〇年一月二十日</w:t>
      </w:r>
    </w:p>
    <w:p w:rsidR="001808F5" w:rsidRDefault="000B5D44">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基金托管人中国工商银行股份有限公司根据本基金合同规定，于2020年1月17日复核了本报告中的财务指标、净值表现和投资组合报告等内容，保证复核内容不存在虚假记载、误导性陈述或者重大遗漏。 </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本报告期自2019年10月1日起至12月31日止。</w:t>
      </w:r>
    </w:p>
    <w:p w:rsidR="001808F5" w:rsidRDefault="000B5D4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上投摩根内需动力混合</w:t>
            </w:r>
          </w:p>
        </w:tc>
      </w:tr>
      <w:tr w:rsidR="001808F5">
        <w:tc>
          <w:tcPr>
            <w:tcW w:w="2835" w:type="dxa"/>
            <w:tcBorders>
              <w:top w:val="single" w:sz="4" w:space="0" w:color="auto"/>
              <w:left w:val="single" w:sz="4" w:space="0" w:color="auto"/>
              <w:bottom w:val="single" w:sz="4" w:space="0" w:color="auto"/>
              <w:right w:val="single" w:sz="4" w:space="0" w:color="auto"/>
            </w:tcBorders>
            <w:vAlign w:val="center"/>
          </w:tcPr>
          <w:p w:rsidR="001808F5" w:rsidRDefault="000B5D44">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1808F5" w:rsidRDefault="000B5D4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377020</w:t>
            </w:r>
          </w:p>
        </w:tc>
      </w:tr>
      <w:tr w:rsidR="001808F5">
        <w:tc>
          <w:tcPr>
            <w:tcW w:w="2835" w:type="dxa"/>
            <w:tcBorders>
              <w:top w:val="single" w:sz="4" w:space="0" w:color="auto"/>
              <w:left w:val="single" w:sz="4" w:space="0" w:color="auto"/>
              <w:bottom w:val="single" w:sz="4" w:space="0" w:color="auto"/>
              <w:right w:val="single" w:sz="4" w:space="0" w:color="auto"/>
            </w:tcBorders>
            <w:vAlign w:val="center"/>
          </w:tcPr>
          <w:p w:rsidR="001808F5" w:rsidRDefault="000B5D44">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808F5" w:rsidRDefault="000B5D4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377020</w:t>
            </w:r>
          </w:p>
        </w:tc>
      </w:tr>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2007年4月13日</w:t>
            </w:r>
          </w:p>
        </w:tc>
      </w:tr>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2,907,842,770.64</w:t>
            </w:r>
            <w:r>
              <w:rPr>
                <w:rFonts w:asciiTheme="minorEastAsia" w:eastAsiaTheme="minorEastAsia" w:hAnsiTheme="minorEastAsia" w:hint="eastAsia"/>
                <w:color w:val="000000" w:themeColor="text1"/>
                <w:kern w:val="0"/>
              </w:rPr>
              <w:t>份</w:t>
            </w:r>
          </w:p>
        </w:tc>
      </w:tr>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本基金重点投资于内需增长背景下具有竞争优势的上市公司，把握中国经济和行业快速增长带来的投资机会，追求基金资产长期稳定增值。</w:t>
            </w:r>
          </w:p>
        </w:tc>
      </w:tr>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（1）股票投资策略</w:t>
            </w:r>
          </w:p>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在投资组合构建和管理的过程中，本基金将采取“自上而下”与“自下而上”相结合的方法。基金管理人在内需驱动行业分析的基础上，选择具有可持续增长前景的优势上</w:t>
            </w:r>
            <w:r>
              <w:rPr>
                <w:rFonts w:asciiTheme="minorEastAsia" w:eastAsiaTheme="minorEastAsia" w:hAnsiTheme="minorEastAsia"/>
                <w:color w:val="000000" w:themeColor="text1"/>
                <w:kern w:val="0"/>
              </w:rPr>
              <w:lastRenderedPageBreak/>
              <w:t>市公司股票，以合理价格买入并进行中长期投资。</w:t>
            </w:r>
          </w:p>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（2）固定收益类投资策略</w:t>
            </w:r>
          </w:p>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本基金以股票投资为主，一般市场情况下，基金管理人不会积极追求大类资产配置，但为进一步控制投资风险，优化组合流动性管理，本基金将适度防御性资产配置，进行债券、货币市场工具等品种投资。</w:t>
            </w:r>
          </w:p>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tc>
      </w:tr>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沪深300指数收益率×80%＋上证国债指数收益率×20％</w:t>
            </w:r>
          </w:p>
        </w:tc>
      </w:tr>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一只混合型基金，其预期风险和预期收益低于股票型基金、高于债券型基金和货币市场基金，属于较高风险、较高预期收益的基金产品。本基金风险收益特征会定期评估并在公司网站发布，请投资者关注。</w:t>
            </w:r>
          </w:p>
        </w:tc>
      </w:tr>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1808F5">
        <w:tc>
          <w:tcPr>
            <w:tcW w:w="2835"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中国工商银行股份有限公司</w:t>
            </w:r>
          </w:p>
        </w:tc>
      </w:tr>
    </w:tbl>
    <w:p w:rsidR="001808F5" w:rsidRDefault="000B5D4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0B5D44" w:rsidTr="000B5D44">
        <w:tc>
          <w:tcPr>
            <w:tcW w:w="3402" w:type="dxa"/>
            <w:vAlign w:val="center"/>
          </w:tcPr>
          <w:p w:rsidR="001808F5" w:rsidRDefault="000B5D44">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1808F5" w:rsidRDefault="000B5D44">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1808F5" w:rsidRDefault="000B5D44">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2019年10月1日-2019年12月31日</w:t>
            </w:r>
            <w:r>
              <w:rPr>
                <w:rFonts w:asciiTheme="minorEastAsia" w:eastAsiaTheme="minorEastAsia" w:hAnsiTheme="minorEastAsia" w:cs="宋体" w:hint="eastAsia"/>
                <w:color w:val="000000" w:themeColor="text1"/>
              </w:rPr>
              <w:t>)</w:t>
            </w:r>
          </w:p>
        </w:tc>
      </w:tr>
      <w:tr w:rsidR="000B5D44" w:rsidTr="000B5D44">
        <w:tc>
          <w:tcPr>
            <w:tcW w:w="3402"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1808F5" w:rsidRDefault="000B5D4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273,492,410.07</w:t>
            </w:r>
          </w:p>
        </w:tc>
      </w:tr>
      <w:tr w:rsidR="000B5D44" w:rsidTr="000B5D44">
        <w:tc>
          <w:tcPr>
            <w:tcW w:w="3402"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1808F5" w:rsidRDefault="000B5D4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264,026,951.60</w:t>
            </w:r>
          </w:p>
        </w:tc>
      </w:tr>
      <w:tr w:rsidR="000B5D44" w:rsidTr="000B5D44">
        <w:tc>
          <w:tcPr>
            <w:tcW w:w="3402"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1808F5" w:rsidRDefault="000B5D4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0.0825</w:t>
            </w:r>
          </w:p>
        </w:tc>
      </w:tr>
      <w:tr w:rsidR="000B5D44" w:rsidTr="000B5D44">
        <w:tc>
          <w:tcPr>
            <w:tcW w:w="3402"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1808F5" w:rsidRDefault="000B5D4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2,658,115,021.16</w:t>
            </w:r>
          </w:p>
        </w:tc>
      </w:tr>
      <w:tr w:rsidR="000B5D44" w:rsidTr="000B5D44">
        <w:trPr>
          <w:trHeight w:val="158"/>
        </w:trPr>
        <w:tc>
          <w:tcPr>
            <w:tcW w:w="3402" w:type="dxa"/>
            <w:vAlign w:val="center"/>
          </w:tcPr>
          <w:p w:rsidR="001808F5" w:rsidRDefault="000B5D4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1808F5" w:rsidRDefault="000B5D4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0.9141</w:t>
            </w:r>
          </w:p>
        </w:tc>
      </w:tr>
    </w:tbl>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 xml:space="preserve">注：本期已实现收益指基金本期利息收入、投资收益、其他收入(不含公允价值变动收益)扣除相关费用后的余额，本期利润为本期已实现收益加上本期公允价值变动收益。 </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1808F5" w:rsidRDefault="000B5D44">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1808F5">
        <w:tc>
          <w:tcPr>
            <w:tcW w:w="1395"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1808F5">
        <w:tc>
          <w:tcPr>
            <w:tcW w:w="1395" w:type="dxa"/>
            <w:vAlign w:val="center"/>
          </w:tcPr>
          <w:p w:rsidR="001808F5" w:rsidRDefault="000B5D44">
            <w:pPr>
              <w:jc w:val="left"/>
            </w:pPr>
            <w:r>
              <w:rPr>
                <w:rFonts w:asciiTheme="minorEastAsia" w:eastAsiaTheme="minorEastAsia" w:hAnsiTheme="minorEastAsia"/>
                <w:color w:val="000000" w:themeColor="text1"/>
                <w:kern w:val="0"/>
              </w:rPr>
              <w:t>过去三个月</w:t>
            </w:r>
          </w:p>
        </w:tc>
        <w:tc>
          <w:tcPr>
            <w:tcW w:w="1092" w:type="dxa"/>
            <w:vAlign w:val="center"/>
          </w:tcPr>
          <w:p w:rsidR="001808F5" w:rsidRDefault="000B5D44">
            <w:pPr>
              <w:jc w:val="center"/>
            </w:pPr>
            <w:r>
              <w:rPr>
                <w:rFonts w:asciiTheme="minorEastAsia" w:eastAsiaTheme="minorEastAsia" w:hAnsiTheme="minorEastAsia"/>
                <w:color w:val="000000" w:themeColor="text1"/>
                <w:kern w:val="0"/>
              </w:rPr>
              <w:t>9.47%</w:t>
            </w:r>
          </w:p>
        </w:tc>
        <w:tc>
          <w:tcPr>
            <w:tcW w:w="1161" w:type="dxa"/>
            <w:vAlign w:val="center"/>
          </w:tcPr>
          <w:p w:rsidR="001808F5" w:rsidRDefault="000B5D44">
            <w:pPr>
              <w:jc w:val="center"/>
            </w:pPr>
            <w:r>
              <w:rPr>
                <w:rFonts w:asciiTheme="minorEastAsia" w:eastAsiaTheme="minorEastAsia" w:hAnsiTheme="minorEastAsia"/>
                <w:color w:val="000000" w:themeColor="text1"/>
                <w:kern w:val="0"/>
              </w:rPr>
              <w:t>1.13%</w:t>
            </w:r>
          </w:p>
        </w:tc>
        <w:tc>
          <w:tcPr>
            <w:tcW w:w="1181" w:type="dxa"/>
            <w:vAlign w:val="center"/>
          </w:tcPr>
          <w:p w:rsidR="001808F5" w:rsidRDefault="000B5D44">
            <w:pPr>
              <w:jc w:val="center"/>
            </w:pPr>
            <w:r>
              <w:rPr>
                <w:rFonts w:asciiTheme="minorEastAsia" w:eastAsiaTheme="minorEastAsia" w:hAnsiTheme="minorEastAsia"/>
                <w:color w:val="000000" w:themeColor="text1"/>
                <w:kern w:val="0"/>
              </w:rPr>
              <w:t>6.11%</w:t>
            </w:r>
          </w:p>
        </w:tc>
        <w:tc>
          <w:tcPr>
            <w:tcW w:w="1188" w:type="dxa"/>
            <w:vAlign w:val="center"/>
          </w:tcPr>
          <w:p w:rsidR="001808F5" w:rsidRDefault="000B5D44">
            <w:pPr>
              <w:jc w:val="center"/>
            </w:pPr>
            <w:r>
              <w:rPr>
                <w:rFonts w:asciiTheme="minorEastAsia" w:eastAsiaTheme="minorEastAsia" w:hAnsiTheme="minorEastAsia"/>
                <w:color w:val="000000" w:themeColor="text1"/>
                <w:kern w:val="0"/>
              </w:rPr>
              <w:t>0.59%</w:t>
            </w:r>
          </w:p>
        </w:tc>
        <w:tc>
          <w:tcPr>
            <w:tcW w:w="1199" w:type="dxa"/>
            <w:vAlign w:val="center"/>
          </w:tcPr>
          <w:p w:rsidR="001808F5" w:rsidRDefault="000B5D44">
            <w:pPr>
              <w:jc w:val="center"/>
            </w:pPr>
            <w:r>
              <w:rPr>
                <w:rFonts w:asciiTheme="minorEastAsia" w:eastAsiaTheme="minorEastAsia" w:hAnsiTheme="minorEastAsia"/>
                <w:color w:val="000000" w:themeColor="text1"/>
                <w:kern w:val="0"/>
              </w:rPr>
              <w:t>3.36%</w:t>
            </w:r>
          </w:p>
        </w:tc>
        <w:tc>
          <w:tcPr>
            <w:tcW w:w="1204" w:type="dxa"/>
            <w:vAlign w:val="center"/>
          </w:tcPr>
          <w:p w:rsidR="001808F5" w:rsidRDefault="000B5D44">
            <w:pPr>
              <w:jc w:val="center"/>
            </w:pPr>
            <w:r>
              <w:rPr>
                <w:rFonts w:asciiTheme="minorEastAsia" w:eastAsiaTheme="minorEastAsia" w:hAnsiTheme="minorEastAsia"/>
                <w:color w:val="000000" w:themeColor="text1"/>
                <w:kern w:val="0"/>
              </w:rPr>
              <w:t>0.54%</w:t>
            </w:r>
          </w:p>
        </w:tc>
      </w:tr>
    </w:tbl>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1808F5" w:rsidRDefault="000B5D44">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上投摩根内需动力混合型证券投资基金</w:t>
      </w:r>
    </w:p>
    <w:p w:rsidR="001808F5" w:rsidRDefault="000B5D44">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1808F5" w:rsidRDefault="000B5D44">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2007年4月13日</w:t>
      </w:r>
      <w:r>
        <w:rPr>
          <w:rFonts w:asciiTheme="minorEastAsia" w:eastAsiaTheme="minorEastAsia" w:hAnsiTheme="minorEastAsia" w:hint="eastAsia"/>
          <w:color w:val="000000" w:themeColor="text1"/>
        </w:rPr>
        <w:t>至2019年12月31日)</w:t>
      </w:r>
    </w:p>
    <w:p w:rsidR="001808F5" w:rsidRDefault="000B5D44">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注：本基金合同生效日为2007年4月13日，图示时间段为2007年4月13日至2019年12月31日。</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本基金建仓期自2007年4月13日至2007年10月12日。建仓期结束时资产配置比例符合本基金基金合同规定。</w:t>
      </w:r>
    </w:p>
    <w:p w:rsidR="001808F5" w:rsidRDefault="001808F5">
      <w:pPr>
        <w:tabs>
          <w:tab w:val="left" w:pos="1800"/>
        </w:tabs>
        <w:spacing w:line="360" w:lineRule="auto"/>
        <w:rPr>
          <w:rFonts w:asciiTheme="minorEastAsia" w:eastAsiaTheme="minorEastAsia" w:hAnsiTheme="minorEastAsia"/>
          <w:color w:val="000000" w:themeColor="text1"/>
          <w:sz w:val="24"/>
          <w:szCs w:val="24"/>
        </w:rPr>
      </w:pPr>
    </w:p>
    <w:p w:rsidR="001808F5" w:rsidRDefault="000B5D4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1808F5">
        <w:trPr>
          <w:cantSplit/>
          <w:trHeight w:val="292"/>
        </w:trPr>
        <w:tc>
          <w:tcPr>
            <w:tcW w:w="851" w:type="dxa"/>
            <w:vMerge w:val="restart"/>
            <w:vAlign w:val="center"/>
          </w:tcPr>
          <w:p w:rsidR="001808F5" w:rsidRDefault="000B5D4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1808F5" w:rsidRDefault="000B5D4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1808F5" w:rsidRDefault="000B5D4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1808F5">
        <w:trPr>
          <w:cantSplit/>
        </w:trPr>
        <w:tc>
          <w:tcPr>
            <w:tcW w:w="851" w:type="dxa"/>
            <w:vMerge/>
            <w:vAlign w:val="center"/>
          </w:tcPr>
          <w:p w:rsidR="001808F5" w:rsidRDefault="001808F5">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1808F5" w:rsidRDefault="001808F5">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1808F5" w:rsidRDefault="001808F5">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1808F5" w:rsidRDefault="001808F5">
            <w:pPr>
              <w:widowControl/>
              <w:spacing w:line="360" w:lineRule="auto"/>
              <w:jc w:val="left"/>
              <w:rPr>
                <w:rFonts w:asciiTheme="minorEastAsia" w:eastAsiaTheme="minorEastAsia" w:hAnsiTheme="minorEastAsia"/>
                <w:color w:val="000000" w:themeColor="text1"/>
                <w:kern w:val="0"/>
              </w:rPr>
            </w:pPr>
          </w:p>
        </w:tc>
      </w:tr>
      <w:tr w:rsidR="001808F5">
        <w:tc>
          <w:tcPr>
            <w:tcW w:w="851" w:type="dxa"/>
            <w:vAlign w:val="center"/>
          </w:tcPr>
          <w:p w:rsidR="001808F5" w:rsidRDefault="000B5D44">
            <w:pPr>
              <w:jc w:val="center"/>
            </w:pPr>
            <w:r>
              <w:rPr>
                <w:rFonts w:asciiTheme="minorEastAsia" w:eastAsiaTheme="minorEastAsia" w:hAnsiTheme="minorEastAsia"/>
                <w:color w:val="000000" w:themeColor="text1"/>
              </w:rPr>
              <w:t>刘辉</w:t>
            </w:r>
          </w:p>
        </w:tc>
        <w:tc>
          <w:tcPr>
            <w:tcW w:w="850" w:type="dxa"/>
            <w:vAlign w:val="center"/>
          </w:tcPr>
          <w:p w:rsidR="001808F5" w:rsidRDefault="000B5D44">
            <w:pPr>
              <w:jc w:val="center"/>
            </w:pPr>
            <w:r>
              <w:rPr>
                <w:rFonts w:asciiTheme="minorEastAsia" w:eastAsiaTheme="minorEastAsia" w:hAnsiTheme="minorEastAsia"/>
                <w:color w:val="000000" w:themeColor="text1"/>
              </w:rPr>
              <w:t>本基金基金经理、国内权益投资部总监助理</w:t>
            </w:r>
          </w:p>
        </w:tc>
        <w:tc>
          <w:tcPr>
            <w:tcW w:w="1560" w:type="dxa"/>
            <w:vAlign w:val="center"/>
          </w:tcPr>
          <w:p w:rsidR="001808F5" w:rsidRDefault="000B5D44">
            <w:pPr>
              <w:jc w:val="center"/>
            </w:pPr>
            <w:r>
              <w:rPr>
                <w:rFonts w:asciiTheme="minorEastAsia" w:eastAsiaTheme="minorEastAsia" w:hAnsiTheme="minorEastAsia"/>
                <w:color w:val="000000" w:themeColor="text1"/>
              </w:rPr>
              <w:t>2016-01-12</w:t>
            </w:r>
          </w:p>
        </w:tc>
        <w:tc>
          <w:tcPr>
            <w:tcW w:w="1559" w:type="dxa"/>
            <w:vAlign w:val="center"/>
          </w:tcPr>
          <w:p w:rsidR="001808F5" w:rsidRDefault="000B5D44">
            <w:pPr>
              <w:jc w:val="center"/>
            </w:pPr>
            <w:r>
              <w:rPr>
                <w:rFonts w:asciiTheme="minorEastAsia" w:eastAsiaTheme="minorEastAsia" w:hAnsiTheme="minorEastAsia"/>
                <w:color w:val="000000" w:themeColor="text1"/>
              </w:rPr>
              <w:t>-</w:t>
            </w:r>
          </w:p>
        </w:tc>
        <w:tc>
          <w:tcPr>
            <w:tcW w:w="1417" w:type="dxa"/>
            <w:vAlign w:val="center"/>
          </w:tcPr>
          <w:p w:rsidR="001808F5" w:rsidRDefault="000B5D44">
            <w:pPr>
              <w:jc w:val="center"/>
            </w:pPr>
            <w:r>
              <w:rPr>
                <w:rFonts w:asciiTheme="minorEastAsia" w:eastAsiaTheme="minorEastAsia" w:hAnsiTheme="minorEastAsia"/>
                <w:color w:val="000000" w:themeColor="text1"/>
              </w:rPr>
              <w:t>14年</w:t>
            </w:r>
          </w:p>
        </w:tc>
        <w:tc>
          <w:tcPr>
            <w:tcW w:w="2694" w:type="dxa"/>
            <w:vAlign w:val="center"/>
          </w:tcPr>
          <w:p w:rsidR="001808F5" w:rsidRDefault="000B5D44">
            <w:r>
              <w:rPr>
                <w:rFonts w:asciiTheme="minorEastAsia" w:eastAsiaTheme="minorEastAsia" w:hAnsiTheme="minorEastAsia"/>
                <w:color w:val="000000" w:themeColor="text1"/>
              </w:rPr>
              <w:t>刘辉先生，自2006年2月至2008年3月在华泰证券股份有限公司研究所担任研究员，2008年3月至2009年10月在东吴基金管理有限公司研究部担任高级研究员，2009年10月至2013年12月在汇丰晋信基金管理有限公司历任高级研究员、基金经理、权益投资部助理总监、助理投资总监，2013年12月至2015年6月在嘉实基金管理有限公司担任资深基金经理，2015年6月起加入上投摩根基金管理有限公司，现任国内权益投资部总监助理兼高级基金经理。2016年1月起任上投摩根内需动力混合型证券投资基金基金经理，自2016年4月起同时担任上投摩根成长动力混合型证券投资基金基金经理。</w:t>
            </w:r>
          </w:p>
        </w:tc>
      </w:tr>
    </w:tbl>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 任职日期和离任日期均指根据公司决定确定的聘任日期和解聘日期。</w:t>
      </w:r>
    </w:p>
    <w:p w:rsidR="001808F5" w:rsidRDefault="000B5D44" w:rsidP="000B5D44">
      <w:pPr>
        <w:autoSpaceDE w:val="0"/>
        <w:autoSpaceDN w:val="0"/>
        <w:adjustRightInd w:val="0"/>
        <w:spacing w:line="360" w:lineRule="auto"/>
        <w:ind w:firstLineChars="200" w:firstLine="42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 证券从业的含义遵从行业协会《证券业从业人员资格管理办法》的相关规定。</w:t>
      </w: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内需动力混合型证券投资基金基金合同》的规定。基金经理对个股和投资组合的比例遵循了投资决策委员会的授权限制，基金投资比例符合基金合同和法律法规的要求。</w:t>
      </w: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1808F5" w:rsidRDefault="000B5D4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1808F5" w:rsidRDefault="000B5D4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1808F5" w:rsidRDefault="001808F5">
      <w:pPr>
        <w:spacing w:line="360" w:lineRule="auto"/>
        <w:ind w:firstLineChars="200" w:firstLine="480"/>
        <w:rPr>
          <w:rFonts w:asciiTheme="minorEastAsia" w:eastAsiaTheme="minorEastAsia" w:hAnsiTheme="minorEastAsia"/>
          <w:color w:val="000000" w:themeColor="text1"/>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1808F5" w:rsidRDefault="000B5D4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2019年四季度，A股市场的投资风格出现了一定的改变。由于宏观政策逆周期的调节，制造业PMI出现了一定的反弹，加上中美贸易谈判出现了阶段性的缓和，以及市场对于货币政策趋向温和的预期，偏周期类资产表现相对较好，而以医药、食品饮料为代表的前期强势板块则出现了明显的调整。</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季度基金适度减持了前期表现强势的大消费类资产，对于新能源汽车产业进行了增持，同时也适度增持了一些周期性资产，以求投资组合在一定程度上得以平衡。但是在组合投资的主体上，我们仍非常看好医药、科技等成长性行业的发展前景，坚定看好其长期的投资表现。</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后市，我们认为长期来看，A股市场具备很好的结构性投资机会。中国经济在经历多年的高速增长之后，其发展必然会回归到合理区间。在这个过程中，一些优质的企业必将在市场竞争中脱颖而出，发展壮大。同时，中国经济的产业结构在未来也将会经历较大的调整，科技创新和服务将会是未来发展的大趋势。在全球流动性宽松的大背景下，我们判断这种结构性的投资机会将会持续凸显出来，A股市场具备很好的投资前景。具体到2020年一季度，我们认为经济大概率延续目前微弱复苏的趋势，房地产投资和基建仍然是经济增长重要引擎。因此偏周期类的资产可能会存在阶段性的投资机会，对此我们会保持密切的研究和关注，争取获得相对较好的投资回报。</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具体到行业层面，伴随着中国经济的持续发展，预计大消费行业将会持续增长。消费升级和品牌化趋势仍将继续，而人口结构的变迁也将催生出对于医疗服务和信息消费的需求。同时，我们判断大力发展科技产业也将会是中国未来发展的必然选择，因此TMT行业值得长期研究和投资。此外，关于新能源汽车行业，我们认为虽然短期看行业数据可能相对较弱，但是伴随高端车型放量，真实需求有望释放，行业长期趋势向好。此外，本基金还将会在上述行业领域之外，持续挖掘具备长期竞争力的优秀企业进行重点的投资，力争取得相对较好的投资回报。</w:t>
      </w:r>
    </w:p>
    <w:p w:rsidR="001808F5" w:rsidRDefault="000B5D4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本报告期上投摩根内需动力混合份额净值增长率为:9.47%，同期业绩比较基准收益率为:6.11%。</w:t>
      </w:r>
    </w:p>
    <w:p w:rsidR="001808F5" w:rsidRDefault="001808F5">
      <w:pPr>
        <w:spacing w:line="360" w:lineRule="auto"/>
        <w:ind w:firstLineChars="200" w:firstLine="480"/>
        <w:rPr>
          <w:rFonts w:asciiTheme="minorEastAsia" w:eastAsiaTheme="minorEastAsia" w:hAnsiTheme="minorEastAsia"/>
          <w:color w:val="000000" w:themeColor="text1"/>
          <w:sz w:val="24"/>
          <w:szCs w:val="24"/>
        </w:rPr>
      </w:pPr>
    </w:p>
    <w:p w:rsidR="001808F5" w:rsidRDefault="000B5D4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1808F5" w:rsidRDefault="000B5D4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1808F5">
        <w:trPr>
          <w:jc w:val="center"/>
        </w:trPr>
        <w:tc>
          <w:tcPr>
            <w:tcW w:w="720"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1808F5">
        <w:trPr>
          <w:jc w:val="center"/>
        </w:trPr>
        <w:tc>
          <w:tcPr>
            <w:tcW w:w="720"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1808F5" w:rsidRDefault="000B5D4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2,376,828,997.24</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87.88</w:t>
            </w:r>
          </w:p>
        </w:tc>
      </w:tr>
      <w:tr w:rsidR="001808F5">
        <w:trPr>
          <w:jc w:val="center"/>
        </w:trPr>
        <w:tc>
          <w:tcPr>
            <w:tcW w:w="720" w:type="dxa"/>
            <w:vAlign w:val="center"/>
          </w:tcPr>
          <w:p w:rsidR="001808F5" w:rsidRDefault="001808F5">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1808F5" w:rsidRDefault="000B5D4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2,376,828,997.24</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87.88</w:t>
            </w:r>
          </w:p>
        </w:tc>
      </w:tr>
      <w:tr w:rsidR="001808F5">
        <w:trPr>
          <w:jc w:val="center"/>
        </w:trPr>
        <w:tc>
          <w:tcPr>
            <w:tcW w:w="720"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1808F5" w:rsidRDefault="000B5D4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808F5">
        <w:trPr>
          <w:jc w:val="center"/>
        </w:trPr>
        <w:tc>
          <w:tcPr>
            <w:tcW w:w="720" w:type="dxa"/>
            <w:vAlign w:val="center"/>
          </w:tcPr>
          <w:p w:rsidR="001808F5" w:rsidRDefault="001808F5">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1808F5" w:rsidRDefault="000B5D4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808F5">
        <w:trPr>
          <w:jc w:val="center"/>
        </w:trPr>
        <w:tc>
          <w:tcPr>
            <w:tcW w:w="720" w:type="dxa"/>
            <w:vAlign w:val="center"/>
          </w:tcPr>
          <w:p w:rsidR="001808F5" w:rsidRDefault="001808F5">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1808F5" w:rsidRDefault="000B5D44">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808F5">
        <w:trPr>
          <w:jc w:val="center"/>
        </w:trPr>
        <w:tc>
          <w:tcPr>
            <w:tcW w:w="720" w:type="dxa"/>
          </w:tcPr>
          <w:p w:rsidR="001808F5" w:rsidRDefault="000B5D4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1808F5" w:rsidRDefault="000B5D44">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808F5">
        <w:trPr>
          <w:jc w:val="center"/>
        </w:trPr>
        <w:tc>
          <w:tcPr>
            <w:tcW w:w="720" w:type="dxa"/>
            <w:vAlign w:val="center"/>
          </w:tcPr>
          <w:p w:rsidR="001808F5" w:rsidRDefault="000B5D4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1808F5" w:rsidRDefault="000B5D4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808F5">
        <w:trPr>
          <w:jc w:val="center"/>
        </w:trPr>
        <w:tc>
          <w:tcPr>
            <w:tcW w:w="720"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1808F5" w:rsidRDefault="000B5D4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808F5">
        <w:trPr>
          <w:jc w:val="center"/>
        </w:trPr>
        <w:tc>
          <w:tcPr>
            <w:tcW w:w="720" w:type="dxa"/>
            <w:vAlign w:val="center"/>
          </w:tcPr>
          <w:p w:rsidR="001808F5" w:rsidRDefault="001808F5">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1808F5" w:rsidRDefault="000B5D4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808F5">
        <w:trPr>
          <w:jc w:val="center"/>
        </w:trPr>
        <w:tc>
          <w:tcPr>
            <w:tcW w:w="720"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1808F5" w:rsidRDefault="000B5D4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158,121,296.40</w:t>
            </w:r>
          </w:p>
        </w:tc>
        <w:tc>
          <w:tcPr>
            <w:tcW w:w="1843" w:type="dxa"/>
            <w:vAlign w:val="center"/>
          </w:tcPr>
          <w:p w:rsidR="001808F5" w:rsidRDefault="000B5D4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5.85</w:t>
            </w:r>
          </w:p>
        </w:tc>
      </w:tr>
      <w:tr w:rsidR="001808F5">
        <w:trPr>
          <w:jc w:val="center"/>
        </w:trPr>
        <w:tc>
          <w:tcPr>
            <w:tcW w:w="720"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1808F5" w:rsidRDefault="000B5D44">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169,692,875.46</w:t>
            </w:r>
          </w:p>
        </w:tc>
        <w:tc>
          <w:tcPr>
            <w:tcW w:w="1843" w:type="dxa"/>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6.27</w:t>
            </w:r>
          </w:p>
        </w:tc>
      </w:tr>
      <w:tr w:rsidR="001808F5">
        <w:trPr>
          <w:jc w:val="center"/>
        </w:trPr>
        <w:tc>
          <w:tcPr>
            <w:tcW w:w="720" w:type="dxa"/>
            <w:vAlign w:val="center"/>
          </w:tcPr>
          <w:p w:rsidR="001808F5" w:rsidRDefault="000B5D4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1808F5" w:rsidRDefault="000B5D44">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2,704,643,169.10</w:t>
            </w:r>
          </w:p>
        </w:tc>
        <w:tc>
          <w:tcPr>
            <w:tcW w:w="1843" w:type="dxa"/>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1808F5" w:rsidRDefault="001808F5">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1808F5" w:rsidRDefault="000B5D44">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1808F5">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53,712,711.39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2.02</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32,263,564.00</w:t>
            </w:r>
          </w:p>
          <w:p w:rsidR="001808F5" w:rsidRDefault="001808F5">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1.21</w:t>
            </w:r>
          </w:p>
          <w:p w:rsidR="001808F5" w:rsidRDefault="001808F5">
            <w:pPr>
              <w:jc w:val="right"/>
              <w:rPr>
                <w:rFonts w:asciiTheme="minorEastAsia" w:eastAsiaTheme="minorEastAsia" w:hAnsiTheme="minorEastAsia" w:cs="宋体"/>
                <w:color w:val="000000" w:themeColor="text1"/>
                <w:kern w:val="0"/>
              </w:rPr>
            </w:pP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1,836,533,927.63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69.09</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162,661,675.90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6.12</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11,645,669.26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0.44</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3,561,646.95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0.13</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105,902,068.02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3.98</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78,203,758.56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2.94</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92,343,975.53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3.47</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808F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1808F5">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808F5" w:rsidRDefault="000B5D4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2,376,828,997.24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808F5" w:rsidRDefault="000B5D4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89.42</w:t>
            </w:r>
          </w:p>
        </w:tc>
      </w:tr>
    </w:tbl>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1808F5">
        <w:tc>
          <w:tcPr>
            <w:tcW w:w="817" w:type="dxa"/>
            <w:vAlign w:val="center"/>
          </w:tcPr>
          <w:p w:rsidR="001808F5" w:rsidRDefault="000B5D4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1808F5" w:rsidRDefault="000B5D4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1808F5" w:rsidRDefault="000B5D4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1808F5" w:rsidRDefault="000B5D4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1808F5" w:rsidRDefault="000B5D4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1</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603986</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兆易创新</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1,102,499</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225,891,020.11</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8.50</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2</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002475</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立讯精密</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4,875,631</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177,960,531.50</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6.69</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3</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300357</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我武生物</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2,600,901</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114,829,779.15</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4.32</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4</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300014</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亿纬锂能</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2,271,808</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113,953,889.28</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4.29</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5</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002241</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歌尔股份</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5,452,990</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108,623,560.80</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4.09</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6</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300750</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宁德时代</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1,014,767</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107,971,208.80</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4.06</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7</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002812</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恩捷股份</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2,004,100</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101,207,050.00</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3.81</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8</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601799</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星宇股份</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982,157</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93,285,271.86</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3.51</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9</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300496</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中科创达</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1,980,246</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89,388,304.44</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3.36</w:t>
            </w:r>
          </w:p>
        </w:tc>
      </w:tr>
      <w:tr w:rsidR="001808F5">
        <w:tc>
          <w:tcPr>
            <w:tcW w:w="817" w:type="dxa"/>
            <w:vAlign w:val="center"/>
          </w:tcPr>
          <w:p w:rsidR="001808F5" w:rsidRDefault="000B5D44">
            <w:pPr>
              <w:jc w:val="center"/>
            </w:pPr>
            <w:r>
              <w:rPr>
                <w:rFonts w:asciiTheme="minorEastAsia" w:eastAsiaTheme="minorEastAsia" w:hAnsiTheme="minorEastAsia" w:cs="宋体"/>
                <w:color w:val="000000" w:themeColor="text1"/>
                <w:kern w:val="0"/>
              </w:rPr>
              <w:t>10</w:t>
            </w:r>
          </w:p>
        </w:tc>
        <w:tc>
          <w:tcPr>
            <w:tcW w:w="1276" w:type="dxa"/>
            <w:vAlign w:val="center"/>
          </w:tcPr>
          <w:p w:rsidR="001808F5" w:rsidRDefault="000B5D44">
            <w:pPr>
              <w:jc w:val="center"/>
            </w:pPr>
            <w:r>
              <w:rPr>
                <w:rFonts w:asciiTheme="minorEastAsia" w:eastAsiaTheme="minorEastAsia" w:hAnsiTheme="minorEastAsia" w:cs="宋体"/>
                <w:color w:val="000000" w:themeColor="text1"/>
                <w:kern w:val="0"/>
              </w:rPr>
              <w:t>603338</w:t>
            </w:r>
          </w:p>
        </w:tc>
        <w:tc>
          <w:tcPr>
            <w:tcW w:w="1701" w:type="dxa"/>
            <w:vAlign w:val="center"/>
          </w:tcPr>
          <w:p w:rsidR="001808F5" w:rsidRDefault="000B5D44">
            <w:pPr>
              <w:jc w:val="center"/>
            </w:pPr>
            <w:r>
              <w:rPr>
                <w:rFonts w:asciiTheme="minorEastAsia" w:eastAsiaTheme="minorEastAsia" w:hAnsiTheme="minorEastAsia" w:cs="宋体"/>
                <w:color w:val="000000" w:themeColor="text1"/>
                <w:kern w:val="0"/>
              </w:rPr>
              <w:t>浙江鼎力</w:t>
            </w:r>
          </w:p>
        </w:tc>
        <w:tc>
          <w:tcPr>
            <w:tcW w:w="1276" w:type="dxa"/>
            <w:vAlign w:val="center"/>
          </w:tcPr>
          <w:p w:rsidR="001808F5" w:rsidRDefault="000B5D44">
            <w:pPr>
              <w:jc w:val="right"/>
            </w:pPr>
            <w:r>
              <w:rPr>
                <w:rFonts w:asciiTheme="minorEastAsia" w:eastAsiaTheme="minorEastAsia" w:hAnsiTheme="minorEastAsia" w:cs="宋体"/>
                <w:color w:val="000000" w:themeColor="text1"/>
                <w:kern w:val="0"/>
              </w:rPr>
              <w:t>1,236,549</w:t>
            </w:r>
          </w:p>
        </w:tc>
        <w:tc>
          <w:tcPr>
            <w:tcW w:w="1842" w:type="dxa"/>
            <w:vAlign w:val="center"/>
          </w:tcPr>
          <w:p w:rsidR="001808F5" w:rsidRDefault="000B5D44">
            <w:pPr>
              <w:jc w:val="right"/>
            </w:pPr>
            <w:r>
              <w:rPr>
                <w:rFonts w:asciiTheme="minorEastAsia" w:eastAsiaTheme="minorEastAsia" w:hAnsiTheme="minorEastAsia" w:cs="宋体"/>
                <w:color w:val="000000" w:themeColor="text1"/>
                <w:kern w:val="0"/>
              </w:rPr>
              <w:t>88,413,253.50</w:t>
            </w:r>
          </w:p>
        </w:tc>
        <w:tc>
          <w:tcPr>
            <w:tcW w:w="1616" w:type="dxa"/>
            <w:vAlign w:val="center"/>
          </w:tcPr>
          <w:p w:rsidR="001808F5" w:rsidRDefault="000B5D44">
            <w:pPr>
              <w:jc w:val="right"/>
            </w:pPr>
            <w:r>
              <w:rPr>
                <w:rFonts w:asciiTheme="minorEastAsia" w:eastAsiaTheme="minorEastAsia" w:hAnsiTheme="minorEastAsia" w:cs="宋体"/>
                <w:color w:val="000000" w:themeColor="text1"/>
                <w:kern w:val="0"/>
              </w:rPr>
              <w:t>3.33</w:t>
            </w:r>
          </w:p>
        </w:tc>
      </w:tr>
    </w:tbl>
    <w:p w:rsidR="001808F5" w:rsidRDefault="001808F5">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1808F5" w:rsidRDefault="001808F5">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1808F5" w:rsidRDefault="000B5D44">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1808F5" w:rsidRDefault="001808F5">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1808F5" w:rsidRDefault="001808F5">
      <w:pPr>
        <w:adjustRightInd w:val="0"/>
        <w:snapToGrid w:val="0"/>
        <w:spacing w:line="360" w:lineRule="exact"/>
        <w:rPr>
          <w:rFonts w:asciiTheme="minorEastAsia" w:eastAsiaTheme="minorEastAsia" w:hAnsiTheme="minorEastAsia"/>
          <w:color w:val="000000" w:themeColor="text1"/>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1808F5" w:rsidRDefault="000B5D4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1808F5" w:rsidRDefault="000B5D4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1808F5">
        <w:tc>
          <w:tcPr>
            <w:tcW w:w="1235"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1808F5" w:rsidRDefault="000B5D4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1808F5">
        <w:tc>
          <w:tcPr>
            <w:tcW w:w="1235" w:type="dxa"/>
            <w:vAlign w:val="center"/>
          </w:tcPr>
          <w:p w:rsidR="001808F5" w:rsidRDefault="000B5D4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1808F5" w:rsidRDefault="000B5D4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1,424,588.19</w:t>
            </w:r>
          </w:p>
        </w:tc>
      </w:tr>
      <w:tr w:rsidR="001808F5">
        <w:tc>
          <w:tcPr>
            <w:tcW w:w="1235" w:type="dxa"/>
            <w:vAlign w:val="center"/>
          </w:tcPr>
          <w:p w:rsidR="001808F5" w:rsidRDefault="000B5D4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1808F5" w:rsidRDefault="000B5D4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167,064,041.47</w:t>
            </w:r>
          </w:p>
        </w:tc>
      </w:tr>
      <w:tr w:rsidR="001808F5">
        <w:tc>
          <w:tcPr>
            <w:tcW w:w="1235" w:type="dxa"/>
            <w:vAlign w:val="center"/>
          </w:tcPr>
          <w:p w:rsidR="001808F5" w:rsidRDefault="000B5D4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1808F5" w:rsidRDefault="000B5D4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1808F5">
        <w:tc>
          <w:tcPr>
            <w:tcW w:w="1235" w:type="dxa"/>
            <w:vAlign w:val="center"/>
          </w:tcPr>
          <w:p w:rsidR="001808F5" w:rsidRDefault="000B5D4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1808F5" w:rsidRDefault="000B5D4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42,205.10</w:t>
            </w:r>
          </w:p>
        </w:tc>
      </w:tr>
      <w:tr w:rsidR="001808F5">
        <w:tc>
          <w:tcPr>
            <w:tcW w:w="1235" w:type="dxa"/>
            <w:vAlign w:val="center"/>
          </w:tcPr>
          <w:p w:rsidR="001808F5" w:rsidRDefault="000B5D4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1808F5" w:rsidRDefault="000B5D4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1,162,040.70</w:t>
            </w:r>
          </w:p>
        </w:tc>
      </w:tr>
      <w:tr w:rsidR="001808F5">
        <w:tc>
          <w:tcPr>
            <w:tcW w:w="1235" w:type="dxa"/>
            <w:vAlign w:val="center"/>
          </w:tcPr>
          <w:p w:rsidR="001808F5" w:rsidRDefault="000B5D4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1808F5" w:rsidRDefault="000B5D4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1808F5">
        <w:tc>
          <w:tcPr>
            <w:tcW w:w="1235" w:type="dxa"/>
            <w:vAlign w:val="center"/>
          </w:tcPr>
          <w:p w:rsidR="001808F5" w:rsidRDefault="000B5D4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1808F5" w:rsidRDefault="000B5D44">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1808F5">
        <w:tc>
          <w:tcPr>
            <w:tcW w:w="1235" w:type="dxa"/>
            <w:vAlign w:val="center"/>
          </w:tcPr>
          <w:p w:rsidR="001808F5" w:rsidRDefault="000B5D4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1808F5" w:rsidRDefault="000B5D4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1808F5">
        <w:tc>
          <w:tcPr>
            <w:tcW w:w="1235" w:type="dxa"/>
            <w:vAlign w:val="center"/>
          </w:tcPr>
          <w:p w:rsidR="001808F5" w:rsidRDefault="000B5D4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1808F5" w:rsidRDefault="000B5D4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169,692,875.46</w:t>
            </w:r>
          </w:p>
        </w:tc>
      </w:tr>
    </w:tbl>
    <w:p w:rsidR="001808F5" w:rsidRDefault="001808F5">
      <w:pPr>
        <w:autoSpaceDE w:val="0"/>
        <w:autoSpaceDN w:val="0"/>
        <w:adjustRightInd w:val="0"/>
        <w:spacing w:line="360" w:lineRule="auto"/>
        <w:rPr>
          <w:rFonts w:asciiTheme="minorEastAsia" w:eastAsiaTheme="minorEastAsia" w:hAnsiTheme="minorEastAsia"/>
          <w:color w:val="000000" w:themeColor="text1"/>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1808F5" w:rsidRDefault="001808F5">
      <w:pPr>
        <w:autoSpaceDE w:val="0"/>
        <w:autoSpaceDN w:val="0"/>
        <w:adjustRightInd w:val="0"/>
        <w:spacing w:line="360" w:lineRule="auto"/>
        <w:rPr>
          <w:rFonts w:asciiTheme="minorEastAsia" w:eastAsiaTheme="minorEastAsia" w:hAnsiTheme="minorEastAsia"/>
          <w:color w:val="000000" w:themeColor="text1"/>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1808F5" w:rsidRDefault="001808F5">
      <w:pPr>
        <w:autoSpaceDE w:val="0"/>
        <w:autoSpaceDN w:val="0"/>
        <w:adjustRightInd w:val="0"/>
        <w:spacing w:line="360" w:lineRule="auto"/>
        <w:rPr>
          <w:rFonts w:asciiTheme="minorEastAsia" w:eastAsiaTheme="minorEastAsia" w:hAnsiTheme="minorEastAsia"/>
          <w:color w:val="000000" w:themeColor="text1"/>
          <w:sz w:val="24"/>
          <w:szCs w:val="24"/>
        </w:rPr>
      </w:pPr>
    </w:p>
    <w:p w:rsidR="001808F5" w:rsidRDefault="000B5D4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1808F5" w:rsidRDefault="000B5D4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1808F5" w:rsidRDefault="000B5D4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1808F5">
        <w:tc>
          <w:tcPr>
            <w:tcW w:w="4609"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3,382,095,718.52</w:t>
            </w:r>
          </w:p>
        </w:tc>
      </w:tr>
      <w:tr w:rsidR="001808F5">
        <w:tc>
          <w:tcPr>
            <w:tcW w:w="4609"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57,350,295.49</w:t>
            </w:r>
          </w:p>
        </w:tc>
      </w:tr>
      <w:tr w:rsidR="001808F5">
        <w:tc>
          <w:tcPr>
            <w:tcW w:w="4609"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531,603,243.37</w:t>
            </w:r>
          </w:p>
        </w:tc>
      </w:tr>
      <w:tr w:rsidR="001808F5">
        <w:tc>
          <w:tcPr>
            <w:tcW w:w="4609"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1808F5">
        <w:tc>
          <w:tcPr>
            <w:tcW w:w="4609"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808F5" w:rsidRDefault="000B5D4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2,907,842,770.64</w:t>
            </w:r>
          </w:p>
        </w:tc>
      </w:tr>
    </w:tbl>
    <w:p w:rsidR="001808F5" w:rsidRDefault="000B5D44">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1808F5" w:rsidRDefault="000B5D44">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1808F5" w:rsidRDefault="000B5D4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1808F5" w:rsidRDefault="001808F5">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1808F5" w:rsidRDefault="000B5D4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sidR="00470A1A">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1808F5" w:rsidRDefault="00140F5B">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sidR="000B5D44">
        <w:rPr>
          <w:rFonts w:asciiTheme="minorEastAsia" w:eastAsiaTheme="minorEastAsia" w:hAnsiTheme="minorEastAsia"/>
          <w:b/>
          <w:bCs/>
          <w:color w:val="000000" w:themeColor="text1"/>
          <w:kern w:val="0"/>
          <w:sz w:val="24"/>
          <w:szCs w:val="24"/>
        </w:rPr>
        <w:t>.</w:t>
      </w:r>
      <w:r w:rsidR="000B5D44">
        <w:rPr>
          <w:rFonts w:asciiTheme="minorEastAsia" w:eastAsiaTheme="minorEastAsia" w:hAnsiTheme="minorEastAsia" w:hint="eastAsia"/>
          <w:b/>
          <w:bCs/>
          <w:color w:val="000000" w:themeColor="text1"/>
          <w:kern w:val="0"/>
          <w:sz w:val="24"/>
          <w:szCs w:val="24"/>
        </w:rPr>
        <w:t>1</w:t>
      </w:r>
      <w:r w:rsidR="000B5D44">
        <w:rPr>
          <w:rFonts w:asciiTheme="minorEastAsia" w:eastAsiaTheme="minorEastAsia" w:hAnsiTheme="minorEastAsia"/>
          <w:b/>
          <w:bCs/>
          <w:color w:val="000000" w:themeColor="text1"/>
          <w:kern w:val="0"/>
          <w:sz w:val="24"/>
          <w:szCs w:val="24"/>
        </w:rPr>
        <w:t xml:space="preserve"> </w:t>
      </w:r>
      <w:r w:rsidR="000B5D44">
        <w:rPr>
          <w:rFonts w:asciiTheme="minorEastAsia" w:eastAsiaTheme="minorEastAsia" w:hAnsiTheme="minorEastAsia" w:hint="eastAsia"/>
          <w:b/>
          <w:bCs/>
          <w:color w:val="000000" w:themeColor="text1"/>
          <w:kern w:val="0"/>
          <w:sz w:val="24"/>
          <w:szCs w:val="24"/>
        </w:rPr>
        <w:t>备查文件目录</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1、中国证监会批准上投摩根内需动力混合型证券投资基金设立的文件； </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2、《上投摩根内需动力混合型证券投资基金基金合同》； </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3、《上投摩根内需动力混合型证券投资基金托管协议》； </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4、《上投摩根开放式基金业务规则》； </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5、基金管理人业务资格批件、营业执照； </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6、基金托管人业务资格批件和营业执照。</w:t>
      </w:r>
    </w:p>
    <w:p w:rsidR="001808F5" w:rsidRDefault="001808F5">
      <w:pPr>
        <w:spacing w:line="360" w:lineRule="auto"/>
        <w:ind w:firstLineChars="200" w:firstLine="480"/>
        <w:rPr>
          <w:rFonts w:asciiTheme="minorEastAsia" w:eastAsiaTheme="minorEastAsia" w:hAnsiTheme="minorEastAsia"/>
          <w:color w:val="000000" w:themeColor="text1"/>
          <w:sz w:val="24"/>
          <w:szCs w:val="24"/>
        </w:rPr>
      </w:pPr>
    </w:p>
    <w:p w:rsidR="001808F5" w:rsidRDefault="00140F5B">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sidR="000B5D44">
        <w:rPr>
          <w:rFonts w:asciiTheme="minorEastAsia" w:eastAsiaTheme="minorEastAsia" w:hAnsiTheme="minorEastAsia"/>
          <w:b/>
          <w:bCs/>
          <w:color w:val="000000" w:themeColor="text1"/>
          <w:kern w:val="0"/>
          <w:sz w:val="24"/>
          <w:szCs w:val="24"/>
        </w:rPr>
        <w:t>.</w:t>
      </w:r>
      <w:r w:rsidR="000B5D44">
        <w:rPr>
          <w:rFonts w:asciiTheme="minorEastAsia" w:eastAsiaTheme="minorEastAsia" w:hAnsiTheme="minorEastAsia" w:hint="eastAsia"/>
          <w:b/>
          <w:bCs/>
          <w:color w:val="000000" w:themeColor="text1"/>
          <w:kern w:val="0"/>
          <w:sz w:val="24"/>
          <w:szCs w:val="24"/>
        </w:rPr>
        <w:t>2</w:t>
      </w:r>
      <w:r w:rsidR="000B5D44">
        <w:rPr>
          <w:rFonts w:asciiTheme="minorEastAsia" w:eastAsiaTheme="minorEastAsia" w:hAnsiTheme="minorEastAsia"/>
          <w:b/>
          <w:bCs/>
          <w:color w:val="000000" w:themeColor="text1"/>
          <w:kern w:val="0"/>
          <w:sz w:val="24"/>
          <w:szCs w:val="24"/>
        </w:rPr>
        <w:t xml:space="preserve"> </w:t>
      </w:r>
      <w:r w:rsidR="000B5D44">
        <w:rPr>
          <w:rFonts w:asciiTheme="minorEastAsia" w:eastAsiaTheme="minorEastAsia" w:hAnsiTheme="minorEastAsia" w:hint="eastAsia"/>
          <w:b/>
          <w:bCs/>
          <w:color w:val="000000" w:themeColor="text1"/>
          <w:kern w:val="0"/>
          <w:sz w:val="24"/>
          <w:szCs w:val="24"/>
        </w:rPr>
        <w:t>存放地点</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1808F5" w:rsidRDefault="001808F5">
      <w:pPr>
        <w:spacing w:line="360" w:lineRule="auto"/>
        <w:ind w:firstLineChars="200" w:firstLine="480"/>
        <w:rPr>
          <w:rFonts w:asciiTheme="minorEastAsia" w:eastAsiaTheme="minorEastAsia" w:hAnsiTheme="minorEastAsia"/>
          <w:color w:val="000000" w:themeColor="text1"/>
          <w:sz w:val="24"/>
          <w:szCs w:val="24"/>
        </w:rPr>
      </w:pPr>
    </w:p>
    <w:p w:rsidR="001808F5" w:rsidRDefault="00140F5B">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sidR="000B5D44">
        <w:rPr>
          <w:rFonts w:asciiTheme="minorEastAsia" w:eastAsiaTheme="minorEastAsia" w:hAnsiTheme="minorEastAsia"/>
          <w:b/>
          <w:bCs/>
          <w:color w:val="000000" w:themeColor="text1"/>
          <w:kern w:val="0"/>
          <w:sz w:val="24"/>
          <w:szCs w:val="24"/>
        </w:rPr>
        <w:t>.</w:t>
      </w:r>
      <w:r w:rsidR="000B5D44">
        <w:rPr>
          <w:rFonts w:asciiTheme="minorEastAsia" w:eastAsiaTheme="minorEastAsia" w:hAnsiTheme="minorEastAsia" w:hint="eastAsia"/>
          <w:b/>
          <w:bCs/>
          <w:color w:val="000000" w:themeColor="text1"/>
          <w:kern w:val="0"/>
          <w:sz w:val="24"/>
          <w:szCs w:val="24"/>
        </w:rPr>
        <w:t>3</w:t>
      </w:r>
      <w:r w:rsidR="000B5D44">
        <w:rPr>
          <w:rFonts w:asciiTheme="minorEastAsia" w:eastAsiaTheme="minorEastAsia" w:hAnsiTheme="minorEastAsia"/>
          <w:b/>
          <w:bCs/>
          <w:color w:val="000000" w:themeColor="text1"/>
          <w:kern w:val="0"/>
          <w:sz w:val="24"/>
          <w:szCs w:val="24"/>
        </w:rPr>
        <w:t xml:space="preserve"> </w:t>
      </w:r>
      <w:r w:rsidR="000B5D44">
        <w:rPr>
          <w:rFonts w:asciiTheme="minorEastAsia" w:eastAsiaTheme="minorEastAsia" w:hAnsiTheme="minorEastAsia" w:hint="eastAsia"/>
          <w:b/>
          <w:bCs/>
          <w:color w:val="000000" w:themeColor="text1"/>
          <w:kern w:val="0"/>
          <w:sz w:val="24"/>
          <w:szCs w:val="24"/>
        </w:rPr>
        <w:t>查阅方式</w:t>
      </w:r>
    </w:p>
    <w:p w:rsidR="001808F5" w:rsidRDefault="000B5D4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1808F5" w:rsidRDefault="001808F5">
      <w:pPr>
        <w:spacing w:line="360" w:lineRule="auto"/>
        <w:ind w:left="840"/>
        <w:jc w:val="right"/>
        <w:rPr>
          <w:rFonts w:asciiTheme="minorEastAsia" w:eastAsiaTheme="minorEastAsia" w:hAnsiTheme="minorEastAsia"/>
          <w:color w:val="000000" w:themeColor="text1"/>
          <w:sz w:val="24"/>
          <w:szCs w:val="24"/>
        </w:rPr>
      </w:pPr>
    </w:p>
    <w:p w:rsidR="001808F5" w:rsidRDefault="001808F5">
      <w:pPr>
        <w:spacing w:line="360" w:lineRule="auto"/>
        <w:ind w:left="840"/>
        <w:jc w:val="right"/>
        <w:rPr>
          <w:rFonts w:asciiTheme="minorEastAsia" w:eastAsiaTheme="minorEastAsia" w:hAnsiTheme="minorEastAsia"/>
          <w:color w:val="000000" w:themeColor="text1"/>
          <w:sz w:val="24"/>
          <w:szCs w:val="24"/>
        </w:rPr>
      </w:pPr>
    </w:p>
    <w:p w:rsidR="001808F5" w:rsidRDefault="001808F5">
      <w:pPr>
        <w:spacing w:line="360" w:lineRule="auto"/>
        <w:ind w:left="840"/>
        <w:jc w:val="right"/>
        <w:rPr>
          <w:rFonts w:asciiTheme="minorEastAsia" w:eastAsiaTheme="minorEastAsia" w:hAnsiTheme="minorEastAsia"/>
          <w:color w:val="000000" w:themeColor="text1"/>
          <w:sz w:val="24"/>
          <w:szCs w:val="24"/>
        </w:rPr>
      </w:pPr>
    </w:p>
    <w:p w:rsidR="001808F5" w:rsidRDefault="001808F5">
      <w:pPr>
        <w:spacing w:line="360" w:lineRule="auto"/>
        <w:ind w:left="840"/>
        <w:jc w:val="right"/>
        <w:rPr>
          <w:rFonts w:asciiTheme="minorEastAsia" w:eastAsiaTheme="minorEastAsia" w:hAnsiTheme="minorEastAsia"/>
          <w:color w:val="000000" w:themeColor="text1"/>
          <w:sz w:val="24"/>
          <w:szCs w:val="24"/>
        </w:rPr>
      </w:pPr>
    </w:p>
    <w:p w:rsidR="001808F5" w:rsidRDefault="001808F5">
      <w:pPr>
        <w:spacing w:line="360" w:lineRule="auto"/>
        <w:ind w:left="840"/>
        <w:jc w:val="right"/>
        <w:rPr>
          <w:rFonts w:asciiTheme="minorEastAsia" w:eastAsiaTheme="minorEastAsia" w:hAnsiTheme="minorEastAsia"/>
          <w:color w:val="000000" w:themeColor="text1"/>
          <w:sz w:val="24"/>
          <w:szCs w:val="24"/>
        </w:rPr>
      </w:pPr>
    </w:p>
    <w:p w:rsidR="001808F5" w:rsidRDefault="001808F5">
      <w:pPr>
        <w:spacing w:line="360" w:lineRule="auto"/>
        <w:ind w:left="840"/>
        <w:jc w:val="right"/>
        <w:rPr>
          <w:rFonts w:asciiTheme="minorEastAsia" w:eastAsiaTheme="minorEastAsia" w:hAnsiTheme="minorEastAsia"/>
          <w:color w:val="000000" w:themeColor="text1"/>
          <w:sz w:val="24"/>
          <w:szCs w:val="24"/>
        </w:rPr>
      </w:pPr>
    </w:p>
    <w:p w:rsidR="001808F5" w:rsidRDefault="001808F5">
      <w:pPr>
        <w:spacing w:line="360" w:lineRule="auto"/>
        <w:ind w:left="840"/>
        <w:jc w:val="right"/>
        <w:rPr>
          <w:rFonts w:asciiTheme="minorEastAsia" w:eastAsiaTheme="minorEastAsia" w:hAnsiTheme="minorEastAsia"/>
          <w:color w:val="000000" w:themeColor="text1"/>
          <w:sz w:val="24"/>
          <w:szCs w:val="24"/>
        </w:rPr>
      </w:pPr>
    </w:p>
    <w:p w:rsidR="001808F5" w:rsidRDefault="001808F5">
      <w:pPr>
        <w:spacing w:line="360" w:lineRule="auto"/>
        <w:ind w:left="840"/>
        <w:jc w:val="right"/>
        <w:rPr>
          <w:rFonts w:asciiTheme="minorEastAsia" w:eastAsiaTheme="minorEastAsia" w:hAnsiTheme="minorEastAsia"/>
          <w:color w:val="000000" w:themeColor="text1"/>
          <w:sz w:val="24"/>
          <w:szCs w:val="24"/>
        </w:rPr>
      </w:pPr>
    </w:p>
    <w:p w:rsidR="001808F5" w:rsidRDefault="000B5D44">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1808F5" w:rsidRDefault="000B5D44">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二〇二〇年一月二十日</w:t>
      </w:r>
    </w:p>
    <w:p w:rsidR="001808F5" w:rsidRDefault="001808F5">
      <w:pPr>
        <w:spacing w:line="360" w:lineRule="auto"/>
        <w:ind w:left="840"/>
        <w:jc w:val="right"/>
        <w:rPr>
          <w:rFonts w:asciiTheme="minorEastAsia" w:eastAsiaTheme="minorEastAsia" w:hAnsiTheme="minorEastAsia"/>
          <w:b/>
          <w:bCs/>
          <w:color w:val="000000" w:themeColor="text1"/>
          <w:sz w:val="24"/>
          <w:szCs w:val="24"/>
        </w:rPr>
      </w:pPr>
    </w:p>
    <w:p w:rsidR="001808F5" w:rsidRDefault="001808F5">
      <w:pPr>
        <w:rPr>
          <w:rFonts w:asciiTheme="minorEastAsia" w:eastAsiaTheme="minorEastAsia" w:hAnsiTheme="minorEastAsia"/>
          <w:color w:val="000000" w:themeColor="text1"/>
          <w:sz w:val="24"/>
          <w:szCs w:val="24"/>
        </w:rPr>
      </w:pPr>
    </w:p>
    <w:sectPr w:rsidR="001808F5">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D5" w:rsidRDefault="000B5D44">
      <w:r>
        <w:separator/>
      </w:r>
    </w:p>
  </w:endnote>
  <w:endnote w:type="continuationSeparator" w:id="0">
    <w:p w:rsidR="002145D5" w:rsidRDefault="000B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F5" w:rsidRDefault="000B5D44">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C2464A" w:rsidRPr="00C2464A">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F5" w:rsidRDefault="000B5D44">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C2464A">
      <w:rPr>
        <w:rStyle w:val="af3"/>
        <w:noProof/>
      </w:rPr>
      <w:t>3</w:t>
    </w:r>
    <w:r>
      <w:rPr>
        <w:rStyle w:val="af3"/>
      </w:rPr>
      <w:fldChar w:fldCharType="end"/>
    </w:r>
  </w:p>
  <w:p w:rsidR="001808F5" w:rsidRDefault="001808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D5" w:rsidRDefault="000B5D44">
      <w:r>
        <w:separator/>
      </w:r>
    </w:p>
  </w:footnote>
  <w:footnote w:type="continuationSeparator" w:id="0">
    <w:p w:rsidR="002145D5" w:rsidRDefault="000B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F5" w:rsidRDefault="000B5D44">
    <w:pPr>
      <w:pStyle w:val="ad"/>
      <w:pBdr>
        <w:bottom w:val="single" w:sz="6" w:space="0" w:color="auto"/>
      </w:pBdr>
      <w:jc w:val="right"/>
    </w:pPr>
    <w:r>
      <w:rPr>
        <w:rFonts w:hint="eastAsia"/>
      </w:rPr>
      <w:t>上投摩根内需动力混合型证券投资基金</w:t>
    </w:r>
    <w:r>
      <w:rPr>
        <w:rFonts w:hint="eastAsia"/>
      </w:rPr>
      <w:t>2019</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5D44"/>
    <w:rsid w:val="000B624F"/>
    <w:rsid w:val="000B73C6"/>
    <w:rsid w:val="000C190B"/>
    <w:rsid w:val="000C1E17"/>
    <w:rsid w:val="000C3A61"/>
    <w:rsid w:val="000C5216"/>
    <w:rsid w:val="000D0E6C"/>
    <w:rsid w:val="000D3ED4"/>
    <w:rsid w:val="000F6CC8"/>
    <w:rsid w:val="00111261"/>
    <w:rsid w:val="00137452"/>
    <w:rsid w:val="00140F5B"/>
    <w:rsid w:val="00144F93"/>
    <w:rsid w:val="00147376"/>
    <w:rsid w:val="00150E7E"/>
    <w:rsid w:val="00154BE1"/>
    <w:rsid w:val="00160EDC"/>
    <w:rsid w:val="001631C7"/>
    <w:rsid w:val="001675CD"/>
    <w:rsid w:val="00171EF0"/>
    <w:rsid w:val="00175D4F"/>
    <w:rsid w:val="001761D2"/>
    <w:rsid w:val="001808F5"/>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45D5"/>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0A1A"/>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2464A"/>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29EFD2-9F85-46D6-AAE4-F88C9AFC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A31B3-9DDD-46BA-9ECE-90D5AC12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993</Words>
  <Characters>5665</Characters>
  <Application>Microsoft Office Word</Application>
  <DocSecurity>0</DocSecurity>
  <Lines>47</Lines>
  <Paragraphs>13</Paragraphs>
  <ScaleCrop>false</ScaleCrop>
  <Company>Microsoft</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 Qiu</cp:lastModifiedBy>
  <cp:revision>268</cp:revision>
  <dcterms:created xsi:type="dcterms:W3CDTF">2012-10-16T06:07:00Z</dcterms:created>
  <dcterms:modified xsi:type="dcterms:W3CDTF">2020-01-16T10:55:00Z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