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摩根内需动力混合型证券投资基金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摩根内需动力混合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2,321,022,147.21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本基金重点投资于内需增长背景下具有竞争优势的上市公司，把握中国经济和行业快速增长带来的投资机会，追求基金资产长期稳定增值。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p>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在投资组合构建和管理的过程中，本基金将采取</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与</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相结合的方法。基金管理人在内需驱动行业分析的基础上，选择具有可持续增长前景的优势上市公司股票，以合理价格买入并进行中长期投资。</w:t>
            </w:r>
          </w:p>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p>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本基金以股票投资为主，一般市场情况下，基金管理人不会积极追求大类资产配置，但为进一步控制投资风险，优化组合流动性管理，本基金将适度防御性资产配置，进行债券、货币市场工具等品种投资。</w:t>
            </w:r>
          </w:p>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14FE4" w:rsidRDefault="0013225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2,317,905,623.95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3,116,523.26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-110,954,049.11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-123,635.45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-304,389,632.78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-293,006.62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-0.1316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1,554,603,022.80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2,079,453.10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0.6707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0.6672</w:t>
            </w:r>
          </w:p>
        </w:tc>
      </w:tr>
    </w:tbl>
    <w:p w:rsidR="00C14FE4" w:rsidRDefault="001322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14FE4">
        <w:tc>
          <w:tcPr>
            <w:tcW w:w="1290" w:type="dxa"/>
            <w:vAlign w:val="center"/>
          </w:tcPr>
          <w:p w:rsidR="00C14FE4" w:rsidRDefault="00132258">
            <w:pPr>
              <w:jc w:val="left"/>
            </w:pPr>
            <w:r>
              <w:rPr>
                <w:rFonts w:eastAsiaTheme="minorEastAsia"/>
                <w:color w:val="000000" w:themeColor="text1"/>
                <w:szCs w:val="21"/>
              </w:rPr>
              <w:t>过去三个月</w:t>
            </w:r>
          </w:p>
        </w:tc>
        <w:tc>
          <w:tcPr>
            <w:tcW w:w="1291" w:type="dxa"/>
            <w:vAlign w:val="center"/>
          </w:tcPr>
          <w:p w:rsidR="00C14FE4" w:rsidRDefault="00132258">
            <w:pPr>
              <w:jc w:val="right"/>
            </w:pPr>
            <w:r>
              <w:rPr>
                <w:rFonts w:eastAsiaTheme="minorEastAsia"/>
                <w:color w:val="000000" w:themeColor="text1"/>
                <w:szCs w:val="21"/>
              </w:rPr>
              <w:t>-16.43%</w:t>
            </w:r>
          </w:p>
        </w:tc>
        <w:tc>
          <w:tcPr>
            <w:tcW w:w="1291" w:type="dxa"/>
            <w:vAlign w:val="center"/>
          </w:tcPr>
          <w:p w:rsidR="00C14FE4" w:rsidRDefault="00132258">
            <w:pPr>
              <w:jc w:val="right"/>
            </w:pPr>
            <w:r>
              <w:rPr>
                <w:rFonts w:eastAsiaTheme="minorEastAsia"/>
                <w:color w:val="000000" w:themeColor="text1"/>
                <w:szCs w:val="21"/>
              </w:rPr>
              <w:t>1.38%</w:t>
            </w:r>
          </w:p>
        </w:tc>
        <w:tc>
          <w:tcPr>
            <w:tcW w:w="1291" w:type="dxa"/>
            <w:vAlign w:val="center"/>
          </w:tcPr>
          <w:p w:rsidR="00C14FE4" w:rsidRDefault="00132258">
            <w:pPr>
              <w:jc w:val="right"/>
            </w:pPr>
            <w:r>
              <w:rPr>
                <w:rFonts w:eastAsiaTheme="minorEastAsia"/>
                <w:color w:val="000000" w:themeColor="text1"/>
                <w:szCs w:val="21"/>
              </w:rPr>
              <w:t>-3.02%</w:t>
            </w:r>
          </w:p>
        </w:tc>
        <w:tc>
          <w:tcPr>
            <w:tcW w:w="1291" w:type="dxa"/>
            <w:vAlign w:val="center"/>
          </w:tcPr>
          <w:p w:rsidR="00C14FE4" w:rsidRDefault="00132258">
            <w:pPr>
              <w:jc w:val="right"/>
            </w:pPr>
            <w:r>
              <w:rPr>
                <w:rFonts w:eastAsiaTheme="minorEastAsia"/>
                <w:color w:val="000000" w:themeColor="text1"/>
                <w:szCs w:val="21"/>
              </w:rPr>
              <w:t>0.73%</w:t>
            </w:r>
          </w:p>
        </w:tc>
        <w:tc>
          <w:tcPr>
            <w:tcW w:w="1291" w:type="dxa"/>
            <w:vAlign w:val="center"/>
          </w:tcPr>
          <w:p w:rsidR="00C14FE4" w:rsidRDefault="00132258">
            <w:pPr>
              <w:jc w:val="right"/>
            </w:pPr>
            <w:r>
              <w:rPr>
                <w:rFonts w:eastAsiaTheme="minorEastAsia"/>
                <w:color w:val="000000" w:themeColor="text1"/>
                <w:szCs w:val="21"/>
              </w:rPr>
              <w:t>-13.41%</w:t>
            </w:r>
          </w:p>
        </w:tc>
        <w:tc>
          <w:tcPr>
            <w:tcW w:w="1291" w:type="dxa"/>
            <w:vAlign w:val="center"/>
          </w:tcPr>
          <w:p w:rsidR="00C14FE4" w:rsidRDefault="00132258">
            <w:pPr>
              <w:jc w:val="right"/>
            </w:pPr>
            <w:r>
              <w:rPr>
                <w:rFonts w:eastAsiaTheme="minorEastAsia"/>
                <w:color w:val="000000" w:themeColor="text1"/>
                <w:szCs w:val="21"/>
              </w:rPr>
              <w:t>0.65%</w:t>
            </w:r>
          </w:p>
        </w:tc>
      </w:tr>
      <w:tr w:rsidR="00C14FE4">
        <w:tc>
          <w:tcPr>
            <w:tcW w:w="1290" w:type="dxa"/>
            <w:vAlign w:val="center"/>
          </w:tcPr>
          <w:p w:rsidR="00C14FE4" w:rsidRDefault="00132258">
            <w:pPr>
              <w:jc w:val="left"/>
            </w:pPr>
            <w:r>
              <w:rPr>
                <w:rFonts w:eastAsiaTheme="minorEastAsia"/>
                <w:color w:val="000000" w:themeColor="text1"/>
                <w:szCs w:val="21"/>
              </w:rPr>
              <w:t>过去六个月</w:t>
            </w:r>
          </w:p>
        </w:tc>
        <w:tc>
          <w:tcPr>
            <w:tcW w:w="1291" w:type="dxa"/>
            <w:vAlign w:val="center"/>
          </w:tcPr>
          <w:p w:rsidR="00C14FE4" w:rsidRDefault="00132258">
            <w:pPr>
              <w:jc w:val="right"/>
            </w:pPr>
            <w:r>
              <w:rPr>
                <w:rFonts w:eastAsiaTheme="minorEastAsia"/>
                <w:color w:val="000000" w:themeColor="text1"/>
                <w:szCs w:val="21"/>
              </w:rPr>
              <w:t>-16.03%</w:t>
            </w:r>
          </w:p>
        </w:tc>
        <w:tc>
          <w:tcPr>
            <w:tcW w:w="1291" w:type="dxa"/>
            <w:vAlign w:val="center"/>
          </w:tcPr>
          <w:p w:rsidR="00C14FE4" w:rsidRDefault="00132258">
            <w:pPr>
              <w:jc w:val="right"/>
            </w:pPr>
            <w:r>
              <w:rPr>
                <w:rFonts w:eastAsiaTheme="minorEastAsia"/>
                <w:color w:val="000000" w:themeColor="text1"/>
                <w:szCs w:val="21"/>
              </w:rPr>
              <w:t>1.59%</w:t>
            </w:r>
          </w:p>
        </w:tc>
        <w:tc>
          <w:tcPr>
            <w:tcW w:w="1291" w:type="dxa"/>
            <w:vAlign w:val="center"/>
          </w:tcPr>
          <w:p w:rsidR="00C14FE4" w:rsidRDefault="00132258">
            <w:pPr>
              <w:jc w:val="right"/>
            </w:pPr>
            <w:r>
              <w:rPr>
                <w:rFonts w:eastAsiaTheme="minorEastAsia"/>
                <w:color w:val="000000" w:themeColor="text1"/>
                <w:szCs w:val="21"/>
              </w:rPr>
              <w:t>-6.69%</w:t>
            </w:r>
          </w:p>
        </w:tc>
        <w:tc>
          <w:tcPr>
            <w:tcW w:w="1291" w:type="dxa"/>
            <w:vAlign w:val="center"/>
          </w:tcPr>
          <w:p w:rsidR="00C14FE4" w:rsidRDefault="00132258">
            <w:pPr>
              <w:jc w:val="right"/>
            </w:pPr>
            <w:r>
              <w:rPr>
                <w:rFonts w:eastAsiaTheme="minorEastAsia"/>
                <w:color w:val="000000" w:themeColor="text1"/>
                <w:szCs w:val="21"/>
              </w:rPr>
              <w:t>0.69%</w:t>
            </w:r>
          </w:p>
        </w:tc>
        <w:tc>
          <w:tcPr>
            <w:tcW w:w="1291" w:type="dxa"/>
            <w:vAlign w:val="center"/>
          </w:tcPr>
          <w:p w:rsidR="00C14FE4" w:rsidRDefault="00132258">
            <w:pPr>
              <w:jc w:val="right"/>
            </w:pPr>
            <w:r>
              <w:rPr>
                <w:rFonts w:eastAsiaTheme="minorEastAsia"/>
                <w:color w:val="000000" w:themeColor="text1"/>
                <w:szCs w:val="21"/>
              </w:rPr>
              <w:t>-9.34%</w:t>
            </w:r>
          </w:p>
        </w:tc>
        <w:tc>
          <w:tcPr>
            <w:tcW w:w="1291" w:type="dxa"/>
            <w:vAlign w:val="center"/>
          </w:tcPr>
          <w:p w:rsidR="00C14FE4" w:rsidRDefault="00132258">
            <w:pPr>
              <w:jc w:val="right"/>
            </w:pPr>
            <w:r>
              <w:rPr>
                <w:rFonts w:eastAsiaTheme="minorEastAsia"/>
                <w:color w:val="000000" w:themeColor="text1"/>
                <w:szCs w:val="21"/>
              </w:rPr>
              <w:t>0.90%</w:t>
            </w:r>
          </w:p>
        </w:tc>
      </w:tr>
      <w:tr w:rsidR="00C14FE4">
        <w:tc>
          <w:tcPr>
            <w:tcW w:w="1290" w:type="dxa"/>
            <w:vAlign w:val="center"/>
          </w:tcPr>
          <w:p w:rsidR="00C14FE4" w:rsidRDefault="00132258">
            <w:pPr>
              <w:jc w:val="left"/>
            </w:pPr>
            <w:r>
              <w:rPr>
                <w:rFonts w:eastAsiaTheme="minorEastAsia"/>
                <w:color w:val="000000" w:themeColor="text1"/>
                <w:szCs w:val="21"/>
              </w:rPr>
              <w:t>过去一年</w:t>
            </w:r>
          </w:p>
        </w:tc>
        <w:tc>
          <w:tcPr>
            <w:tcW w:w="1291" w:type="dxa"/>
            <w:vAlign w:val="center"/>
          </w:tcPr>
          <w:p w:rsidR="00C14FE4" w:rsidRDefault="00132258">
            <w:pPr>
              <w:jc w:val="right"/>
            </w:pPr>
            <w:r>
              <w:rPr>
                <w:rFonts w:eastAsiaTheme="minorEastAsia"/>
                <w:color w:val="000000" w:themeColor="text1"/>
                <w:szCs w:val="21"/>
              </w:rPr>
              <w:t>-28.18%</w:t>
            </w:r>
          </w:p>
        </w:tc>
        <w:tc>
          <w:tcPr>
            <w:tcW w:w="1291" w:type="dxa"/>
            <w:vAlign w:val="center"/>
          </w:tcPr>
          <w:p w:rsidR="00C14FE4" w:rsidRDefault="00132258">
            <w:pPr>
              <w:jc w:val="right"/>
            </w:pPr>
            <w:r>
              <w:rPr>
                <w:rFonts w:eastAsiaTheme="minorEastAsia"/>
                <w:color w:val="000000" w:themeColor="text1"/>
                <w:szCs w:val="21"/>
              </w:rPr>
              <w:t>1.43%</w:t>
            </w:r>
          </w:p>
        </w:tc>
        <w:tc>
          <w:tcPr>
            <w:tcW w:w="1291" w:type="dxa"/>
            <w:vAlign w:val="center"/>
          </w:tcPr>
          <w:p w:rsidR="00C14FE4" w:rsidRDefault="00132258">
            <w:pPr>
              <w:jc w:val="right"/>
            </w:pPr>
            <w:r>
              <w:rPr>
                <w:rFonts w:eastAsiaTheme="minorEastAsia"/>
                <w:color w:val="000000" w:themeColor="text1"/>
                <w:szCs w:val="21"/>
              </w:rPr>
              <w:t>-1.76%</w:t>
            </w:r>
          </w:p>
        </w:tc>
        <w:tc>
          <w:tcPr>
            <w:tcW w:w="1291" w:type="dxa"/>
            <w:vAlign w:val="center"/>
          </w:tcPr>
          <w:p w:rsidR="00C14FE4" w:rsidRDefault="00132258">
            <w:pPr>
              <w:jc w:val="right"/>
            </w:pPr>
            <w:r>
              <w:rPr>
                <w:rFonts w:eastAsiaTheme="minorEastAsia"/>
                <w:color w:val="000000" w:themeColor="text1"/>
                <w:szCs w:val="21"/>
              </w:rPr>
              <w:t>0.79%</w:t>
            </w:r>
          </w:p>
        </w:tc>
        <w:tc>
          <w:tcPr>
            <w:tcW w:w="1291" w:type="dxa"/>
            <w:vAlign w:val="center"/>
          </w:tcPr>
          <w:p w:rsidR="00C14FE4" w:rsidRDefault="00132258">
            <w:pPr>
              <w:jc w:val="right"/>
            </w:pPr>
            <w:r>
              <w:rPr>
                <w:rFonts w:eastAsiaTheme="minorEastAsia"/>
                <w:color w:val="000000" w:themeColor="text1"/>
                <w:szCs w:val="21"/>
              </w:rPr>
              <w:t>-26.42%</w:t>
            </w:r>
          </w:p>
        </w:tc>
        <w:tc>
          <w:tcPr>
            <w:tcW w:w="1291" w:type="dxa"/>
            <w:vAlign w:val="center"/>
          </w:tcPr>
          <w:p w:rsidR="00C14FE4" w:rsidRDefault="00132258">
            <w:pPr>
              <w:jc w:val="right"/>
            </w:pPr>
            <w:r>
              <w:rPr>
                <w:rFonts w:eastAsiaTheme="minorEastAsia"/>
                <w:color w:val="000000" w:themeColor="text1"/>
                <w:szCs w:val="21"/>
              </w:rPr>
              <w:t>0.64%</w:t>
            </w:r>
          </w:p>
        </w:tc>
      </w:tr>
      <w:tr w:rsidR="00C14FE4">
        <w:tc>
          <w:tcPr>
            <w:tcW w:w="1290" w:type="dxa"/>
            <w:vAlign w:val="center"/>
          </w:tcPr>
          <w:p w:rsidR="00C14FE4" w:rsidRDefault="00132258">
            <w:pPr>
              <w:jc w:val="left"/>
            </w:pPr>
            <w:r>
              <w:rPr>
                <w:rFonts w:eastAsiaTheme="minorEastAsia"/>
                <w:color w:val="000000" w:themeColor="text1"/>
                <w:szCs w:val="21"/>
              </w:rPr>
              <w:t>过去三年</w:t>
            </w:r>
          </w:p>
        </w:tc>
        <w:tc>
          <w:tcPr>
            <w:tcW w:w="1291" w:type="dxa"/>
            <w:vAlign w:val="center"/>
          </w:tcPr>
          <w:p w:rsidR="00C14FE4" w:rsidRDefault="00132258">
            <w:pPr>
              <w:jc w:val="right"/>
            </w:pPr>
            <w:r>
              <w:rPr>
                <w:rFonts w:eastAsiaTheme="minorEastAsia"/>
                <w:color w:val="000000" w:themeColor="text1"/>
                <w:szCs w:val="21"/>
              </w:rPr>
              <w:t>-33.24%</w:t>
            </w:r>
          </w:p>
        </w:tc>
        <w:tc>
          <w:tcPr>
            <w:tcW w:w="1291" w:type="dxa"/>
            <w:vAlign w:val="center"/>
          </w:tcPr>
          <w:p w:rsidR="00C14FE4" w:rsidRDefault="00132258">
            <w:pPr>
              <w:jc w:val="right"/>
            </w:pPr>
            <w:r>
              <w:rPr>
                <w:rFonts w:eastAsiaTheme="minorEastAsia"/>
                <w:color w:val="000000" w:themeColor="text1"/>
                <w:szCs w:val="21"/>
              </w:rPr>
              <w:t>1.67%</w:t>
            </w:r>
          </w:p>
        </w:tc>
        <w:tc>
          <w:tcPr>
            <w:tcW w:w="1291" w:type="dxa"/>
            <w:vAlign w:val="center"/>
          </w:tcPr>
          <w:p w:rsidR="00C14FE4" w:rsidRDefault="00132258">
            <w:pPr>
              <w:jc w:val="right"/>
            </w:pPr>
            <w:r>
              <w:rPr>
                <w:rFonts w:eastAsiaTheme="minorEastAsia"/>
                <w:color w:val="000000" w:themeColor="text1"/>
                <w:szCs w:val="21"/>
              </w:rPr>
              <w:t>-13.32%</w:t>
            </w:r>
          </w:p>
        </w:tc>
        <w:tc>
          <w:tcPr>
            <w:tcW w:w="1291" w:type="dxa"/>
            <w:vAlign w:val="center"/>
          </w:tcPr>
          <w:p w:rsidR="00C14FE4" w:rsidRDefault="00132258">
            <w:pPr>
              <w:jc w:val="right"/>
            </w:pPr>
            <w:r>
              <w:rPr>
                <w:rFonts w:eastAsiaTheme="minorEastAsia"/>
                <w:color w:val="000000" w:themeColor="text1"/>
                <w:szCs w:val="21"/>
              </w:rPr>
              <w:t>0.90%</w:t>
            </w:r>
          </w:p>
        </w:tc>
        <w:tc>
          <w:tcPr>
            <w:tcW w:w="1291" w:type="dxa"/>
            <w:vAlign w:val="center"/>
          </w:tcPr>
          <w:p w:rsidR="00C14FE4" w:rsidRDefault="00132258">
            <w:pPr>
              <w:jc w:val="right"/>
            </w:pPr>
            <w:r>
              <w:rPr>
                <w:rFonts w:eastAsiaTheme="minorEastAsia"/>
                <w:color w:val="000000" w:themeColor="text1"/>
                <w:szCs w:val="21"/>
              </w:rPr>
              <w:t>-19.92%</w:t>
            </w:r>
          </w:p>
        </w:tc>
        <w:tc>
          <w:tcPr>
            <w:tcW w:w="1291" w:type="dxa"/>
            <w:vAlign w:val="center"/>
          </w:tcPr>
          <w:p w:rsidR="00C14FE4" w:rsidRDefault="00132258">
            <w:pPr>
              <w:jc w:val="right"/>
            </w:pPr>
            <w:r>
              <w:rPr>
                <w:rFonts w:eastAsiaTheme="minorEastAsia"/>
                <w:color w:val="000000" w:themeColor="text1"/>
                <w:szCs w:val="21"/>
              </w:rPr>
              <w:t>0.77%</w:t>
            </w:r>
          </w:p>
        </w:tc>
      </w:tr>
      <w:tr w:rsidR="00C14FE4">
        <w:tc>
          <w:tcPr>
            <w:tcW w:w="1290" w:type="dxa"/>
            <w:vAlign w:val="center"/>
          </w:tcPr>
          <w:p w:rsidR="00C14FE4" w:rsidRDefault="00132258">
            <w:pPr>
              <w:jc w:val="left"/>
            </w:pPr>
            <w:r>
              <w:rPr>
                <w:rFonts w:eastAsiaTheme="minorEastAsia"/>
                <w:color w:val="000000" w:themeColor="text1"/>
                <w:szCs w:val="21"/>
              </w:rPr>
              <w:t>过去五年</w:t>
            </w:r>
          </w:p>
        </w:tc>
        <w:tc>
          <w:tcPr>
            <w:tcW w:w="1291" w:type="dxa"/>
            <w:vAlign w:val="center"/>
          </w:tcPr>
          <w:p w:rsidR="00C14FE4" w:rsidRDefault="00132258">
            <w:pPr>
              <w:jc w:val="right"/>
            </w:pPr>
            <w:r>
              <w:rPr>
                <w:rFonts w:eastAsiaTheme="minorEastAsia"/>
                <w:color w:val="000000" w:themeColor="text1"/>
                <w:szCs w:val="21"/>
              </w:rPr>
              <w:t>30.26%</w:t>
            </w:r>
          </w:p>
        </w:tc>
        <w:tc>
          <w:tcPr>
            <w:tcW w:w="1291" w:type="dxa"/>
            <w:vAlign w:val="center"/>
          </w:tcPr>
          <w:p w:rsidR="00C14FE4" w:rsidRDefault="00132258">
            <w:pPr>
              <w:jc w:val="right"/>
            </w:pPr>
            <w:r>
              <w:rPr>
                <w:rFonts w:eastAsiaTheme="minorEastAsia"/>
                <w:color w:val="000000" w:themeColor="text1"/>
                <w:szCs w:val="21"/>
              </w:rPr>
              <w:t>1.69%</w:t>
            </w:r>
          </w:p>
        </w:tc>
        <w:tc>
          <w:tcPr>
            <w:tcW w:w="1291" w:type="dxa"/>
            <w:vAlign w:val="center"/>
          </w:tcPr>
          <w:p w:rsidR="00C14FE4" w:rsidRDefault="00132258">
            <w:pPr>
              <w:jc w:val="right"/>
            </w:pPr>
            <w:r>
              <w:rPr>
                <w:rFonts w:eastAsiaTheme="minorEastAsia"/>
                <w:color w:val="000000" w:themeColor="text1"/>
                <w:szCs w:val="21"/>
              </w:rPr>
              <w:t>10.33%</w:t>
            </w:r>
          </w:p>
        </w:tc>
        <w:tc>
          <w:tcPr>
            <w:tcW w:w="1291" w:type="dxa"/>
            <w:vAlign w:val="center"/>
          </w:tcPr>
          <w:p w:rsidR="00C14FE4" w:rsidRDefault="00132258">
            <w:pPr>
              <w:jc w:val="right"/>
            </w:pPr>
            <w:r>
              <w:rPr>
                <w:rFonts w:eastAsiaTheme="minorEastAsia"/>
                <w:color w:val="000000" w:themeColor="text1"/>
                <w:szCs w:val="21"/>
              </w:rPr>
              <w:t>1.00%</w:t>
            </w:r>
          </w:p>
        </w:tc>
        <w:tc>
          <w:tcPr>
            <w:tcW w:w="1291" w:type="dxa"/>
            <w:vAlign w:val="center"/>
          </w:tcPr>
          <w:p w:rsidR="00C14FE4" w:rsidRDefault="00132258">
            <w:pPr>
              <w:jc w:val="right"/>
            </w:pPr>
            <w:r>
              <w:rPr>
                <w:rFonts w:eastAsiaTheme="minorEastAsia"/>
                <w:color w:val="000000" w:themeColor="text1"/>
                <w:szCs w:val="21"/>
              </w:rPr>
              <w:t>19.93%</w:t>
            </w:r>
          </w:p>
        </w:tc>
        <w:tc>
          <w:tcPr>
            <w:tcW w:w="1291" w:type="dxa"/>
            <w:vAlign w:val="center"/>
          </w:tcPr>
          <w:p w:rsidR="00C14FE4" w:rsidRDefault="00132258">
            <w:pPr>
              <w:jc w:val="right"/>
            </w:pPr>
            <w:r>
              <w:rPr>
                <w:rFonts w:eastAsiaTheme="minorEastAsia"/>
                <w:color w:val="000000" w:themeColor="text1"/>
                <w:szCs w:val="21"/>
              </w:rPr>
              <w:t>0.69%</w:t>
            </w:r>
          </w:p>
        </w:tc>
      </w:tr>
      <w:tr w:rsidR="00C14FE4">
        <w:tc>
          <w:tcPr>
            <w:tcW w:w="1290" w:type="dxa"/>
            <w:vAlign w:val="center"/>
          </w:tcPr>
          <w:p w:rsidR="00C14FE4" w:rsidRDefault="00132258">
            <w:pPr>
              <w:jc w:val="left"/>
            </w:pPr>
            <w:r>
              <w:rPr>
                <w:rFonts w:eastAsiaTheme="minorEastAsia"/>
                <w:color w:val="000000" w:themeColor="text1"/>
                <w:szCs w:val="21"/>
              </w:rPr>
              <w:t>自基金合同生效起至今</w:t>
            </w:r>
          </w:p>
        </w:tc>
        <w:tc>
          <w:tcPr>
            <w:tcW w:w="1291" w:type="dxa"/>
            <w:vAlign w:val="center"/>
          </w:tcPr>
          <w:p w:rsidR="00C14FE4" w:rsidRDefault="00132258">
            <w:pPr>
              <w:jc w:val="right"/>
            </w:pPr>
            <w:r>
              <w:rPr>
                <w:rFonts w:eastAsiaTheme="minorEastAsia"/>
                <w:color w:val="000000" w:themeColor="text1"/>
                <w:szCs w:val="21"/>
              </w:rPr>
              <w:t>83.63%</w:t>
            </w:r>
          </w:p>
        </w:tc>
        <w:tc>
          <w:tcPr>
            <w:tcW w:w="1291" w:type="dxa"/>
            <w:vAlign w:val="center"/>
          </w:tcPr>
          <w:p w:rsidR="00C14FE4" w:rsidRDefault="00132258">
            <w:pPr>
              <w:jc w:val="right"/>
            </w:pPr>
            <w:r>
              <w:rPr>
                <w:rFonts w:eastAsiaTheme="minorEastAsia"/>
                <w:color w:val="000000" w:themeColor="text1"/>
                <w:szCs w:val="21"/>
              </w:rPr>
              <w:t>1.73%</w:t>
            </w:r>
          </w:p>
        </w:tc>
        <w:tc>
          <w:tcPr>
            <w:tcW w:w="1291" w:type="dxa"/>
            <w:vAlign w:val="center"/>
          </w:tcPr>
          <w:p w:rsidR="00C14FE4" w:rsidRDefault="00132258">
            <w:pPr>
              <w:jc w:val="right"/>
            </w:pPr>
            <w:r>
              <w:rPr>
                <w:rFonts w:eastAsiaTheme="minorEastAsia"/>
                <w:color w:val="000000" w:themeColor="text1"/>
                <w:szCs w:val="21"/>
              </w:rPr>
              <w:t>29.58%</w:t>
            </w:r>
          </w:p>
        </w:tc>
        <w:tc>
          <w:tcPr>
            <w:tcW w:w="1291" w:type="dxa"/>
            <w:vAlign w:val="center"/>
          </w:tcPr>
          <w:p w:rsidR="00C14FE4" w:rsidRDefault="00132258">
            <w:pPr>
              <w:jc w:val="right"/>
            </w:pPr>
            <w:r>
              <w:rPr>
                <w:rFonts w:eastAsiaTheme="minorEastAsia"/>
                <w:color w:val="000000" w:themeColor="text1"/>
                <w:szCs w:val="21"/>
              </w:rPr>
              <w:t>1.31%</w:t>
            </w:r>
          </w:p>
        </w:tc>
        <w:tc>
          <w:tcPr>
            <w:tcW w:w="1291" w:type="dxa"/>
            <w:vAlign w:val="center"/>
          </w:tcPr>
          <w:p w:rsidR="00C14FE4" w:rsidRDefault="00132258">
            <w:pPr>
              <w:jc w:val="right"/>
            </w:pPr>
            <w:r>
              <w:rPr>
                <w:rFonts w:eastAsiaTheme="minorEastAsia"/>
                <w:color w:val="000000" w:themeColor="text1"/>
                <w:szCs w:val="21"/>
              </w:rPr>
              <w:t>54.05%</w:t>
            </w:r>
          </w:p>
        </w:tc>
        <w:tc>
          <w:tcPr>
            <w:tcW w:w="1291" w:type="dxa"/>
            <w:vAlign w:val="center"/>
          </w:tcPr>
          <w:p w:rsidR="00C14FE4" w:rsidRDefault="00132258">
            <w:pPr>
              <w:jc w:val="right"/>
            </w:pPr>
            <w:r>
              <w:rPr>
                <w:rFonts w:eastAsiaTheme="minorEastAsia"/>
                <w:color w:val="000000" w:themeColor="text1"/>
                <w:szCs w:val="21"/>
              </w:rPr>
              <w:t>0.42%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14FE4">
        <w:tc>
          <w:tcPr>
            <w:tcW w:w="1290" w:type="dxa"/>
            <w:vAlign w:val="center"/>
          </w:tcPr>
          <w:p w:rsidR="00C14FE4" w:rsidRDefault="00132258">
            <w:pPr>
              <w:jc w:val="left"/>
            </w:pPr>
            <w:r>
              <w:rPr>
                <w:rFonts w:eastAsiaTheme="minorEastAsia"/>
                <w:color w:val="000000" w:themeColor="text1"/>
                <w:szCs w:val="21"/>
              </w:rPr>
              <w:t>过去三个月</w:t>
            </w:r>
          </w:p>
        </w:tc>
        <w:tc>
          <w:tcPr>
            <w:tcW w:w="1291" w:type="dxa"/>
            <w:vAlign w:val="center"/>
          </w:tcPr>
          <w:p w:rsidR="00C14FE4" w:rsidRDefault="00132258">
            <w:pPr>
              <w:jc w:val="right"/>
            </w:pPr>
            <w:r>
              <w:rPr>
                <w:rFonts w:eastAsiaTheme="minorEastAsia"/>
                <w:color w:val="000000" w:themeColor="text1"/>
                <w:szCs w:val="21"/>
              </w:rPr>
              <w:t>-16.54%</w:t>
            </w:r>
          </w:p>
        </w:tc>
        <w:tc>
          <w:tcPr>
            <w:tcW w:w="1291" w:type="dxa"/>
            <w:vAlign w:val="center"/>
          </w:tcPr>
          <w:p w:rsidR="00C14FE4" w:rsidRDefault="00132258">
            <w:pPr>
              <w:jc w:val="right"/>
            </w:pPr>
            <w:r>
              <w:rPr>
                <w:rFonts w:eastAsiaTheme="minorEastAsia"/>
                <w:color w:val="000000" w:themeColor="text1"/>
                <w:szCs w:val="21"/>
              </w:rPr>
              <w:t>1.38%</w:t>
            </w:r>
          </w:p>
        </w:tc>
        <w:tc>
          <w:tcPr>
            <w:tcW w:w="1291" w:type="dxa"/>
            <w:vAlign w:val="center"/>
          </w:tcPr>
          <w:p w:rsidR="00C14FE4" w:rsidRDefault="00132258">
            <w:pPr>
              <w:jc w:val="right"/>
            </w:pPr>
            <w:r>
              <w:rPr>
                <w:rFonts w:eastAsiaTheme="minorEastAsia"/>
                <w:color w:val="000000" w:themeColor="text1"/>
                <w:szCs w:val="21"/>
              </w:rPr>
              <w:t>-3.02%</w:t>
            </w:r>
          </w:p>
        </w:tc>
        <w:tc>
          <w:tcPr>
            <w:tcW w:w="1291" w:type="dxa"/>
            <w:vAlign w:val="center"/>
          </w:tcPr>
          <w:p w:rsidR="00C14FE4" w:rsidRDefault="00132258">
            <w:pPr>
              <w:jc w:val="right"/>
            </w:pPr>
            <w:r>
              <w:rPr>
                <w:rFonts w:eastAsiaTheme="minorEastAsia"/>
                <w:color w:val="000000" w:themeColor="text1"/>
                <w:szCs w:val="21"/>
              </w:rPr>
              <w:t>0.73%</w:t>
            </w:r>
          </w:p>
        </w:tc>
        <w:tc>
          <w:tcPr>
            <w:tcW w:w="1291" w:type="dxa"/>
            <w:vAlign w:val="center"/>
          </w:tcPr>
          <w:p w:rsidR="00C14FE4" w:rsidRDefault="00132258">
            <w:pPr>
              <w:jc w:val="right"/>
            </w:pPr>
            <w:r>
              <w:rPr>
                <w:rFonts w:eastAsiaTheme="minorEastAsia"/>
                <w:color w:val="000000" w:themeColor="text1"/>
                <w:szCs w:val="21"/>
              </w:rPr>
              <w:t>-13.52%</w:t>
            </w:r>
          </w:p>
        </w:tc>
        <w:tc>
          <w:tcPr>
            <w:tcW w:w="1291" w:type="dxa"/>
            <w:vAlign w:val="center"/>
          </w:tcPr>
          <w:p w:rsidR="00C14FE4" w:rsidRDefault="00132258">
            <w:pPr>
              <w:jc w:val="right"/>
            </w:pPr>
            <w:r>
              <w:rPr>
                <w:rFonts w:eastAsiaTheme="minorEastAsia"/>
                <w:color w:val="000000" w:themeColor="text1"/>
                <w:szCs w:val="21"/>
              </w:rPr>
              <w:t>0.65%</w:t>
            </w:r>
          </w:p>
        </w:tc>
      </w:tr>
      <w:tr w:rsidR="00C14FE4">
        <w:tc>
          <w:tcPr>
            <w:tcW w:w="1290" w:type="dxa"/>
            <w:vAlign w:val="center"/>
          </w:tcPr>
          <w:p w:rsidR="00C14FE4" w:rsidRDefault="00132258">
            <w:pPr>
              <w:jc w:val="left"/>
            </w:pPr>
            <w:r>
              <w:rPr>
                <w:rFonts w:eastAsiaTheme="minorEastAsia"/>
                <w:color w:val="000000" w:themeColor="text1"/>
                <w:szCs w:val="21"/>
              </w:rPr>
              <w:t>过去六个月</w:t>
            </w:r>
          </w:p>
        </w:tc>
        <w:tc>
          <w:tcPr>
            <w:tcW w:w="1291" w:type="dxa"/>
            <w:vAlign w:val="center"/>
          </w:tcPr>
          <w:p w:rsidR="00C14FE4" w:rsidRDefault="00132258">
            <w:pPr>
              <w:jc w:val="right"/>
            </w:pPr>
            <w:r>
              <w:rPr>
                <w:rFonts w:eastAsiaTheme="minorEastAsia"/>
                <w:color w:val="000000" w:themeColor="text1"/>
                <w:szCs w:val="21"/>
              </w:rPr>
              <w:t>-16.24%</w:t>
            </w:r>
          </w:p>
        </w:tc>
        <w:tc>
          <w:tcPr>
            <w:tcW w:w="1291" w:type="dxa"/>
            <w:vAlign w:val="center"/>
          </w:tcPr>
          <w:p w:rsidR="00C14FE4" w:rsidRDefault="00132258">
            <w:pPr>
              <w:jc w:val="right"/>
            </w:pPr>
            <w:r>
              <w:rPr>
                <w:rFonts w:eastAsiaTheme="minorEastAsia"/>
                <w:color w:val="000000" w:themeColor="text1"/>
                <w:szCs w:val="21"/>
              </w:rPr>
              <w:t>1.59%</w:t>
            </w:r>
          </w:p>
        </w:tc>
        <w:tc>
          <w:tcPr>
            <w:tcW w:w="1291" w:type="dxa"/>
            <w:vAlign w:val="center"/>
          </w:tcPr>
          <w:p w:rsidR="00C14FE4" w:rsidRDefault="00132258">
            <w:pPr>
              <w:jc w:val="right"/>
            </w:pPr>
            <w:r>
              <w:rPr>
                <w:rFonts w:eastAsiaTheme="minorEastAsia"/>
                <w:color w:val="000000" w:themeColor="text1"/>
                <w:szCs w:val="21"/>
              </w:rPr>
              <w:t>-6.69%</w:t>
            </w:r>
          </w:p>
        </w:tc>
        <w:tc>
          <w:tcPr>
            <w:tcW w:w="1291" w:type="dxa"/>
            <w:vAlign w:val="center"/>
          </w:tcPr>
          <w:p w:rsidR="00C14FE4" w:rsidRDefault="00132258">
            <w:pPr>
              <w:jc w:val="right"/>
            </w:pPr>
            <w:r>
              <w:rPr>
                <w:rFonts w:eastAsiaTheme="minorEastAsia"/>
                <w:color w:val="000000" w:themeColor="text1"/>
                <w:szCs w:val="21"/>
              </w:rPr>
              <w:t>0.69%</w:t>
            </w:r>
          </w:p>
        </w:tc>
        <w:tc>
          <w:tcPr>
            <w:tcW w:w="1291" w:type="dxa"/>
            <w:vAlign w:val="center"/>
          </w:tcPr>
          <w:p w:rsidR="00C14FE4" w:rsidRDefault="00132258">
            <w:pPr>
              <w:jc w:val="right"/>
            </w:pPr>
            <w:r>
              <w:rPr>
                <w:rFonts w:eastAsiaTheme="minorEastAsia"/>
                <w:color w:val="000000" w:themeColor="text1"/>
                <w:szCs w:val="21"/>
              </w:rPr>
              <w:t>-9.55%</w:t>
            </w:r>
          </w:p>
        </w:tc>
        <w:tc>
          <w:tcPr>
            <w:tcW w:w="1291" w:type="dxa"/>
            <w:vAlign w:val="center"/>
          </w:tcPr>
          <w:p w:rsidR="00C14FE4" w:rsidRDefault="00132258">
            <w:pPr>
              <w:jc w:val="right"/>
            </w:pPr>
            <w:r>
              <w:rPr>
                <w:rFonts w:eastAsiaTheme="minorEastAsia"/>
                <w:color w:val="000000" w:themeColor="text1"/>
                <w:szCs w:val="21"/>
              </w:rPr>
              <w:t>0.90%</w:t>
            </w:r>
          </w:p>
        </w:tc>
      </w:tr>
      <w:tr w:rsidR="00C14FE4">
        <w:tc>
          <w:tcPr>
            <w:tcW w:w="1290" w:type="dxa"/>
            <w:vAlign w:val="center"/>
          </w:tcPr>
          <w:p w:rsidR="00C14FE4" w:rsidRDefault="00132258">
            <w:pPr>
              <w:jc w:val="left"/>
            </w:pPr>
            <w:r>
              <w:rPr>
                <w:rFonts w:eastAsiaTheme="minorEastAsia"/>
                <w:color w:val="000000" w:themeColor="text1"/>
                <w:szCs w:val="21"/>
              </w:rPr>
              <w:t>过去一年</w:t>
            </w:r>
          </w:p>
        </w:tc>
        <w:tc>
          <w:tcPr>
            <w:tcW w:w="1291" w:type="dxa"/>
            <w:vAlign w:val="center"/>
          </w:tcPr>
          <w:p w:rsidR="00C14FE4" w:rsidRDefault="00132258">
            <w:pPr>
              <w:jc w:val="right"/>
            </w:pPr>
            <w:r>
              <w:rPr>
                <w:rFonts w:eastAsiaTheme="minorEastAsia"/>
                <w:color w:val="000000" w:themeColor="text1"/>
                <w:szCs w:val="21"/>
              </w:rPr>
              <w:t>-28.52%</w:t>
            </w:r>
          </w:p>
        </w:tc>
        <w:tc>
          <w:tcPr>
            <w:tcW w:w="1291" w:type="dxa"/>
            <w:vAlign w:val="center"/>
          </w:tcPr>
          <w:p w:rsidR="00C14FE4" w:rsidRDefault="00132258">
            <w:pPr>
              <w:jc w:val="right"/>
            </w:pPr>
            <w:r>
              <w:rPr>
                <w:rFonts w:eastAsiaTheme="minorEastAsia"/>
                <w:color w:val="000000" w:themeColor="text1"/>
                <w:szCs w:val="21"/>
              </w:rPr>
              <w:t>1.43%</w:t>
            </w:r>
          </w:p>
        </w:tc>
        <w:tc>
          <w:tcPr>
            <w:tcW w:w="1291" w:type="dxa"/>
            <w:vAlign w:val="center"/>
          </w:tcPr>
          <w:p w:rsidR="00C14FE4" w:rsidRDefault="00132258">
            <w:pPr>
              <w:jc w:val="right"/>
            </w:pPr>
            <w:r>
              <w:rPr>
                <w:rFonts w:eastAsiaTheme="minorEastAsia"/>
                <w:color w:val="000000" w:themeColor="text1"/>
                <w:szCs w:val="21"/>
              </w:rPr>
              <w:t>-1.76%</w:t>
            </w:r>
          </w:p>
        </w:tc>
        <w:tc>
          <w:tcPr>
            <w:tcW w:w="1291" w:type="dxa"/>
            <w:vAlign w:val="center"/>
          </w:tcPr>
          <w:p w:rsidR="00C14FE4" w:rsidRDefault="00132258">
            <w:pPr>
              <w:jc w:val="right"/>
            </w:pPr>
            <w:r>
              <w:rPr>
                <w:rFonts w:eastAsiaTheme="minorEastAsia"/>
                <w:color w:val="000000" w:themeColor="text1"/>
                <w:szCs w:val="21"/>
              </w:rPr>
              <w:t>0.79%</w:t>
            </w:r>
          </w:p>
        </w:tc>
        <w:tc>
          <w:tcPr>
            <w:tcW w:w="1291" w:type="dxa"/>
            <w:vAlign w:val="center"/>
          </w:tcPr>
          <w:p w:rsidR="00C14FE4" w:rsidRDefault="00132258">
            <w:pPr>
              <w:jc w:val="right"/>
            </w:pPr>
            <w:r>
              <w:rPr>
                <w:rFonts w:eastAsiaTheme="minorEastAsia"/>
                <w:color w:val="000000" w:themeColor="text1"/>
                <w:szCs w:val="21"/>
              </w:rPr>
              <w:t>-26.76%</w:t>
            </w:r>
          </w:p>
        </w:tc>
        <w:tc>
          <w:tcPr>
            <w:tcW w:w="1291" w:type="dxa"/>
            <w:vAlign w:val="center"/>
          </w:tcPr>
          <w:p w:rsidR="00C14FE4" w:rsidRDefault="00132258">
            <w:pPr>
              <w:jc w:val="right"/>
            </w:pPr>
            <w:r>
              <w:rPr>
                <w:rFonts w:eastAsiaTheme="minorEastAsia"/>
                <w:color w:val="000000" w:themeColor="text1"/>
                <w:szCs w:val="21"/>
              </w:rPr>
              <w:t>0.64%</w:t>
            </w:r>
          </w:p>
        </w:tc>
      </w:tr>
      <w:tr w:rsidR="00C14FE4">
        <w:tc>
          <w:tcPr>
            <w:tcW w:w="1290" w:type="dxa"/>
            <w:vAlign w:val="center"/>
          </w:tcPr>
          <w:p w:rsidR="00C14FE4" w:rsidRDefault="00132258">
            <w:pPr>
              <w:jc w:val="left"/>
            </w:pPr>
            <w:r>
              <w:rPr>
                <w:rFonts w:eastAsiaTheme="minorEastAsia"/>
                <w:color w:val="000000" w:themeColor="text1"/>
                <w:szCs w:val="21"/>
              </w:rPr>
              <w:t>过去三年</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r>
      <w:tr w:rsidR="00C14FE4">
        <w:tc>
          <w:tcPr>
            <w:tcW w:w="1290" w:type="dxa"/>
            <w:vAlign w:val="center"/>
          </w:tcPr>
          <w:p w:rsidR="00C14FE4" w:rsidRDefault="00132258">
            <w:pPr>
              <w:jc w:val="left"/>
            </w:pPr>
            <w:r>
              <w:rPr>
                <w:rFonts w:eastAsiaTheme="minorEastAsia"/>
                <w:color w:val="000000" w:themeColor="text1"/>
                <w:szCs w:val="21"/>
              </w:rPr>
              <w:t>过去五年</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c>
          <w:tcPr>
            <w:tcW w:w="1291" w:type="dxa"/>
            <w:vAlign w:val="center"/>
          </w:tcPr>
          <w:p w:rsidR="00C14FE4" w:rsidRDefault="00132258">
            <w:pPr>
              <w:jc w:val="right"/>
            </w:pPr>
            <w:r>
              <w:rPr>
                <w:rFonts w:eastAsiaTheme="minorEastAsia"/>
                <w:color w:val="000000" w:themeColor="text1"/>
                <w:szCs w:val="21"/>
              </w:rPr>
              <w:t>-</w:t>
            </w:r>
          </w:p>
        </w:tc>
      </w:tr>
      <w:tr w:rsidR="00C14FE4">
        <w:tc>
          <w:tcPr>
            <w:tcW w:w="1290" w:type="dxa"/>
            <w:vAlign w:val="center"/>
          </w:tcPr>
          <w:p w:rsidR="00C14FE4" w:rsidRDefault="00132258">
            <w:pPr>
              <w:jc w:val="left"/>
            </w:pPr>
            <w:r>
              <w:rPr>
                <w:rFonts w:eastAsiaTheme="minorEastAsia"/>
                <w:color w:val="000000" w:themeColor="text1"/>
                <w:szCs w:val="21"/>
              </w:rPr>
              <w:t>自基金合同生效起至今</w:t>
            </w:r>
          </w:p>
        </w:tc>
        <w:tc>
          <w:tcPr>
            <w:tcW w:w="1291" w:type="dxa"/>
            <w:vAlign w:val="center"/>
          </w:tcPr>
          <w:p w:rsidR="00C14FE4" w:rsidRDefault="00132258">
            <w:pPr>
              <w:jc w:val="right"/>
            </w:pPr>
            <w:r>
              <w:rPr>
                <w:rFonts w:eastAsiaTheme="minorEastAsia"/>
                <w:color w:val="000000" w:themeColor="text1"/>
                <w:szCs w:val="21"/>
              </w:rPr>
              <w:t>-43.00%</w:t>
            </w:r>
          </w:p>
        </w:tc>
        <w:tc>
          <w:tcPr>
            <w:tcW w:w="1291" w:type="dxa"/>
            <w:vAlign w:val="center"/>
          </w:tcPr>
          <w:p w:rsidR="00C14FE4" w:rsidRDefault="00132258">
            <w:pPr>
              <w:jc w:val="right"/>
            </w:pPr>
            <w:r>
              <w:rPr>
                <w:rFonts w:eastAsiaTheme="minorEastAsia"/>
                <w:color w:val="000000" w:themeColor="text1"/>
                <w:szCs w:val="21"/>
              </w:rPr>
              <w:t>1.52%</w:t>
            </w:r>
          </w:p>
        </w:tc>
        <w:tc>
          <w:tcPr>
            <w:tcW w:w="1291" w:type="dxa"/>
            <w:vAlign w:val="center"/>
          </w:tcPr>
          <w:p w:rsidR="00C14FE4" w:rsidRDefault="00132258">
            <w:pPr>
              <w:jc w:val="right"/>
            </w:pPr>
            <w:r>
              <w:rPr>
                <w:rFonts w:eastAsiaTheme="minorEastAsia"/>
                <w:color w:val="000000" w:themeColor="text1"/>
                <w:szCs w:val="21"/>
              </w:rPr>
              <w:t>-8.64%</w:t>
            </w:r>
          </w:p>
        </w:tc>
        <w:tc>
          <w:tcPr>
            <w:tcW w:w="1291" w:type="dxa"/>
            <w:vAlign w:val="center"/>
          </w:tcPr>
          <w:p w:rsidR="00C14FE4" w:rsidRDefault="00132258">
            <w:pPr>
              <w:jc w:val="right"/>
            </w:pPr>
            <w:r>
              <w:rPr>
                <w:rFonts w:eastAsiaTheme="minorEastAsia"/>
                <w:color w:val="000000" w:themeColor="text1"/>
                <w:szCs w:val="21"/>
              </w:rPr>
              <w:t>0.78%</w:t>
            </w:r>
          </w:p>
        </w:tc>
        <w:tc>
          <w:tcPr>
            <w:tcW w:w="1291" w:type="dxa"/>
            <w:vAlign w:val="center"/>
          </w:tcPr>
          <w:p w:rsidR="00C14FE4" w:rsidRDefault="00132258">
            <w:pPr>
              <w:jc w:val="right"/>
            </w:pPr>
            <w:r>
              <w:rPr>
                <w:rFonts w:eastAsiaTheme="minorEastAsia"/>
                <w:color w:val="000000" w:themeColor="text1"/>
                <w:szCs w:val="21"/>
              </w:rPr>
              <w:t>-34.36%</w:t>
            </w:r>
          </w:p>
        </w:tc>
        <w:tc>
          <w:tcPr>
            <w:tcW w:w="1291" w:type="dxa"/>
            <w:vAlign w:val="center"/>
          </w:tcPr>
          <w:p w:rsidR="00C14FE4" w:rsidRDefault="00132258">
            <w:pPr>
              <w:jc w:val="right"/>
            </w:pPr>
            <w:r>
              <w:rPr>
                <w:rFonts w:eastAsiaTheme="minorEastAsia"/>
                <w:color w:val="000000" w:themeColor="text1"/>
                <w:szCs w:val="21"/>
              </w:rPr>
              <w:t>0.74%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摩根内需动力混合型证券投资基金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．摩根内需动力混合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．摩根内需动力混合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14FE4">
        <w:tc>
          <w:tcPr>
            <w:tcW w:w="952" w:type="dxa"/>
            <w:vAlign w:val="center"/>
          </w:tcPr>
          <w:p w:rsidR="00C14FE4" w:rsidRDefault="00132258">
            <w:pPr>
              <w:jc w:val="center"/>
            </w:pPr>
            <w:r>
              <w:rPr>
                <w:rFonts w:eastAsiaTheme="minorEastAsia"/>
                <w:color w:val="000000" w:themeColor="text1"/>
                <w:szCs w:val="21"/>
              </w:rPr>
              <w:t>杨景喻</w:t>
            </w:r>
          </w:p>
        </w:tc>
        <w:tc>
          <w:tcPr>
            <w:tcW w:w="930" w:type="dxa"/>
            <w:vAlign w:val="center"/>
          </w:tcPr>
          <w:p w:rsidR="00C14FE4" w:rsidRDefault="00132258">
            <w:pPr>
              <w:jc w:val="center"/>
            </w:pPr>
            <w:r>
              <w:rPr>
                <w:rFonts w:eastAsiaTheme="minorEastAsia"/>
                <w:color w:val="000000" w:themeColor="text1"/>
                <w:szCs w:val="21"/>
              </w:rPr>
              <w:t>本基金基金经理</w:t>
            </w:r>
          </w:p>
        </w:tc>
        <w:tc>
          <w:tcPr>
            <w:tcW w:w="1210" w:type="dxa"/>
            <w:vAlign w:val="center"/>
          </w:tcPr>
          <w:p w:rsidR="00C14FE4" w:rsidRDefault="00132258">
            <w:pPr>
              <w:jc w:val="center"/>
            </w:pPr>
            <w:r>
              <w:rPr>
                <w:rFonts w:eastAsiaTheme="minorEastAsia"/>
                <w:color w:val="000000" w:themeColor="text1"/>
                <w:szCs w:val="21"/>
              </w:rPr>
              <w:t>2022-06-29</w:t>
            </w:r>
          </w:p>
        </w:tc>
        <w:tc>
          <w:tcPr>
            <w:tcW w:w="1309" w:type="dxa"/>
            <w:vAlign w:val="center"/>
          </w:tcPr>
          <w:p w:rsidR="00C14FE4" w:rsidRDefault="00132258">
            <w:pPr>
              <w:jc w:val="center"/>
            </w:pPr>
            <w:r>
              <w:rPr>
                <w:rFonts w:eastAsiaTheme="minorEastAsia"/>
                <w:color w:val="000000" w:themeColor="text1"/>
                <w:szCs w:val="21"/>
              </w:rPr>
              <w:t>-</w:t>
            </w:r>
          </w:p>
        </w:tc>
        <w:tc>
          <w:tcPr>
            <w:tcW w:w="1254" w:type="dxa"/>
            <w:vAlign w:val="center"/>
          </w:tcPr>
          <w:p w:rsidR="00C14FE4" w:rsidRDefault="00132258">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C14FE4" w:rsidRDefault="00132258">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C14FE4" w:rsidRDefault="001322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2,118,028,173.73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2,315,827,602.47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4,433,855,776.20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今年第三季度宏观经济较前期有所改善。财政及货币政策逐步发力，房地产政策进一步差异化放松，宏观经济逐步走出最疲弱的阶段，采购经理人指数（</w:t>
      </w:r>
      <w:r>
        <w:rPr>
          <w:rFonts w:eastAsiaTheme="minorEastAsia"/>
          <w:color w:val="000000" w:themeColor="text1"/>
          <w:szCs w:val="21"/>
        </w:rPr>
        <w:t>PMI</w:t>
      </w:r>
      <w:r>
        <w:rPr>
          <w:rFonts w:eastAsiaTheme="minorEastAsia"/>
          <w:color w:val="000000" w:themeColor="text1"/>
          <w:szCs w:val="21"/>
        </w:rPr>
        <w:t>）开始改善。尽管曙光初现，但仍然存在几个目前还较难得出结论的问题。第一，居民边际消费意愿能否恢复到</w:t>
      </w:r>
      <w:r>
        <w:rPr>
          <w:rFonts w:eastAsiaTheme="minorEastAsia"/>
          <w:color w:val="000000" w:themeColor="text1"/>
          <w:szCs w:val="21"/>
        </w:rPr>
        <w:t>2020</w:t>
      </w:r>
      <w:r>
        <w:rPr>
          <w:rFonts w:eastAsiaTheme="minorEastAsia"/>
          <w:color w:val="000000" w:themeColor="text1"/>
          <w:szCs w:val="21"/>
        </w:rPr>
        <w:t>年之前；第二，宏观经济的长期增长率底线是否已经触达；第三，过去几年经受重大变化的全球化及国际贸易是否能改善。市场对这些长期的问题的短期看法显然是悲观的，因此，本季度的指数表现较差，行业结构较上一季度亦有显著的变化。本季度的一个突出特点，就是高股息个股的表现显著优于其他，而高景气度、高成长行业、个股大多表现不佳。我们此前所重仓的人工智能（</w:t>
      </w:r>
      <w:r>
        <w:rPr>
          <w:rFonts w:eastAsiaTheme="minorEastAsia"/>
          <w:color w:val="000000" w:themeColor="text1"/>
          <w:szCs w:val="21"/>
        </w:rPr>
        <w:t>AI</w:t>
      </w:r>
      <w:r>
        <w:rPr>
          <w:rFonts w:eastAsiaTheme="minorEastAsia"/>
          <w:color w:val="000000" w:themeColor="text1"/>
          <w:szCs w:val="21"/>
        </w:rPr>
        <w:t>）相关的公司以及光伏企业在本季度出现较为明显的回调，对业绩表现带来了不利的影响。</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虽然目前的宏观经济、全球贸易仍然有诸多不利的因素，但我们对未来的市场仍然持谨慎乐观的态度。国内宏观经济或已经度过最差的阶段，复苏虽然较弱但正在持续发生，未来的财政、货币政策预计仍有空间。对于长期的问题，我们认为解决的根本一方面在于科技的发展，制造业的全球竞争力的提升，另一方面在于持续的改革释放制度的红利。我国的企业尤其是制造业企业，在过去的数十年间已经涌现出一批技术壁垒高、产品质量好，初步具备全球竞争力的企业；我国的国内市场仍然具备较大的消费潜力；而人口的老龄化则带来了相关产业的良好发展机遇；更重要的一点，我国的人民具备勤劳的传统、持续提升的教育水平，只要我们的制度红利能够持续释放，我国的经济发展具备相当大的空间。这些方向上，不乏性价比持续提升的高竞争力优质企业，他们的成长性有望持续得到验证。</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此，我们继续看好以人工智能、算力为代表的科技行业，三季度的回调提升了相关优秀企业的投资性价比。部分高景气度行业如新能源汽车，本季度体现出更高的成长性。同时，我们看到部分行业如电子、医药在经历了前期的不景气后，基本面正在逐步改善，估值亦处于历史上较低的分位，投资机会更为明确。内需增长仍然是宏观经济发展的最大动力之一，消费品公司在当前的估值水平下也逐步体现出投资机会，下行风险已经较小。我们将会在这些具有性价比的方向中优中选优，争取为持有人创造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本报告期摩根内需动力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:-16.43%</w:t>
      </w:r>
      <w:r>
        <w:rPr>
          <w:rFonts w:eastAsiaTheme="minorEastAsia"/>
          <w:color w:val="000000" w:themeColor="text1"/>
          <w:szCs w:val="21"/>
        </w:rPr>
        <w:t>，同期业绩比较基准收益率为</w:t>
      </w:r>
      <w:r>
        <w:rPr>
          <w:rFonts w:eastAsiaTheme="minorEastAsia"/>
          <w:color w:val="000000" w:themeColor="text1"/>
          <w:szCs w:val="21"/>
        </w:rPr>
        <w:t>:-3.02%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摩根内需动力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:-16.54%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:-3.02%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1,348,219,584.10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85.42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1,348,219,584.10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85.42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229,178,566.94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1,017,408.65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1,578,415,559.69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1,200,981,985.18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12,485,536.00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35,955,232.20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35,269,562.00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47,502,416.00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15,066,048.00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958,804.72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1,348,219,584.10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86.61</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14FE4">
        <w:tc>
          <w:tcPr>
            <w:tcW w:w="817" w:type="dxa"/>
            <w:vAlign w:val="center"/>
          </w:tcPr>
          <w:p w:rsidR="00C14FE4" w:rsidRDefault="00132258">
            <w:pPr>
              <w:jc w:val="center"/>
            </w:pPr>
            <w:r>
              <w:rPr>
                <w:rFonts w:eastAsiaTheme="minorEastAsia"/>
                <w:kern w:val="0"/>
                <w:szCs w:val="21"/>
              </w:rPr>
              <w:t>1</w:t>
            </w:r>
          </w:p>
        </w:tc>
        <w:tc>
          <w:tcPr>
            <w:tcW w:w="1276" w:type="dxa"/>
            <w:vAlign w:val="center"/>
          </w:tcPr>
          <w:p w:rsidR="00C14FE4" w:rsidRDefault="00132258">
            <w:pPr>
              <w:jc w:val="center"/>
            </w:pPr>
            <w:r>
              <w:rPr>
                <w:rFonts w:eastAsiaTheme="minorEastAsia"/>
                <w:kern w:val="0"/>
                <w:szCs w:val="21"/>
              </w:rPr>
              <w:t>002236</w:t>
            </w:r>
          </w:p>
        </w:tc>
        <w:tc>
          <w:tcPr>
            <w:tcW w:w="1701" w:type="dxa"/>
            <w:vAlign w:val="center"/>
          </w:tcPr>
          <w:p w:rsidR="00C14FE4" w:rsidRDefault="00132258">
            <w:pPr>
              <w:jc w:val="center"/>
            </w:pPr>
            <w:r>
              <w:rPr>
                <w:rFonts w:eastAsiaTheme="minorEastAsia"/>
                <w:kern w:val="0"/>
                <w:szCs w:val="21"/>
              </w:rPr>
              <w:t>大华股份</w:t>
            </w:r>
          </w:p>
        </w:tc>
        <w:tc>
          <w:tcPr>
            <w:tcW w:w="1276" w:type="dxa"/>
            <w:vAlign w:val="center"/>
          </w:tcPr>
          <w:p w:rsidR="00C14FE4" w:rsidRDefault="00132258">
            <w:pPr>
              <w:jc w:val="right"/>
            </w:pPr>
            <w:r>
              <w:rPr>
                <w:rFonts w:eastAsiaTheme="minorEastAsia"/>
                <w:kern w:val="0"/>
                <w:szCs w:val="21"/>
              </w:rPr>
              <w:t>5,208,349</w:t>
            </w:r>
          </w:p>
        </w:tc>
        <w:tc>
          <w:tcPr>
            <w:tcW w:w="1842" w:type="dxa"/>
            <w:vAlign w:val="center"/>
          </w:tcPr>
          <w:p w:rsidR="00C14FE4" w:rsidRDefault="00132258">
            <w:pPr>
              <w:jc w:val="right"/>
            </w:pPr>
            <w:r>
              <w:rPr>
                <w:rFonts w:eastAsiaTheme="minorEastAsia"/>
                <w:kern w:val="0"/>
                <w:szCs w:val="21"/>
              </w:rPr>
              <w:t>115,989,932.23</w:t>
            </w:r>
          </w:p>
        </w:tc>
        <w:tc>
          <w:tcPr>
            <w:tcW w:w="1616" w:type="dxa"/>
            <w:vAlign w:val="center"/>
          </w:tcPr>
          <w:p w:rsidR="00C14FE4" w:rsidRDefault="00132258">
            <w:pPr>
              <w:jc w:val="right"/>
            </w:pPr>
            <w:r>
              <w:rPr>
                <w:rFonts w:eastAsiaTheme="minorEastAsia"/>
                <w:kern w:val="0"/>
                <w:szCs w:val="21"/>
              </w:rPr>
              <w:t>7.45</w:t>
            </w:r>
          </w:p>
        </w:tc>
      </w:tr>
      <w:tr w:rsidR="00C14FE4">
        <w:tc>
          <w:tcPr>
            <w:tcW w:w="817" w:type="dxa"/>
            <w:vAlign w:val="center"/>
          </w:tcPr>
          <w:p w:rsidR="00C14FE4" w:rsidRDefault="00132258">
            <w:pPr>
              <w:jc w:val="center"/>
            </w:pPr>
            <w:r>
              <w:rPr>
                <w:rFonts w:eastAsiaTheme="minorEastAsia"/>
                <w:kern w:val="0"/>
                <w:szCs w:val="21"/>
              </w:rPr>
              <w:t>2</w:t>
            </w:r>
          </w:p>
        </w:tc>
        <w:tc>
          <w:tcPr>
            <w:tcW w:w="1276" w:type="dxa"/>
            <w:vAlign w:val="center"/>
          </w:tcPr>
          <w:p w:rsidR="00C14FE4" w:rsidRDefault="00132258">
            <w:pPr>
              <w:jc w:val="center"/>
            </w:pPr>
            <w:r>
              <w:rPr>
                <w:rFonts w:eastAsiaTheme="minorEastAsia"/>
                <w:kern w:val="0"/>
                <w:szCs w:val="21"/>
              </w:rPr>
              <w:t>300308</w:t>
            </w:r>
          </w:p>
        </w:tc>
        <w:tc>
          <w:tcPr>
            <w:tcW w:w="1701" w:type="dxa"/>
            <w:vAlign w:val="center"/>
          </w:tcPr>
          <w:p w:rsidR="00C14FE4" w:rsidRDefault="00132258">
            <w:pPr>
              <w:jc w:val="center"/>
            </w:pPr>
            <w:r>
              <w:rPr>
                <w:rFonts w:eastAsiaTheme="minorEastAsia"/>
                <w:kern w:val="0"/>
                <w:szCs w:val="21"/>
              </w:rPr>
              <w:t>中际旭创</w:t>
            </w:r>
          </w:p>
        </w:tc>
        <w:tc>
          <w:tcPr>
            <w:tcW w:w="1276" w:type="dxa"/>
            <w:vAlign w:val="center"/>
          </w:tcPr>
          <w:p w:rsidR="00C14FE4" w:rsidRDefault="00132258">
            <w:pPr>
              <w:jc w:val="right"/>
            </w:pPr>
            <w:r>
              <w:rPr>
                <w:rFonts w:eastAsiaTheme="minorEastAsia"/>
                <w:kern w:val="0"/>
                <w:szCs w:val="21"/>
              </w:rPr>
              <w:t>875,587</w:t>
            </w:r>
          </w:p>
        </w:tc>
        <w:tc>
          <w:tcPr>
            <w:tcW w:w="1842" w:type="dxa"/>
            <w:vAlign w:val="center"/>
          </w:tcPr>
          <w:p w:rsidR="00C14FE4" w:rsidRDefault="00132258">
            <w:pPr>
              <w:jc w:val="right"/>
            </w:pPr>
            <w:r>
              <w:rPr>
                <w:rFonts w:eastAsiaTheme="minorEastAsia"/>
                <w:kern w:val="0"/>
                <w:szCs w:val="21"/>
              </w:rPr>
              <w:t>101,392,974.60</w:t>
            </w:r>
          </w:p>
        </w:tc>
        <w:tc>
          <w:tcPr>
            <w:tcW w:w="1616" w:type="dxa"/>
            <w:vAlign w:val="center"/>
          </w:tcPr>
          <w:p w:rsidR="00C14FE4" w:rsidRDefault="00132258">
            <w:pPr>
              <w:jc w:val="right"/>
            </w:pPr>
            <w:r>
              <w:rPr>
                <w:rFonts w:eastAsiaTheme="minorEastAsia"/>
                <w:kern w:val="0"/>
                <w:szCs w:val="21"/>
              </w:rPr>
              <w:t>6.51</w:t>
            </w:r>
          </w:p>
        </w:tc>
      </w:tr>
      <w:tr w:rsidR="00C14FE4">
        <w:tc>
          <w:tcPr>
            <w:tcW w:w="817" w:type="dxa"/>
            <w:vAlign w:val="center"/>
          </w:tcPr>
          <w:p w:rsidR="00C14FE4" w:rsidRDefault="00132258">
            <w:pPr>
              <w:jc w:val="center"/>
            </w:pPr>
            <w:r>
              <w:rPr>
                <w:rFonts w:eastAsiaTheme="minorEastAsia"/>
                <w:kern w:val="0"/>
                <w:szCs w:val="21"/>
              </w:rPr>
              <w:t>3</w:t>
            </w:r>
          </w:p>
        </w:tc>
        <w:tc>
          <w:tcPr>
            <w:tcW w:w="1276" w:type="dxa"/>
            <w:vAlign w:val="center"/>
          </w:tcPr>
          <w:p w:rsidR="00C14FE4" w:rsidRDefault="00132258">
            <w:pPr>
              <w:jc w:val="center"/>
            </w:pPr>
            <w:r>
              <w:rPr>
                <w:rFonts w:eastAsiaTheme="minorEastAsia"/>
                <w:kern w:val="0"/>
                <w:szCs w:val="21"/>
              </w:rPr>
              <w:t>600519</w:t>
            </w:r>
          </w:p>
        </w:tc>
        <w:tc>
          <w:tcPr>
            <w:tcW w:w="1701" w:type="dxa"/>
            <w:vAlign w:val="center"/>
          </w:tcPr>
          <w:p w:rsidR="00C14FE4" w:rsidRDefault="00132258">
            <w:pPr>
              <w:jc w:val="center"/>
            </w:pPr>
            <w:r>
              <w:rPr>
                <w:rFonts w:eastAsiaTheme="minorEastAsia"/>
                <w:kern w:val="0"/>
                <w:szCs w:val="21"/>
              </w:rPr>
              <w:t>贵州茅台</w:t>
            </w:r>
          </w:p>
        </w:tc>
        <w:tc>
          <w:tcPr>
            <w:tcW w:w="1276" w:type="dxa"/>
            <w:vAlign w:val="center"/>
          </w:tcPr>
          <w:p w:rsidR="00C14FE4" w:rsidRDefault="00132258">
            <w:pPr>
              <w:jc w:val="right"/>
            </w:pPr>
            <w:r>
              <w:rPr>
                <w:rFonts w:eastAsiaTheme="minorEastAsia"/>
                <w:kern w:val="0"/>
                <w:szCs w:val="21"/>
              </w:rPr>
              <w:t>51,681</w:t>
            </w:r>
          </w:p>
        </w:tc>
        <w:tc>
          <w:tcPr>
            <w:tcW w:w="1842" w:type="dxa"/>
            <w:vAlign w:val="center"/>
          </w:tcPr>
          <w:p w:rsidR="00C14FE4" w:rsidRDefault="00132258">
            <w:pPr>
              <w:jc w:val="right"/>
            </w:pPr>
            <w:r>
              <w:rPr>
                <w:rFonts w:eastAsiaTheme="minorEastAsia"/>
                <w:kern w:val="0"/>
                <w:szCs w:val="21"/>
              </w:rPr>
              <w:t>92,950,862.55</w:t>
            </w:r>
          </w:p>
        </w:tc>
        <w:tc>
          <w:tcPr>
            <w:tcW w:w="1616" w:type="dxa"/>
            <w:vAlign w:val="center"/>
          </w:tcPr>
          <w:p w:rsidR="00C14FE4" w:rsidRDefault="00132258">
            <w:pPr>
              <w:jc w:val="right"/>
            </w:pPr>
            <w:r>
              <w:rPr>
                <w:rFonts w:eastAsiaTheme="minorEastAsia"/>
                <w:kern w:val="0"/>
                <w:szCs w:val="21"/>
              </w:rPr>
              <w:t>5.97</w:t>
            </w:r>
          </w:p>
        </w:tc>
      </w:tr>
      <w:tr w:rsidR="00C14FE4">
        <w:tc>
          <w:tcPr>
            <w:tcW w:w="817" w:type="dxa"/>
            <w:vAlign w:val="center"/>
          </w:tcPr>
          <w:p w:rsidR="00C14FE4" w:rsidRDefault="00132258">
            <w:pPr>
              <w:jc w:val="center"/>
            </w:pPr>
            <w:r>
              <w:rPr>
                <w:rFonts w:eastAsiaTheme="minorEastAsia"/>
                <w:kern w:val="0"/>
                <w:szCs w:val="21"/>
              </w:rPr>
              <w:t>4</w:t>
            </w:r>
          </w:p>
        </w:tc>
        <w:tc>
          <w:tcPr>
            <w:tcW w:w="1276" w:type="dxa"/>
            <w:vAlign w:val="center"/>
          </w:tcPr>
          <w:p w:rsidR="00C14FE4" w:rsidRDefault="00132258">
            <w:pPr>
              <w:jc w:val="center"/>
            </w:pPr>
            <w:r>
              <w:rPr>
                <w:rFonts w:eastAsiaTheme="minorEastAsia"/>
                <w:kern w:val="0"/>
                <w:szCs w:val="21"/>
              </w:rPr>
              <w:t>601138</w:t>
            </w:r>
          </w:p>
        </w:tc>
        <w:tc>
          <w:tcPr>
            <w:tcW w:w="1701" w:type="dxa"/>
            <w:vAlign w:val="center"/>
          </w:tcPr>
          <w:p w:rsidR="00C14FE4" w:rsidRDefault="00132258">
            <w:pPr>
              <w:jc w:val="center"/>
            </w:pPr>
            <w:r>
              <w:rPr>
                <w:rFonts w:eastAsiaTheme="minorEastAsia"/>
                <w:kern w:val="0"/>
                <w:szCs w:val="21"/>
              </w:rPr>
              <w:t>工业富联</w:t>
            </w:r>
          </w:p>
        </w:tc>
        <w:tc>
          <w:tcPr>
            <w:tcW w:w="1276" w:type="dxa"/>
            <w:vAlign w:val="center"/>
          </w:tcPr>
          <w:p w:rsidR="00C14FE4" w:rsidRDefault="00132258">
            <w:pPr>
              <w:jc w:val="right"/>
            </w:pPr>
            <w:r>
              <w:rPr>
                <w:rFonts w:eastAsiaTheme="minorEastAsia"/>
                <w:kern w:val="0"/>
                <w:szCs w:val="21"/>
              </w:rPr>
              <w:t>4,025,700</w:t>
            </w:r>
          </w:p>
        </w:tc>
        <w:tc>
          <w:tcPr>
            <w:tcW w:w="1842" w:type="dxa"/>
            <w:vAlign w:val="center"/>
          </w:tcPr>
          <w:p w:rsidR="00C14FE4" w:rsidRDefault="00132258">
            <w:pPr>
              <w:jc w:val="right"/>
            </w:pPr>
            <w:r>
              <w:rPr>
                <w:rFonts w:eastAsiaTheme="minorEastAsia"/>
                <w:kern w:val="0"/>
                <w:szCs w:val="21"/>
              </w:rPr>
              <w:t>79,306,290.00</w:t>
            </w:r>
          </w:p>
        </w:tc>
        <w:tc>
          <w:tcPr>
            <w:tcW w:w="1616" w:type="dxa"/>
            <w:vAlign w:val="center"/>
          </w:tcPr>
          <w:p w:rsidR="00C14FE4" w:rsidRDefault="00132258">
            <w:pPr>
              <w:jc w:val="right"/>
            </w:pPr>
            <w:r>
              <w:rPr>
                <w:rFonts w:eastAsiaTheme="minorEastAsia"/>
                <w:kern w:val="0"/>
                <w:szCs w:val="21"/>
              </w:rPr>
              <w:t>5.09</w:t>
            </w:r>
          </w:p>
        </w:tc>
      </w:tr>
      <w:tr w:rsidR="00C14FE4">
        <w:tc>
          <w:tcPr>
            <w:tcW w:w="817" w:type="dxa"/>
            <w:vAlign w:val="center"/>
          </w:tcPr>
          <w:p w:rsidR="00C14FE4" w:rsidRDefault="00132258">
            <w:pPr>
              <w:jc w:val="center"/>
            </w:pPr>
            <w:r>
              <w:rPr>
                <w:rFonts w:eastAsiaTheme="minorEastAsia"/>
                <w:kern w:val="0"/>
                <w:szCs w:val="21"/>
              </w:rPr>
              <w:t>5</w:t>
            </w:r>
          </w:p>
        </w:tc>
        <w:tc>
          <w:tcPr>
            <w:tcW w:w="1276" w:type="dxa"/>
            <w:vAlign w:val="center"/>
          </w:tcPr>
          <w:p w:rsidR="00C14FE4" w:rsidRDefault="00132258">
            <w:pPr>
              <w:jc w:val="center"/>
            </w:pPr>
            <w:r>
              <w:rPr>
                <w:rFonts w:eastAsiaTheme="minorEastAsia"/>
                <w:kern w:val="0"/>
                <w:szCs w:val="21"/>
              </w:rPr>
              <w:t>300750</w:t>
            </w:r>
          </w:p>
        </w:tc>
        <w:tc>
          <w:tcPr>
            <w:tcW w:w="1701" w:type="dxa"/>
            <w:vAlign w:val="center"/>
          </w:tcPr>
          <w:p w:rsidR="00C14FE4" w:rsidRDefault="00132258">
            <w:pPr>
              <w:jc w:val="center"/>
            </w:pPr>
            <w:r>
              <w:rPr>
                <w:rFonts w:eastAsiaTheme="minorEastAsia"/>
                <w:kern w:val="0"/>
                <w:szCs w:val="21"/>
              </w:rPr>
              <w:t>宁德时代</w:t>
            </w:r>
          </w:p>
        </w:tc>
        <w:tc>
          <w:tcPr>
            <w:tcW w:w="1276" w:type="dxa"/>
            <w:vAlign w:val="center"/>
          </w:tcPr>
          <w:p w:rsidR="00C14FE4" w:rsidRDefault="00132258">
            <w:pPr>
              <w:jc w:val="right"/>
            </w:pPr>
            <w:r>
              <w:rPr>
                <w:rFonts w:eastAsiaTheme="minorEastAsia"/>
                <w:kern w:val="0"/>
                <w:szCs w:val="21"/>
              </w:rPr>
              <w:t>296,395</w:t>
            </w:r>
          </w:p>
        </w:tc>
        <w:tc>
          <w:tcPr>
            <w:tcW w:w="1842" w:type="dxa"/>
            <w:vAlign w:val="center"/>
          </w:tcPr>
          <w:p w:rsidR="00C14FE4" w:rsidRDefault="00132258">
            <w:pPr>
              <w:jc w:val="right"/>
            </w:pPr>
            <w:r>
              <w:rPr>
                <w:rFonts w:eastAsiaTheme="minorEastAsia"/>
                <w:kern w:val="0"/>
                <w:szCs w:val="21"/>
              </w:rPr>
              <w:t>60,177,076.85</w:t>
            </w:r>
          </w:p>
        </w:tc>
        <w:tc>
          <w:tcPr>
            <w:tcW w:w="1616" w:type="dxa"/>
            <w:vAlign w:val="center"/>
          </w:tcPr>
          <w:p w:rsidR="00C14FE4" w:rsidRDefault="00132258">
            <w:pPr>
              <w:jc w:val="right"/>
            </w:pPr>
            <w:r>
              <w:rPr>
                <w:rFonts w:eastAsiaTheme="minorEastAsia"/>
                <w:kern w:val="0"/>
                <w:szCs w:val="21"/>
              </w:rPr>
              <w:t>3.87</w:t>
            </w:r>
          </w:p>
        </w:tc>
      </w:tr>
      <w:tr w:rsidR="00C14FE4">
        <w:tc>
          <w:tcPr>
            <w:tcW w:w="817" w:type="dxa"/>
            <w:vAlign w:val="center"/>
          </w:tcPr>
          <w:p w:rsidR="00C14FE4" w:rsidRDefault="00132258">
            <w:pPr>
              <w:jc w:val="center"/>
            </w:pPr>
            <w:r>
              <w:rPr>
                <w:rFonts w:eastAsiaTheme="minorEastAsia"/>
                <w:kern w:val="0"/>
                <w:szCs w:val="21"/>
              </w:rPr>
              <w:t>6</w:t>
            </w:r>
          </w:p>
        </w:tc>
        <w:tc>
          <w:tcPr>
            <w:tcW w:w="1276" w:type="dxa"/>
            <w:vAlign w:val="center"/>
          </w:tcPr>
          <w:p w:rsidR="00C14FE4" w:rsidRDefault="00132258">
            <w:pPr>
              <w:jc w:val="center"/>
            </w:pPr>
            <w:r>
              <w:rPr>
                <w:rFonts w:eastAsiaTheme="minorEastAsia"/>
                <w:kern w:val="0"/>
                <w:szCs w:val="21"/>
              </w:rPr>
              <w:t>002050</w:t>
            </w:r>
          </w:p>
        </w:tc>
        <w:tc>
          <w:tcPr>
            <w:tcW w:w="1701" w:type="dxa"/>
            <w:vAlign w:val="center"/>
          </w:tcPr>
          <w:p w:rsidR="00C14FE4" w:rsidRDefault="00132258">
            <w:pPr>
              <w:jc w:val="center"/>
            </w:pPr>
            <w:r>
              <w:rPr>
                <w:rFonts w:eastAsiaTheme="minorEastAsia"/>
                <w:kern w:val="0"/>
                <w:szCs w:val="21"/>
              </w:rPr>
              <w:t>三花智控</w:t>
            </w:r>
          </w:p>
        </w:tc>
        <w:tc>
          <w:tcPr>
            <w:tcW w:w="1276" w:type="dxa"/>
            <w:vAlign w:val="center"/>
          </w:tcPr>
          <w:p w:rsidR="00C14FE4" w:rsidRDefault="00132258">
            <w:pPr>
              <w:jc w:val="right"/>
            </w:pPr>
            <w:r>
              <w:rPr>
                <w:rFonts w:eastAsiaTheme="minorEastAsia"/>
                <w:kern w:val="0"/>
                <w:szCs w:val="21"/>
              </w:rPr>
              <w:t>1,864,700</w:t>
            </w:r>
          </w:p>
        </w:tc>
        <w:tc>
          <w:tcPr>
            <w:tcW w:w="1842" w:type="dxa"/>
            <w:vAlign w:val="center"/>
          </w:tcPr>
          <w:p w:rsidR="00C14FE4" w:rsidRDefault="00132258">
            <w:pPr>
              <w:jc w:val="right"/>
            </w:pPr>
            <w:r>
              <w:rPr>
                <w:rFonts w:eastAsiaTheme="minorEastAsia"/>
                <w:kern w:val="0"/>
                <w:szCs w:val="21"/>
              </w:rPr>
              <w:t>55,381,590.00</w:t>
            </w:r>
          </w:p>
        </w:tc>
        <w:tc>
          <w:tcPr>
            <w:tcW w:w="1616" w:type="dxa"/>
            <w:vAlign w:val="center"/>
          </w:tcPr>
          <w:p w:rsidR="00C14FE4" w:rsidRDefault="00132258">
            <w:pPr>
              <w:jc w:val="right"/>
            </w:pPr>
            <w:r>
              <w:rPr>
                <w:rFonts w:eastAsiaTheme="minorEastAsia"/>
                <w:kern w:val="0"/>
                <w:szCs w:val="21"/>
              </w:rPr>
              <w:t>3.56</w:t>
            </w:r>
          </w:p>
        </w:tc>
      </w:tr>
      <w:tr w:rsidR="00C14FE4">
        <w:tc>
          <w:tcPr>
            <w:tcW w:w="817" w:type="dxa"/>
            <w:vAlign w:val="center"/>
          </w:tcPr>
          <w:p w:rsidR="00C14FE4" w:rsidRDefault="00132258">
            <w:pPr>
              <w:jc w:val="center"/>
            </w:pPr>
            <w:r>
              <w:rPr>
                <w:rFonts w:eastAsiaTheme="minorEastAsia"/>
                <w:kern w:val="0"/>
                <w:szCs w:val="21"/>
              </w:rPr>
              <w:t>7</w:t>
            </w:r>
          </w:p>
        </w:tc>
        <w:tc>
          <w:tcPr>
            <w:tcW w:w="1276" w:type="dxa"/>
            <w:vAlign w:val="center"/>
          </w:tcPr>
          <w:p w:rsidR="00C14FE4" w:rsidRDefault="00132258">
            <w:pPr>
              <w:jc w:val="center"/>
            </w:pPr>
            <w:r>
              <w:rPr>
                <w:rFonts w:eastAsiaTheme="minorEastAsia"/>
                <w:kern w:val="0"/>
                <w:szCs w:val="21"/>
              </w:rPr>
              <w:t>603259</w:t>
            </w:r>
          </w:p>
        </w:tc>
        <w:tc>
          <w:tcPr>
            <w:tcW w:w="1701" w:type="dxa"/>
            <w:vAlign w:val="center"/>
          </w:tcPr>
          <w:p w:rsidR="00C14FE4" w:rsidRDefault="00132258">
            <w:pPr>
              <w:jc w:val="center"/>
            </w:pPr>
            <w:r>
              <w:rPr>
                <w:rFonts w:eastAsiaTheme="minorEastAsia"/>
                <w:kern w:val="0"/>
                <w:szCs w:val="21"/>
              </w:rPr>
              <w:t>药明康德</w:t>
            </w:r>
          </w:p>
        </w:tc>
        <w:tc>
          <w:tcPr>
            <w:tcW w:w="1276" w:type="dxa"/>
            <w:vAlign w:val="center"/>
          </w:tcPr>
          <w:p w:rsidR="00C14FE4" w:rsidRDefault="00132258">
            <w:pPr>
              <w:jc w:val="right"/>
            </w:pPr>
            <w:r>
              <w:rPr>
                <w:rFonts w:eastAsiaTheme="minorEastAsia"/>
                <w:kern w:val="0"/>
                <w:szCs w:val="21"/>
              </w:rPr>
              <w:t>551,200</w:t>
            </w:r>
          </w:p>
        </w:tc>
        <w:tc>
          <w:tcPr>
            <w:tcW w:w="1842" w:type="dxa"/>
            <w:vAlign w:val="center"/>
          </w:tcPr>
          <w:p w:rsidR="00C14FE4" w:rsidRDefault="00132258">
            <w:pPr>
              <w:jc w:val="right"/>
            </w:pPr>
            <w:r>
              <w:rPr>
                <w:rFonts w:eastAsiaTheme="minorEastAsia"/>
                <w:kern w:val="0"/>
                <w:szCs w:val="21"/>
              </w:rPr>
              <w:t>47,502,416.00</w:t>
            </w:r>
          </w:p>
        </w:tc>
        <w:tc>
          <w:tcPr>
            <w:tcW w:w="1616" w:type="dxa"/>
            <w:vAlign w:val="center"/>
          </w:tcPr>
          <w:p w:rsidR="00C14FE4" w:rsidRDefault="00132258">
            <w:pPr>
              <w:jc w:val="right"/>
            </w:pPr>
            <w:r>
              <w:rPr>
                <w:rFonts w:eastAsiaTheme="minorEastAsia"/>
                <w:kern w:val="0"/>
                <w:szCs w:val="21"/>
              </w:rPr>
              <w:t>3.05</w:t>
            </w:r>
          </w:p>
        </w:tc>
      </w:tr>
      <w:tr w:rsidR="00C14FE4">
        <w:tc>
          <w:tcPr>
            <w:tcW w:w="817" w:type="dxa"/>
            <w:vAlign w:val="center"/>
          </w:tcPr>
          <w:p w:rsidR="00C14FE4" w:rsidRDefault="00132258">
            <w:pPr>
              <w:jc w:val="center"/>
            </w:pPr>
            <w:r>
              <w:rPr>
                <w:rFonts w:eastAsiaTheme="minorEastAsia"/>
                <w:kern w:val="0"/>
                <w:szCs w:val="21"/>
              </w:rPr>
              <w:t>8</w:t>
            </w:r>
          </w:p>
        </w:tc>
        <w:tc>
          <w:tcPr>
            <w:tcW w:w="1276" w:type="dxa"/>
            <w:vAlign w:val="center"/>
          </w:tcPr>
          <w:p w:rsidR="00C14FE4" w:rsidRDefault="00132258">
            <w:pPr>
              <w:jc w:val="center"/>
            </w:pPr>
            <w:r>
              <w:rPr>
                <w:rFonts w:eastAsiaTheme="minorEastAsia"/>
                <w:kern w:val="0"/>
                <w:szCs w:val="21"/>
              </w:rPr>
              <w:t>300394</w:t>
            </w:r>
          </w:p>
        </w:tc>
        <w:tc>
          <w:tcPr>
            <w:tcW w:w="1701" w:type="dxa"/>
            <w:vAlign w:val="center"/>
          </w:tcPr>
          <w:p w:rsidR="00C14FE4" w:rsidRDefault="00132258">
            <w:pPr>
              <w:jc w:val="center"/>
            </w:pPr>
            <w:r>
              <w:rPr>
                <w:rFonts w:eastAsiaTheme="minorEastAsia"/>
                <w:kern w:val="0"/>
                <w:szCs w:val="21"/>
              </w:rPr>
              <w:t>天孚通信</w:t>
            </w:r>
          </w:p>
        </w:tc>
        <w:tc>
          <w:tcPr>
            <w:tcW w:w="1276" w:type="dxa"/>
            <w:vAlign w:val="center"/>
          </w:tcPr>
          <w:p w:rsidR="00C14FE4" w:rsidRDefault="00132258">
            <w:pPr>
              <w:jc w:val="right"/>
            </w:pPr>
            <w:r>
              <w:rPr>
                <w:rFonts w:eastAsiaTheme="minorEastAsia"/>
                <w:kern w:val="0"/>
                <w:szCs w:val="21"/>
              </w:rPr>
              <w:t>480,022</w:t>
            </w:r>
          </w:p>
        </w:tc>
        <w:tc>
          <w:tcPr>
            <w:tcW w:w="1842" w:type="dxa"/>
            <w:vAlign w:val="center"/>
          </w:tcPr>
          <w:p w:rsidR="00C14FE4" w:rsidRDefault="00132258">
            <w:pPr>
              <w:jc w:val="right"/>
            </w:pPr>
            <w:r>
              <w:rPr>
                <w:rFonts w:eastAsiaTheme="minorEastAsia"/>
                <w:kern w:val="0"/>
                <w:szCs w:val="21"/>
              </w:rPr>
              <w:t>45,602,090.00</w:t>
            </w:r>
          </w:p>
        </w:tc>
        <w:tc>
          <w:tcPr>
            <w:tcW w:w="1616" w:type="dxa"/>
            <w:vAlign w:val="center"/>
          </w:tcPr>
          <w:p w:rsidR="00C14FE4" w:rsidRDefault="00132258">
            <w:pPr>
              <w:jc w:val="right"/>
            </w:pPr>
            <w:r>
              <w:rPr>
                <w:rFonts w:eastAsiaTheme="minorEastAsia"/>
                <w:kern w:val="0"/>
                <w:szCs w:val="21"/>
              </w:rPr>
              <w:t>2.93</w:t>
            </w:r>
          </w:p>
        </w:tc>
      </w:tr>
      <w:tr w:rsidR="00C14FE4">
        <w:tc>
          <w:tcPr>
            <w:tcW w:w="817" w:type="dxa"/>
            <w:vAlign w:val="center"/>
          </w:tcPr>
          <w:p w:rsidR="00C14FE4" w:rsidRDefault="00132258">
            <w:pPr>
              <w:jc w:val="center"/>
            </w:pPr>
            <w:r>
              <w:rPr>
                <w:rFonts w:eastAsiaTheme="minorEastAsia"/>
                <w:kern w:val="0"/>
                <w:szCs w:val="21"/>
              </w:rPr>
              <w:t>9</w:t>
            </w:r>
          </w:p>
        </w:tc>
        <w:tc>
          <w:tcPr>
            <w:tcW w:w="1276" w:type="dxa"/>
            <w:vAlign w:val="center"/>
          </w:tcPr>
          <w:p w:rsidR="00C14FE4" w:rsidRDefault="00132258">
            <w:pPr>
              <w:jc w:val="center"/>
            </w:pPr>
            <w:r>
              <w:rPr>
                <w:rFonts w:eastAsiaTheme="minorEastAsia"/>
                <w:kern w:val="0"/>
                <w:szCs w:val="21"/>
              </w:rPr>
              <w:t>000568</w:t>
            </w:r>
          </w:p>
        </w:tc>
        <w:tc>
          <w:tcPr>
            <w:tcW w:w="1701" w:type="dxa"/>
            <w:vAlign w:val="center"/>
          </w:tcPr>
          <w:p w:rsidR="00C14FE4" w:rsidRDefault="00132258">
            <w:pPr>
              <w:jc w:val="center"/>
            </w:pPr>
            <w:r>
              <w:rPr>
                <w:rFonts w:eastAsiaTheme="minorEastAsia"/>
                <w:kern w:val="0"/>
                <w:szCs w:val="21"/>
              </w:rPr>
              <w:t>泸州老窖</w:t>
            </w:r>
          </w:p>
        </w:tc>
        <w:tc>
          <w:tcPr>
            <w:tcW w:w="1276" w:type="dxa"/>
            <w:vAlign w:val="center"/>
          </w:tcPr>
          <w:p w:rsidR="00C14FE4" w:rsidRDefault="00132258">
            <w:pPr>
              <w:jc w:val="right"/>
            </w:pPr>
            <w:r>
              <w:rPr>
                <w:rFonts w:eastAsiaTheme="minorEastAsia"/>
                <w:kern w:val="0"/>
                <w:szCs w:val="21"/>
              </w:rPr>
              <w:t>204,800</w:t>
            </w:r>
          </w:p>
        </w:tc>
        <w:tc>
          <w:tcPr>
            <w:tcW w:w="1842" w:type="dxa"/>
            <w:vAlign w:val="center"/>
          </w:tcPr>
          <w:p w:rsidR="00C14FE4" w:rsidRDefault="00132258">
            <w:pPr>
              <w:jc w:val="right"/>
            </w:pPr>
            <w:r>
              <w:rPr>
                <w:rFonts w:eastAsiaTheme="minorEastAsia"/>
                <w:kern w:val="0"/>
                <w:szCs w:val="21"/>
              </w:rPr>
              <w:t>44,369,920.00</w:t>
            </w:r>
          </w:p>
        </w:tc>
        <w:tc>
          <w:tcPr>
            <w:tcW w:w="1616" w:type="dxa"/>
            <w:vAlign w:val="center"/>
          </w:tcPr>
          <w:p w:rsidR="00C14FE4" w:rsidRDefault="00132258">
            <w:pPr>
              <w:jc w:val="right"/>
            </w:pPr>
            <w:r>
              <w:rPr>
                <w:rFonts w:eastAsiaTheme="minorEastAsia"/>
                <w:kern w:val="0"/>
                <w:szCs w:val="21"/>
              </w:rPr>
              <w:t>2.85</w:t>
            </w:r>
          </w:p>
        </w:tc>
      </w:tr>
      <w:tr w:rsidR="00C14FE4">
        <w:tc>
          <w:tcPr>
            <w:tcW w:w="817" w:type="dxa"/>
            <w:vAlign w:val="center"/>
          </w:tcPr>
          <w:p w:rsidR="00C14FE4" w:rsidRDefault="00132258">
            <w:pPr>
              <w:jc w:val="center"/>
            </w:pPr>
            <w:r>
              <w:rPr>
                <w:rFonts w:eastAsiaTheme="minorEastAsia"/>
                <w:kern w:val="0"/>
                <w:szCs w:val="21"/>
              </w:rPr>
              <w:t>10</w:t>
            </w:r>
          </w:p>
        </w:tc>
        <w:tc>
          <w:tcPr>
            <w:tcW w:w="1276" w:type="dxa"/>
            <w:vAlign w:val="center"/>
          </w:tcPr>
          <w:p w:rsidR="00C14FE4" w:rsidRDefault="00132258">
            <w:pPr>
              <w:jc w:val="center"/>
            </w:pPr>
            <w:r>
              <w:rPr>
                <w:rFonts w:eastAsiaTheme="minorEastAsia"/>
                <w:kern w:val="0"/>
                <w:szCs w:val="21"/>
              </w:rPr>
              <w:t>000786</w:t>
            </w:r>
          </w:p>
        </w:tc>
        <w:tc>
          <w:tcPr>
            <w:tcW w:w="1701" w:type="dxa"/>
            <w:vAlign w:val="center"/>
          </w:tcPr>
          <w:p w:rsidR="00C14FE4" w:rsidRDefault="00132258">
            <w:pPr>
              <w:jc w:val="center"/>
            </w:pPr>
            <w:r>
              <w:rPr>
                <w:rFonts w:eastAsiaTheme="minorEastAsia"/>
                <w:kern w:val="0"/>
                <w:szCs w:val="21"/>
              </w:rPr>
              <w:t>北新建材</w:t>
            </w:r>
          </w:p>
        </w:tc>
        <w:tc>
          <w:tcPr>
            <w:tcW w:w="1276" w:type="dxa"/>
            <w:vAlign w:val="center"/>
          </w:tcPr>
          <w:p w:rsidR="00C14FE4" w:rsidRDefault="00132258">
            <w:pPr>
              <w:jc w:val="right"/>
            </w:pPr>
            <w:r>
              <w:rPr>
                <w:rFonts w:eastAsiaTheme="minorEastAsia"/>
                <w:kern w:val="0"/>
                <w:szCs w:val="21"/>
              </w:rPr>
              <w:t>1,323,200</w:t>
            </w:r>
          </w:p>
        </w:tc>
        <w:tc>
          <w:tcPr>
            <w:tcW w:w="1842" w:type="dxa"/>
            <w:vAlign w:val="center"/>
          </w:tcPr>
          <w:p w:rsidR="00C14FE4" w:rsidRDefault="00132258">
            <w:pPr>
              <w:jc w:val="right"/>
            </w:pPr>
            <w:r>
              <w:rPr>
                <w:rFonts w:eastAsiaTheme="minorEastAsia"/>
                <w:kern w:val="0"/>
                <w:szCs w:val="21"/>
              </w:rPr>
              <w:t>39,762,160.00</w:t>
            </w:r>
          </w:p>
        </w:tc>
        <w:tc>
          <w:tcPr>
            <w:tcW w:w="1616" w:type="dxa"/>
            <w:vAlign w:val="center"/>
          </w:tcPr>
          <w:p w:rsidR="00C14FE4" w:rsidRDefault="00132258">
            <w:pPr>
              <w:jc w:val="right"/>
            </w:pPr>
            <w:r>
              <w:rPr>
                <w:rFonts w:eastAsiaTheme="minorEastAsia"/>
                <w:kern w:val="0"/>
                <w:szCs w:val="21"/>
              </w:rPr>
              <w:t>2.55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761,389.11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2,264.95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253,754.59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1,017,408.65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2,304,702,206.47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1,911,732.01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48,046,547.55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1,302,956.04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34,843,130.07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98,164.79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2,317,905,623.95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3,116,523.26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360,446.95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360,446.95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FF179B" w:rsidRDefault="00FF179B" w:rsidP="00602B16">
      <w:pPr>
        <w:spacing w:line="360" w:lineRule="auto"/>
        <w:jc w:val="left"/>
        <w:rPr>
          <w:b/>
          <w:color w:val="000000" w:themeColor="text1"/>
          <w:szCs w:val="21"/>
        </w:rPr>
      </w:pPr>
    </w:p>
    <w:p w:rsidR="00602B16" w:rsidRDefault="00602B16" w:rsidP="00602B16">
      <w:pPr>
        <w:spacing w:line="360" w:lineRule="auto"/>
        <w:jc w:val="left"/>
        <w:rPr>
          <w:b/>
          <w:color w:val="000000" w:themeColor="text1"/>
          <w:szCs w:val="21"/>
        </w:rPr>
      </w:pPr>
      <w:r>
        <w:rPr>
          <w:b/>
          <w:color w:val="000000" w:themeColor="text1"/>
          <w:szCs w:val="21"/>
        </w:rPr>
        <w:lastRenderedPageBreak/>
        <w:t xml:space="preserve">7.2 </w:t>
      </w:r>
      <w:r>
        <w:rPr>
          <w:rFonts w:hint="eastAsia"/>
          <w:b/>
          <w:color w:val="000000" w:themeColor="text1"/>
          <w:szCs w:val="21"/>
        </w:rPr>
        <w:t>基金管理人运用固有资金投资本基金交易明细</w:t>
      </w:r>
    </w:p>
    <w:p w:rsidR="00602B16" w:rsidRDefault="00602B16" w:rsidP="00602B16">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、《摩根内需动力混合型证券投资基金基金合同》；</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、《摩根内需动力混合型证券投资基金登记结算服务协议》；</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、《摩根内需动力混合型证券投资基金托管协议》；</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C14FE4" w:rsidRDefault="00132258">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58" w:rsidRDefault="00132258">
      <w:r>
        <w:separator/>
      </w:r>
    </w:p>
  </w:endnote>
  <w:endnote w:type="continuationSeparator" w:id="0">
    <w:p w:rsidR="00132258" w:rsidRDefault="001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3099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30993">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3099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58" w:rsidRDefault="00132258">
      <w:r>
        <w:separator/>
      </w:r>
    </w:p>
  </w:footnote>
  <w:footnote w:type="continuationSeparator" w:id="0">
    <w:p w:rsidR="00132258" w:rsidRDefault="0013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摩根内需动力混合型证券投资基金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258"/>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2B16"/>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993"/>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4FE4"/>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179B"/>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20239084">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B4207-DE9C-4054-ADBD-6E3280BC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13</Pages>
  <Words>1185</Words>
  <Characters>6761</Characters>
  <Application>Microsoft Office Word</Application>
  <DocSecurity>0</DocSecurity>
  <Lines>56</Lines>
  <Paragraphs>15</Paragraphs>
  <ScaleCrop>false</ScaleCrop>
  <Company>TRT. Ltd. Co.</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222</cp:revision>
  <cp:lastPrinted>2007-07-19T00:46:00Z</cp:lastPrinted>
  <dcterms:created xsi:type="dcterms:W3CDTF">2013-06-21T06:56:00Z</dcterms:created>
  <dcterms:modified xsi:type="dcterms:W3CDTF">2023-10-24T07:30:00Z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