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上投摩根健康品质生活混合型证券投资基金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上投摩根健康品质生活混合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377150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106,361,428.69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277AF" w:rsidRDefault="00487B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277AF" w:rsidRDefault="00487B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C277AF" w:rsidRDefault="00487B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变化，本基金将适时动态地调整股票、债券和货币市场工具的投资比例。</w:t>
            </w:r>
          </w:p>
          <w:p w:rsidR="00C277AF" w:rsidRDefault="00487B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277AF" w:rsidRDefault="00487B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人类的需求主要来自于两方面：一是延长生命长度，提升健康水平；二是拓展生命宽度，提高生活品质。随着居民收入水平的提升、城镇化进程的推进以及社会保障体制的完善，居民的各方面需求将逐步释</w:t>
            </w:r>
            <w:r>
              <w:rPr>
                <w:rFonts w:eastAsiaTheme="minorEastAsia"/>
                <w:color w:val="000000" w:themeColor="text1"/>
                <w:kern w:val="0"/>
                <w:szCs w:val="21"/>
              </w:rPr>
              <w:t>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rsidR="00C277AF" w:rsidRDefault="00487B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C277AF" w:rsidRDefault="00487B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在类属配置层次，结合对宏观经济、市场利率、债券供求等因素的综合分析，根据交易所市场与银行间市场类</w:t>
            </w:r>
            <w:r>
              <w:rPr>
                <w:rFonts w:eastAsiaTheme="minorEastAsia"/>
                <w:color w:val="000000" w:themeColor="text1"/>
                <w:kern w:val="0"/>
                <w:szCs w:val="21"/>
              </w:rPr>
              <w:t>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、其他投资策略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包括可转换债券投资策略、权证投资策略、存托凭证投资策略。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C277AF" w:rsidRDefault="00487B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本基金是一只主动投资的混合型基金，主要投资于有利于提升</w:t>
            </w:r>
            <w:r>
              <w:rPr>
                <w:rFonts w:eastAsiaTheme="minorEastAsia"/>
                <w:color w:val="000000" w:themeColor="text1"/>
                <w:kern w:val="0"/>
                <w:szCs w:val="21"/>
              </w:rPr>
              <w:t>居民健康水平和生活品质的行业和公司，属于主题类混合型基金，预期风险和收益高于债券型基金和货币市场基金，低于股票型基金，属于较高风险、较高预期收益的基金产品。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377150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015346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65,870,572.61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40,490,856.08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-3,502,553.40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-2,492,340.21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-25,659,866.35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-16,685,265.58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-0.4075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-0.4123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244,741,744.74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150,056,340.05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3.7155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3.7059</w:t>
            </w:r>
          </w:p>
        </w:tc>
      </w:tr>
    </w:tbl>
    <w:p w:rsidR="00C277AF" w:rsidRDefault="00487B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C277AF" w:rsidRDefault="00487B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上投摩根健康品质生活混合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277AF">
        <w:tc>
          <w:tcPr>
            <w:tcW w:w="1290" w:type="dxa"/>
            <w:vAlign w:val="center"/>
          </w:tcPr>
          <w:p w:rsidR="00C277AF" w:rsidRDefault="00487B65">
            <w:pPr>
              <w:jc w:val="left"/>
            </w:pPr>
            <w:r>
              <w:rPr>
                <w:rFonts w:eastAsiaTheme="minorEastAsia"/>
                <w:color w:val="000000" w:themeColor="text1"/>
                <w:szCs w:val="21"/>
              </w:rPr>
              <w:t>过去三个月</w:t>
            </w:r>
          </w:p>
        </w:tc>
        <w:tc>
          <w:tcPr>
            <w:tcW w:w="1291" w:type="dxa"/>
            <w:vAlign w:val="center"/>
          </w:tcPr>
          <w:p w:rsidR="00C277AF" w:rsidRDefault="00487B65">
            <w:pPr>
              <w:jc w:val="right"/>
            </w:pPr>
            <w:r>
              <w:rPr>
                <w:rFonts w:eastAsiaTheme="minorEastAsia"/>
                <w:color w:val="000000" w:themeColor="text1"/>
                <w:szCs w:val="21"/>
              </w:rPr>
              <w:t>-9.86%</w:t>
            </w:r>
          </w:p>
        </w:tc>
        <w:tc>
          <w:tcPr>
            <w:tcW w:w="1291" w:type="dxa"/>
            <w:vAlign w:val="center"/>
          </w:tcPr>
          <w:p w:rsidR="00C277AF" w:rsidRDefault="00487B65">
            <w:pPr>
              <w:jc w:val="right"/>
            </w:pPr>
            <w:r>
              <w:rPr>
                <w:rFonts w:eastAsiaTheme="minorEastAsia"/>
                <w:color w:val="000000" w:themeColor="text1"/>
                <w:szCs w:val="21"/>
              </w:rPr>
              <w:t>1.10%</w:t>
            </w:r>
          </w:p>
        </w:tc>
        <w:tc>
          <w:tcPr>
            <w:tcW w:w="1291" w:type="dxa"/>
            <w:vAlign w:val="center"/>
          </w:tcPr>
          <w:p w:rsidR="00C277AF" w:rsidRDefault="00487B65">
            <w:pPr>
              <w:jc w:val="right"/>
            </w:pPr>
            <w:r>
              <w:rPr>
                <w:rFonts w:eastAsiaTheme="minorEastAsia"/>
                <w:color w:val="000000" w:themeColor="text1"/>
                <w:szCs w:val="21"/>
              </w:rPr>
              <w:t>-12.71%</w:t>
            </w:r>
          </w:p>
        </w:tc>
        <w:tc>
          <w:tcPr>
            <w:tcW w:w="1291" w:type="dxa"/>
            <w:vAlign w:val="center"/>
          </w:tcPr>
          <w:p w:rsidR="00C277AF" w:rsidRDefault="00487B65">
            <w:pPr>
              <w:jc w:val="right"/>
            </w:pPr>
            <w:r>
              <w:rPr>
                <w:rFonts w:eastAsiaTheme="minorEastAsia"/>
                <w:color w:val="000000" w:themeColor="text1"/>
                <w:szCs w:val="21"/>
              </w:rPr>
              <w:t>0.76%</w:t>
            </w:r>
          </w:p>
        </w:tc>
        <w:tc>
          <w:tcPr>
            <w:tcW w:w="1291" w:type="dxa"/>
            <w:vAlign w:val="center"/>
          </w:tcPr>
          <w:p w:rsidR="00C277AF" w:rsidRDefault="00487B65">
            <w:pPr>
              <w:jc w:val="right"/>
            </w:pPr>
            <w:r>
              <w:rPr>
                <w:rFonts w:eastAsiaTheme="minorEastAsia"/>
                <w:color w:val="000000" w:themeColor="text1"/>
                <w:szCs w:val="21"/>
              </w:rPr>
              <w:t>2.85%</w:t>
            </w:r>
          </w:p>
        </w:tc>
        <w:tc>
          <w:tcPr>
            <w:tcW w:w="1291" w:type="dxa"/>
            <w:vAlign w:val="center"/>
          </w:tcPr>
          <w:p w:rsidR="00C277AF" w:rsidRDefault="00487B65">
            <w:pPr>
              <w:jc w:val="right"/>
            </w:pPr>
            <w:r>
              <w:rPr>
                <w:rFonts w:eastAsiaTheme="minorEastAsia"/>
                <w:color w:val="000000" w:themeColor="text1"/>
                <w:szCs w:val="21"/>
              </w:rPr>
              <w:t>0.34%</w:t>
            </w:r>
          </w:p>
        </w:tc>
      </w:tr>
      <w:tr w:rsidR="00C277AF">
        <w:tc>
          <w:tcPr>
            <w:tcW w:w="1290" w:type="dxa"/>
            <w:vAlign w:val="center"/>
          </w:tcPr>
          <w:p w:rsidR="00C277AF" w:rsidRDefault="00487B65">
            <w:pPr>
              <w:jc w:val="left"/>
            </w:pPr>
            <w:r>
              <w:rPr>
                <w:rFonts w:eastAsiaTheme="minorEastAsia"/>
                <w:color w:val="000000" w:themeColor="text1"/>
                <w:szCs w:val="21"/>
              </w:rPr>
              <w:t>过去六个月</w:t>
            </w:r>
          </w:p>
        </w:tc>
        <w:tc>
          <w:tcPr>
            <w:tcW w:w="1291" w:type="dxa"/>
            <w:vAlign w:val="center"/>
          </w:tcPr>
          <w:p w:rsidR="00C277AF" w:rsidRDefault="00487B65">
            <w:pPr>
              <w:jc w:val="right"/>
            </w:pPr>
            <w:r>
              <w:rPr>
                <w:rFonts w:eastAsiaTheme="minorEastAsia"/>
                <w:color w:val="000000" w:themeColor="text1"/>
                <w:szCs w:val="21"/>
              </w:rPr>
              <w:t>5.17%</w:t>
            </w:r>
          </w:p>
        </w:tc>
        <w:tc>
          <w:tcPr>
            <w:tcW w:w="1291" w:type="dxa"/>
            <w:vAlign w:val="center"/>
          </w:tcPr>
          <w:p w:rsidR="00C277AF" w:rsidRDefault="00487B65">
            <w:pPr>
              <w:jc w:val="right"/>
            </w:pPr>
            <w:r>
              <w:rPr>
                <w:rFonts w:eastAsiaTheme="minorEastAsia"/>
                <w:color w:val="000000" w:themeColor="text1"/>
                <w:szCs w:val="21"/>
              </w:rPr>
              <w:t>1.43%</w:t>
            </w:r>
          </w:p>
        </w:tc>
        <w:tc>
          <w:tcPr>
            <w:tcW w:w="1291" w:type="dxa"/>
            <w:vAlign w:val="center"/>
          </w:tcPr>
          <w:p w:rsidR="00C277AF" w:rsidRDefault="00487B65">
            <w:pPr>
              <w:jc w:val="right"/>
            </w:pPr>
            <w:r>
              <w:rPr>
                <w:rFonts w:eastAsiaTheme="minorEastAsia"/>
                <w:color w:val="000000" w:themeColor="text1"/>
                <w:szCs w:val="21"/>
              </w:rPr>
              <w:t>-8.06%</w:t>
            </w:r>
          </w:p>
        </w:tc>
        <w:tc>
          <w:tcPr>
            <w:tcW w:w="1291" w:type="dxa"/>
            <w:vAlign w:val="center"/>
          </w:tcPr>
          <w:p w:rsidR="00C277AF" w:rsidRDefault="00487B65">
            <w:pPr>
              <w:jc w:val="right"/>
            </w:pPr>
            <w:r>
              <w:rPr>
                <w:rFonts w:eastAsiaTheme="minorEastAsia"/>
                <w:color w:val="000000" w:themeColor="text1"/>
                <w:szCs w:val="21"/>
              </w:rPr>
              <w:t>1.01%</w:t>
            </w:r>
          </w:p>
        </w:tc>
        <w:tc>
          <w:tcPr>
            <w:tcW w:w="1291" w:type="dxa"/>
            <w:vAlign w:val="center"/>
          </w:tcPr>
          <w:p w:rsidR="00C277AF" w:rsidRDefault="00487B65">
            <w:pPr>
              <w:jc w:val="right"/>
            </w:pPr>
            <w:r>
              <w:rPr>
                <w:rFonts w:eastAsiaTheme="minorEastAsia"/>
                <w:color w:val="000000" w:themeColor="text1"/>
                <w:szCs w:val="21"/>
              </w:rPr>
              <w:t>13.23%</w:t>
            </w:r>
          </w:p>
        </w:tc>
        <w:tc>
          <w:tcPr>
            <w:tcW w:w="1291" w:type="dxa"/>
            <w:vAlign w:val="center"/>
          </w:tcPr>
          <w:p w:rsidR="00C277AF" w:rsidRDefault="00487B65">
            <w:pPr>
              <w:jc w:val="right"/>
            </w:pPr>
            <w:r>
              <w:rPr>
                <w:rFonts w:eastAsiaTheme="minorEastAsia"/>
                <w:color w:val="000000" w:themeColor="text1"/>
                <w:szCs w:val="21"/>
              </w:rPr>
              <w:t>0.42%</w:t>
            </w:r>
          </w:p>
        </w:tc>
      </w:tr>
      <w:tr w:rsidR="00C277AF">
        <w:tc>
          <w:tcPr>
            <w:tcW w:w="1290" w:type="dxa"/>
            <w:vAlign w:val="center"/>
          </w:tcPr>
          <w:p w:rsidR="00C277AF" w:rsidRDefault="00487B65">
            <w:pPr>
              <w:jc w:val="left"/>
            </w:pPr>
            <w:r>
              <w:rPr>
                <w:rFonts w:eastAsiaTheme="minorEastAsia"/>
                <w:color w:val="000000" w:themeColor="text1"/>
                <w:szCs w:val="21"/>
              </w:rPr>
              <w:t>过去一年</w:t>
            </w:r>
          </w:p>
        </w:tc>
        <w:tc>
          <w:tcPr>
            <w:tcW w:w="1291" w:type="dxa"/>
            <w:vAlign w:val="center"/>
          </w:tcPr>
          <w:p w:rsidR="00C277AF" w:rsidRDefault="00487B65">
            <w:pPr>
              <w:jc w:val="right"/>
            </w:pPr>
            <w:r>
              <w:rPr>
                <w:rFonts w:eastAsiaTheme="minorEastAsia"/>
                <w:color w:val="000000" w:themeColor="text1"/>
                <w:szCs w:val="21"/>
              </w:rPr>
              <w:t>-11.36%</w:t>
            </w:r>
          </w:p>
        </w:tc>
        <w:tc>
          <w:tcPr>
            <w:tcW w:w="1291" w:type="dxa"/>
            <w:vAlign w:val="center"/>
          </w:tcPr>
          <w:p w:rsidR="00C277AF" w:rsidRDefault="00487B65">
            <w:pPr>
              <w:jc w:val="right"/>
            </w:pPr>
            <w:r>
              <w:rPr>
                <w:rFonts w:eastAsiaTheme="minorEastAsia"/>
                <w:color w:val="000000" w:themeColor="text1"/>
                <w:szCs w:val="21"/>
              </w:rPr>
              <w:t>1.48%</w:t>
            </w:r>
          </w:p>
        </w:tc>
        <w:tc>
          <w:tcPr>
            <w:tcW w:w="1291" w:type="dxa"/>
            <w:vAlign w:val="center"/>
          </w:tcPr>
          <w:p w:rsidR="00C277AF" w:rsidRDefault="00487B65">
            <w:pPr>
              <w:jc w:val="right"/>
            </w:pPr>
            <w:r>
              <w:rPr>
                <w:rFonts w:eastAsiaTheme="minorEastAsia"/>
                <w:color w:val="000000" w:themeColor="text1"/>
                <w:szCs w:val="21"/>
              </w:rPr>
              <w:t>-17.89%</w:t>
            </w:r>
          </w:p>
        </w:tc>
        <w:tc>
          <w:tcPr>
            <w:tcW w:w="1291" w:type="dxa"/>
            <w:vAlign w:val="center"/>
          </w:tcPr>
          <w:p w:rsidR="00C277AF" w:rsidRDefault="00487B65">
            <w:pPr>
              <w:jc w:val="right"/>
            </w:pPr>
            <w:r>
              <w:rPr>
                <w:rFonts w:eastAsiaTheme="minorEastAsia"/>
                <w:color w:val="000000" w:themeColor="text1"/>
                <w:szCs w:val="21"/>
              </w:rPr>
              <w:t>1.00%</w:t>
            </w:r>
          </w:p>
        </w:tc>
        <w:tc>
          <w:tcPr>
            <w:tcW w:w="1291" w:type="dxa"/>
            <w:vAlign w:val="center"/>
          </w:tcPr>
          <w:p w:rsidR="00C277AF" w:rsidRDefault="00487B65">
            <w:pPr>
              <w:jc w:val="right"/>
            </w:pPr>
            <w:r>
              <w:rPr>
                <w:rFonts w:eastAsiaTheme="minorEastAsia"/>
                <w:color w:val="000000" w:themeColor="text1"/>
                <w:szCs w:val="21"/>
              </w:rPr>
              <w:t>6.53%</w:t>
            </w:r>
          </w:p>
        </w:tc>
        <w:tc>
          <w:tcPr>
            <w:tcW w:w="1291" w:type="dxa"/>
            <w:vAlign w:val="center"/>
          </w:tcPr>
          <w:p w:rsidR="00C277AF" w:rsidRDefault="00487B65">
            <w:pPr>
              <w:jc w:val="right"/>
            </w:pPr>
            <w:r>
              <w:rPr>
                <w:rFonts w:eastAsiaTheme="minorEastAsia"/>
                <w:color w:val="000000" w:themeColor="text1"/>
                <w:szCs w:val="21"/>
              </w:rPr>
              <w:t>0.48%</w:t>
            </w:r>
          </w:p>
        </w:tc>
      </w:tr>
      <w:tr w:rsidR="00C277AF">
        <w:tc>
          <w:tcPr>
            <w:tcW w:w="1290" w:type="dxa"/>
            <w:vAlign w:val="center"/>
          </w:tcPr>
          <w:p w:rsidR="00C277AF" w:rsidRDefault="00487B65">
            <w:pPr>
              <w:jc w:val="left"/>
            </w:pPr>
            <w:r>
              <w:rPr>
                <w:rFonts w:eastAsiaTheme="minorEastAsia"/>
                <w:color w:val="000000" w:themeColor="text1"/>
                <w:szCs w:val="21"/>
              </w:rPr>
              <w:t>过去三年</w:t>
            </w:r>
          </w:p>
        </w:tc>
        <w:tc>
          <w:tcPr>
            <w:tcW w:w="1291" w:type="dxa"/>
            <w:vAlign w:val="center"/>
          </w:tcPr>
          <w:p w:rsidR="00C277AF" w:rsidRDefault="00487B65">
            <w:pPr>
              <w:jc w:val="right"/>
            </w:pPr>
            <w:r>
              <w:rPr>
                <w:rFonts w:eastAsiaTheme="minorEastAsia"/>
                <w:color w:val="000000" w:themeColor="text1"/>
                <w:szCs w:val="21"/>
              </w:rPr>
              <w:t>61.12%</w:t>
            </w:r>
          </w:p>
        </w:tc>
        <w:tc>
          <w:tcPr>
            <w:tcW w:w="1291" w:type="dxa"/>
            <w:vAlign w:val="center"/>
          </w:tcPr>
          <w:p w:rsidR="00C277AF" w:rsidRDefault="00487B65">
            <w:pPr>
              <w:jc w:val="right"/>
            </w:pPr>
            <w:r>
              <w:rPr>
                <w:rFonts w:eastAsiaTheme="minorEastAsia"/>
                <w:color w:val="000000" w:themeColor="text1"/>
                <w:szCs w:val="21"/>
              </w:rPr>
              <w:t>1.58%</w:t>
            </w:r>
          </w:p>
        </w:tc>
        <w:tc>
          <w:tcPr>
            <w:tcW w:w="1291" w:type="dxa"/>
            <w:vAlign w:val="center"/>
          </w:tcPr>
          <w:p w:rsidR="00C277AF" w:rsidRDefault="00487B65">
            <w:pPr>
              <w:jc w:val="right"/>
            </w:pPr>
            <w:r>
              <w:rPr>
                <w:rFonts w:eastAsiaTheme="minorEastAsia"/>
                <w:color w:val="000000" w:themeColor="text1"/>
                <w:szCs w:val="21"/>
              </w:rPr>
              <w:t>1.69%</w:t>
            </w:r>
          </w:p>
        </w:tc>
        <w:tc>
          <w:tcPr>
            <w:tcW w:w="1291" w:type="dxa"/>
            <w:vAlign w:val="center"/>
          </w:tcPr>
          <w:p w:rsidR="00C277AF" w:rsidRDefault="00487B65">
            <w:pPr>
              <w:jc w:val="right"/>
            </w:pPr>
            <w:r>
              <w:rPr>
                <w:rFonts w:eastAsiaTheme="minorEastAsia"/>
                <w:color w:val="000000" w:themeColor="text1"/>
                <w:szCs w:val="21"/>
              </w:rPr>
              <w:t>1.08%</w:t>
            </w:r>
          </w:p>
        </w:tc>
        <w:tc>
          <w:tcPr>
            <w:tcW w:w="1291" w:type="dxa"/>
            <w:vAlign w:val="center"/>
          </w:tcPr>
          <w:p w:rsidR="00C277AF" w:rsidRDefault="00487B65">
            <w:pPr>
              <w:jc w:val="right"/>
            </w:pPr>
            <w:r>
              <w:rPr>
                <w:rFonts w:eastAsiaTheme="minorEastAsia"/>
                <w:color w:val="000000" w:themeColor="text1"/>
                <w:szCs w:val="21"/>
              </w:rPr>
              <w:t>59.43%</w:t>
            </w:r>
          </w:p>
        </w:tc>
        <w:tc>
          <w:tcPr>
            <w:tcW w:w="1291" w:type="dxa"/>
            <w:vAlign w:val="center"/>
          </w:tcPr>
          <w:p w:rsidR="00C277AF" w:rsidRDefault="00487B65">
            <w:pPr>
              <w:jc w:val="right"/>
            </w:pPr>
            <w:r>
              <w:rPr>
                <w:rFonts w:eastAsiaTheme="minorEastAsia"/>
                <w:color w:val="000000" w:themeColor="text1"/>
                <w:szCs w:val="21"/>
              </w:rPr>
              <w:t>0.50%</w:t>
            </w:r>
          </w:p>
        </w:tc>
      </w:tr>
      <w:tr w:rsidR="00C277AF">
        <w:tc>
          <w:tcPr>
            <w:tcW w:w="1290" w:type="dxa"/>
            <w:vAlign w:val="center"/>
          </w:tcPr>
          <w:p w:rsidR="00C277AF" w:rsidRDefault="00487B65">
            <w:pPr>
              <w:jc w:val="left"/>
            </w:pPr>
            <w:r>
              <w:rPr>
                <w:rFonts w:eastAsiaTheme="minorEastAsia"/>
                <w:color w:val="000000" w:themeColor="text1"/>
                <w:szCs w:val="21"/>
              </w:rPr>
              <w:t>过去五年</w:t>
            </w:r>
          </w:p>
        </w:tc>
        <w:tc>
          <w:tcPr>
            <w:tcW w:w="1291" w:type="dxa"/>
            <w:vAlign w:val="center"/>
          </w:tcPr>
          <w:p w:rsidR="00C277AF" w:rsidRDefault="00487B65">
            <w:pPr>
              <w:jc w:val="right"/>
            </w:pPr>
            <w:r>
              <w:rPr>
                <w:rFonts w:eastAsiaTheme="minorEastAsia"/>
                <w:color w:val="000000" w:themeColor="text1"/>
                <w:szCs w:val="21"/>
              </w:rPr>
              <w:t>73.46%</w:t>
            </w:r>
          </w:p>
        </w:tc>
        <w:tc>
          <w:tcPr>
            <w:tcW w:w="1291" w:type="dxa"/>
            <w:vAlign w:val="center"/>
          </w:tcPr>
          <w:p w:rsidR="00C277AF" w:rsidRDefault="00487B65">
            <w:pPr>
              <w:jc w:val="right"/>
            </w:pPr>
            <w:r>
              <w:rPr>
                <w:rFonts w:eastAsiaTheme="minorEastAsia"/>
                <w:color w:val="000000" w:themeColor="text1"/>
                <w:szCs w:val="21"/>
              </w:rPr>
              <w:t>1.58%</w:t>
            </w:r>
          </w:p>
        </w:tc>
        <w:tc>
          <w:tcPr>
            <w:tcW w:w="1291" w:type="dxa"/>
            <w:vAlign w:val="center"/>
          </w:tcPr>
          <w:p w:rsidR="00C277AF" w:rsidRDefault="00487B65">
            <w:pPr>
              <w:jc w:val="right"/>
            </w:pPr>
            <w:r>
              <w:rPr>
                <w:rFonts w:eastAsiaTheme="minorEastAsia"/>
                <w:color w:val="000000" w:themeColor="text1"/>
                <w:szCs w:val="21"/>
              </w:rPr>
              <w:t>2.77%</w:t>
            </w:r>
          </w:p>
        </w:tc>
        <w:tc>
          <w:tcPr>
            <w:tcW w:w="1291" w:type="dxa"/>
            <w:vAlign w:val="center"/>
          </w:tcPr>
          <w:p w:rsidR="00C277AF" w:rsidRDefault="00487B65">
            <w:pPr>
              <w:jc w:val="right"/>
            </w:pPr>
            <w:r>
              <w:rPr>
                <w:rFonts w:eastAsiaTheme="minorEastAsia"/>
                <w:color w:val="000000" w:themeColor="text1"/>
                <w:szCs w:val="21"/>
              </w:rPr>
              <w:t>1.09%</w:t>
            </w:r>
          </w:p>
        </w:tc>
        <w:tc>
          <w:tcPr>
            <w:tcW w:w="1291" w:type="dxa"/>
            <w:vAlign w:val="center"/>
          </w:tcPr>
          <w:p w:rsidR="00C277AF" w:rsidRDefault="00487B65">
            <w:pPr>
              <w:jc w:val="right"/>
            </w:pPr>
            <w:r>
              <w:rPr>
                <w:rFonts w:eastAsiaTheme="minorEastAsia"/>
                <w:color w:val="000000" w:themeColor="text1"/>
                <w:szCs w:val="21"/>
              </w:rPr>
              <w:t>70.69%</w:t>
            </w:r>
          </w:p>
        </w:tc>
        <w:tc>
          <w:tcPr>
            <w:tcW w:w="1291" w:type="dxa"/>
            <w:vAlign w:val="center"/>
          </w:tcPr>
          <w:p w:rsidR="00C277AF" w:rsidRDefault="00487B65">
            <w:pPr>
              <w:jc w:val="right"/>
            </w:pPr>
            <w:r>
              <w:rPr>
                <w:rFonts w:eastAsiaTheme="minorEastAsia"/>
                <w:color w:val="000000" w:themeColor="text1"/>
                <w:szCs w:val="21"/>
              </w:rPr>
              <w:t>0.49%</w:t>
            </w:r>
          </w:p>
        </w:tc>
      </w:tr>
      <w:tr w:rsidR="00C277AF">
        <w:tc>
          <w:tcPr>
            <w:tcW w:w="1290" w:type="dxa"/>
            <w:vAlign w:val="center"/>
          </w:tcPr>
          <w:p w:rsidR="00C277AF" w:rsidRDefault="00487B65">
            <w:pPr>
              <w:jc w:val="left"/>
            </w:pPr>
            <w:r>
              <w:rPr>
                <w:rFonts w:eastAsiaTheme="minorEastAsia"/>
                <w:color w:val="000000" w:themeColor="text1"/>
                <w:szCs w:val="21"/>
              </w:rPr>
              <w:t>自基金合同生效起至今</w:t>
            </w:r>
          </w:p>
        </w:tc>
        <w:tc>
          <w:tcPr>
            <w:tcW w:w="1291" w:type="dxa"/>
            <w:vAlign w:val="center"/>
          </w:tcPr>
          <w:p w:rsidR="00C277AF" w:rsidRDefault="00487B65">
            <w:pPr>
              <w:jc w:val="right"/>
            </w:pPr>
            <w:r>
              <w:rPr>
                <w:rFonts w:eastAsiaTheme="minorEastAsia"/>
                <w:color w:val="000000" w:themeColor="text1"/>
                <w:szCs w:val="21"/>
              </w:rPr>
              <w:t>271.55%</w:t>
            </w:r>
          </w:p>
        </w:tc>
        <w:tc>
          <w:tcPr>
            <w:tcW w:w="1291" w:type="dxa"/>
            <w:vAlign w:val="center"/>
          </w:tcPr>
          <w:p w:rsidR="00C277AF" w:rsidRDefault="00487B65">
            <w:pPr>
              <w:jc w:val="right"/>
            </w:pPr>
            <w:r>
              <w:rPr>
                <w:rFonts w:eastAsiaTheme="minorEastAsia"/>
                <w:color w:val="000000" w:themeColor="text1"/>
                <w:szCs w:val="21"/>
              </w:rPr>
              <w:t>1.67%</w:t>
            </w:r>
          </w:p>
        </w:tc>
        <w:tc>
          <w:tcPr>
            <w:tcW w:w="1291" w:type="dxa"/>
            <w:vAlign w:val="center"/>
          </w:tcPr>
          <w:p w:rsidR="00C277AF" w:rsidRDefault="00487B65">
            <w:pPr>
              <w:jc w:val="right"/>
            </w:pPr>
            <w:r>
              <w:rPr>
                <w:rFonts w:eastAsiaTheme="minorEastAsia"/>
                <w:color w:val="000000" w:themeColor="text1"/>
                <w:szCs w:val="21"/>
              </w:rPr>
              <w:t>53.76%</w:t>
            </w:r>
          </w:p>
        </w:tc>
        <w:tc>
          <w:tcPr>
            <w:tcW w:w="1291" w:type="dxa"/>
            <w:vAlign w:val="center"/>
          </w:tcPr>
          <w:p w:rsidR="00C277AF" w:rsidRDefault="00487B65">
            <w:pPr>
              <w:jc w:val="right"/>
            </w:pPr>
            <w:r>
              <w:rPr>
                <w:rFonts w:eastAsiaTheme="minorEastAsia"/>
                <w:color w:val="000000" w:themeColor="text1"/>
                <w:szCs w:val="21"/>
              </w:rPr>
              <w:t>1.20%</w:t>
            </w:r>
          </w:p>
        </w:tc>
        <w:tc>
          <w:tcPr>
            <w:tcW w:w="1291" w:type="dxa"/>
            <w:vAlign w:val="center"/>
          </w:tcPr>
          <w:p w:rsidR="00C277AF" w:rsidRDefault="00487B65">
            <w:pPr>
              <w:jc w:val="right"/>
            </w:pPr>
            <w:r>
              <w:rPr>
                <w:rFonts w:eastAsiaTheme="minorEastAsia"/>
                <w:color w:val="000000" w:themeColor="text1"/>
                <w:szCs w:val="21"/>
              </w:rPr>
              <w:t>217.79%</w:t>
            </w:r>
          </w:p>
        </w:tc>
        <w:tc>
          <w:tcPr>
            <w:tcW w:w="1291" w:type="dxa"/>
            <w:vAlign w:val="center"/>
          </w:tcPr>
          <w:p w:rsidR="00C277AF" w:rsidRDefault="00487B65">
            <w:pPr>
              <w:jc w:val="right"/>
            </w:pPr>
            <w:r>
              <w:rPr>
                <w:rFonts w:eastAsiaTheme="minorEastAsia"/>
                <w:color w:val="000000" w:themeColor="text1"/>
                <w:szCs w:val="21"/>
              </w:rPr>
              <w:t>0.47%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上投摩根健康品质生活混合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277AF">
        <w:tc>
          <w:tcPr>
            <w:tcW w:w="1290" w:type="dxa"/>
            <w:vAlign w:val="center"/>
          </w:tcPr>
          <w:p w:rsidR="00C277AF" w:rsidRDefault="00487B65">
            <w:pPr>
              <w:jc w:val="left"/>
            </w:pPr>
            <w:r>
              <w:rPr>
                <w:rFonts w:eastAsiaTheme="minorEastAsia"/>
                <w:color w:val="000000" w:themeColor="text1"/>
                <w:szCs w:val="21"/>
              </w:rPr>
              <w:t>过去三个月</w:t>
            </w:r>
          </w:p>
        </w:tc>
        <w:tc>
          <w:tcPr>
            <w:tcW w:w="1291" w:type="dxa"/>
            <w:vAlign w:val="center"/>
          </w:tcPr>
          <w:p w:rsidR="00C277AF" w:rsidRDefault="00487B65">
            <w:pPr>
              <w:jc w:val="right"/>
            </w:pPr>
            <w:r>
              <w:rPr>
                <w:rFonts w:eastAsiaTheme="minorEastAsia"/>
                <w:color w:val="000000" w:themeColor="text1"/>
                <w:szCs w:val="21"/>
              </w:rPr>
              <w:t>-9.97%</w:t>
            </w:r>
          </w:p>
        </w:tc>
        <w:tc>
          <w:tcPr>
            <w:tcW w:w="1291" w:type="dxa"/>
            <w:vAlign w:val="center"/>
          </w:tcPr>
          <w:p w:rsidR="00C277AF" w:rsidRDefault="00487B65">
            <w:pPr>
              <w:jc w:val="right"/>
            </w:pPr>
            <w:r>
              <w:rPr>
                <w:rFonts w:eastAsiaTheme="minorEastAsia"/>
                <w:color w:val="000000" w:themeColor="text1"/>
                <w:szCs w:val="21"/>
              </w:rPr>
              <w:t>1.09%</w:t>
            </w:r>
          </w:p>
        </w:tc>
        <w:tc>
          <w:tcPr>
            <w:tcW w:w="1291" w:type="dxa"/>
            <w:vAlign w:val="center"/>
          </w:tcPr>
          <w:p w:rsidR="00C277AF" w:rsidRDefault="00487B65">
            <w:pPr>
              <w:jc w:val="right"/>
            </w:pPr>
            <w:r>
              <w:rPr>
                <w:rFonts w:eastAsiaTheme="minorEastAsia"/>
                <w:color w:val="000000" w:themeColor="text1"/>
                <w:szCs w:val="21"/>
              </w:rPr>
              <w:t>-12.71%</w:t>
            </w:r>
          </w:p>
        </w:tc>
        <w:tc>
          <w:tcPr>
            <w:tcW w:w="1291" w:type="dxa"/>
            <w:vAlign w:val="center"/>
          </w:tcPr>
          <w:p w:rsidR="00C277AF" w:rsidRDefault="00487B65">
            <w:pPr>
              <w:jc w:val="right"/>
            </w:pPr>
            <w:r>
              <w:rPr>
                <w:rFonts w:eastAsiaTheme="minorEastAsia"/>
                <w:color w:val="000000" w:themeColor="text1"/>
                <w:szCs w:val="21"/>
              </w:rPr>
              <w:t>0.76%</w:t>
            </w:r>
          </w:p>
        </w:tc>
        <w:tc>
          <w:tcPr>
            <w:tcW w:w="1291" w:type="dxa"/>
            <w:vAlign w:val="center"/>
          </w:tcPr>
          <w:p w:rsidR="00C277AF" w:rsidRDefault="00487B65">
            <w:pPr>
              <w:jc w:val="right"/>
            </w:pPr>
            <w:r>
              <w:rPr>
                <w:rFonts w:eastAsiaTheme="minorEastAsia"/>
                <w:color w:val="000000" w:themeColor="text1"/>
                <w:szCs w:val="21"/>
              </w:rPr>
              <w:t>2.74%</w:t>
            </w:r>
          </w:p>
        </w:tc>
        <w:tc>
          <w:tcPr>
            <w:tcW w:w="1291" w:type="dxa"/>
            <w:vAlign w:val="center"/>
          </w:tcPr>
          <w:p w:rsidR="00C277AF" w:rsidRDefault="00487B65">
            <w:pPr>
              <w:jc w:val="right"/>
            </w:pPr>
            <w:r>
              <w:rPr>
                <w:rFonts w:eastAsiaTheme="minorEastAsia"/>
                <w:color w:val="000000" w:themeColor="text1"/>
                <w:szCs w:val="21"/>
              </w:rPr>
              <w:t>0.33%</w:t>
            </w:r>
          </w:p>
        </w:tc>
      </w:tr>
      <w:tr w:rsidR="00C277AF">
        <w:tc>
          <w:tcPr>
            <w:tcW w:w="1290" w:type="dxa"/>
            <w:vAlign w:val="center"/>
          </w:tcPr>
          <w:p w:rsidR="00C277AF" w:rsidRDefault="00487B65">
            <w:pPr>
              <w:jc w:val="left"/>
            </w:pPr>
            <w:r>
              <w:rPr>
                <w:rFonts w:eastAsiaTheme="minorEastAsia"/>
                <w:color w:val="000000" w:themeColor="text1"/>
                <w:szCs w:val="21"/>
              </w:rPr>
              <w:t>过去六个月</w:t>
            </w:r>
          </w:p>
        </w:tc>
        <w:tc>
          <w:tcPr>
            <w:tcW w:w="1291" w:type="dxa"/>
            <w:vAlign w:val="center"/>
          </w:tcPr>
          <w:p w:rsidR="00C277AF" w:rsidRDefault="00487B65">
            <w:pPr>
              <w:jc w:val="right"/>
            </w:pPr>
            <w:r>
              <w:rPr>
                <w:rFonts w:eastAsiaTheme="minorEastAsia"/>
                <w:color w:val="000000" w:themeColor="text1"/>
                <w:szCs w:val="21"/>
              </w:rPr>
              <w:t>4.91%</w:t>
            </w:r>
          </w:p>
        </w:tc>
        <w:tc>
          <w:tcPr>
            <w:tcW w:w="1291" w:type="dxa"/>
            <w:vAlign w:val="center"/>
          </w:tcPr>
          <w:p w:rsidR="00C277AF" w:rsidRDefault="00487B65">
            <w:pPr>
              <w:jc w:val="right"/>
            </w:pPr>
            <w:r>
              <w:rPr>
                <w:rFonts w:eastAsiaTheme="minorEastAsia"/>
                <w:color w:val="000000" w:themeColor="text1"/>
                <w:szCs w:val="21"/>
              </w:rPr>
              <w:t>1.43%</w:t>
            </w:r>
          </w:p>
        </w:tc>
        <w:tc>
          <w:tcPr>
            <w:tcW w:w="1291" w:type="dxa"/>
            <w:vAlign w:val="center"/>
          </w:tcPr>
          <w:p w:rsidR="00C277AF" w:rsidRDefault="00487B65">
            <w:pPr>
              <w:jc w:val="right"/>
            </w:pPr>
            <w:r>
              <w:rPr>
                <w:rFonts w:eastAsiaTheme="minorEastAsia"/>
                <w:color w:val="000000" w:themeColor="text1"/>
                <w:szCs w:val="21"/>
              </w:rPr>
              <w:t>-8.06%</w:t>
            </w:r>
          </w:p>
        </w:tc>
        <w:tc>
          <w:tcPr>
            <w:tcW w:w="1291" w:type="dxa"/>
            <w:vAlign w:val="center"/>
          </w:tcPr>
          <w:p w:rsidR="00C277AF" w:rsidRDefault="00487B65">
            <w:pPr>
              <w:jc w:val="right"/>
            </w:pPr>
            <w:r>
              <w:rPr>
                <w:rFonts w:eastAsiaTheme="minorEastAsia"/>
                <w:color w:val="000000" w:themeColor="text1"/>
                <w:szCs w:val="21"/>
              </w:rPr>
              <w:t>1.01%</w:t>
            </w:r>
          </w:p>
        </w:tc>
        <w:tc>
          <w:tcPr>
            <w:tcW w:w="1291" w:type="dxa"/>
            <w:vAlign w:val="center"/>
          </w:tcPr>
          <w:p w:rsidR="00C277AF" w:rsidRDefault="00487B65">
            <w:pPr>
              <w:jc w:val="right"/>
            </w:pPr>
            <w:r>
              <w:rPr>
                <w:rFonts w:eastAsiaTheme="minorEastAsia"/>
                <w:color w:val="000000" w:themeColor="text1"/>
                <w:szCs w:val="21"/>
              </w:rPr>
              <w:t>12.97%</w:t>
            </w:r>
          </w:p>
        </w:tc>
        <w:tc>
          <w:tcPr>
            <w:tcW w:w="1291" w:type="dxa"/>
            <w:vAlign w:val="center"/>
          </w:tcPr>
          <w:p w:rsidR="00C277AF" w:rsidRDefault="00487B65">
            <w:pPr>
              <w:jc w:val="right"/>
            </w:pPr>
            <w:r>
              <w:rPr>
                <w:rFonts w:eastAsiaTheme="minorEastAsia"/>
                <w:color w:val="000000" w:themeColor="text1"/>
                <w:szCs w:val="21"/>
              </w:rPr>
              <w:t>0.42%</w:t>
            </w:r>
          </w:p>
        </w:tc>
      </w:tr>
      <w:tr w:rsidR="00C277AF">
        <w:tc>
          <w:tcPr>
            <w:tcW w:w="1290" w:type="dxa"/>
            <w:vAlign w:val="center"/>
          </w:tcPr>
          <w:p w:rsidR="00C277AF" w:rsidRDefault="00487B65">
            <w:pPr>
              <w:jc w:val="left"/>
            </w:pPr>
            <w:r>
              <w:rPr>
                <w:rFonts w:eastAsiaTheme="minorEastAsia"/>
                <w:color w:val="000000" w:themeColor="text1"/>
                <w:szCs w:val="21"/>
              </w:rPr>
              <w:t>过去一年</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r>
      <w:tr w:rsidR="00C277AF">
        <w:tc>
          <w:tcPr>
            <w:tcW w:w="1290" w:type="dxa"/>
            <w:vAlign w:val="center"/>
          </w:tcPr>
          <w:p w:rsidR="00C277AF" w:rsidRDefault="00487B65">
            <w:pPr>
              <w:jc w:val="left"/>
            </w:pPr>
            <w:r>
              <w:rPr>
                <w:rFonts w:eastAsiaTheme="minorEastAsia"/>
                <w:color w:val="000000" w:themeColor="text1"/>
                <w:szCs w:val="21"/>
              </w:rPr>
              <w:t>过去三年</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r>
      <w:tr w:rsidR="00C277AF">
        <w:tc>
          <w:tcPr>
            <w:tcW w:w="1290" w:type="dxa"/>
            <w:vAlign w:val="center"/>
          </w:tcPr>
          <w:p w:rsidR="00C277AF" w:rsidRDefault="00487B65">
            <w:pPr>
              <w:jc w:val="left"/>
            </w:pPr>
            <w:r>
              <w:rPr>
                <w:rFonts w:eastAsiaTheme="minorEastAsia"/>
                <w:color w:val="000000" w:themeColor="text1"/>
                <w:szCs w:val="21"/>
              </w:rPr>
              <w:t>过去五年</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c>
          <w:tcPr>
            <w:tcW w:w="1291" w:type="dxa"/>
            <w:vAlign w:val="center"/>
          </w:tcPr>
          <w:p w:rsidR="00C277AF" w:rsidRDefault="00487B65">
            <w:pPr>
              <w:jc w:val="right"/>
            </w:pPr>
            <w:r>
              <w:rPr>
                <w:rFonts w:eastAsiaTheme="minorEastAsia"/>
                <w:color w:val="000000" w:themeColor="text1"/>
                <w:szCs w:val="21"/>
              </w:rPr>
              <w:t>-</w:t>
            </w:r>
          </w:p>
        </w:tc>
      </w:tr>
      <w:tr w:rsidR="00C277AF">
        <w:tc>
          <w:tcPr>
            <w:tcW w:w="1290" w:type="dxa"/>
            <w:vAlign w:val="center"/>
          </w:tcPr>
          <w:p w:rsidR="00C277AF" w:rsidRDefault="00487B65">
            <w:pPr>
              <w:jc w:val="left"/>
            </w:pPr>
            <w:r>
              <w:rPr>
                <w:rFonts w:eastAsiaTheme="minorEastAsia"/>
                <w:color w:val="000000" w:themeColor="text1"/>
                <w:szCs w:val="21"/>
              </w:rPr>
              <w:t>自基金合同生效起至今</w:t>
            </w:r>
          </w:p>
        </w:tc>
        <w:tc>
          <w:tcPr>
            <w:tcW w:w="1291" w:type="dxa"/>
            <w:vAlign w:val="center"/>
          </w:tcPr>
          <w:p w:rsidR="00C277AF" w:rsidRDefault="00487B65">
            <w:pPr>
              <w:jc w:val="right"/>
            </w:pPr>
            <w:r>
              <w:rPr>
                <w:rFonts w:eastAsiaTheme="minorEastAsia"/>
                <w:color w:val="000000" w:themeColor="text1"/>
                <w:szCs w:val="21"/>
              </w:rPr>
              <w:t>0.34%</w:t>
            </w:r>
          </w:p>
        </w:tc>
        <w:tc>
          <w:tcPr>
            <w:tcW w:w="1291" w:type="dxa"/>
            <w:vAlign w:val="center"/>
          </w:tcPr>
          <w:p w:rsidR="00C277AF" w:rsidRDefault="00487B65">
            <w:pPr>
              <w:jc w:val="right"/>
            </w:pPr>
            <w:r>
              <w:rPr>
                <w:rFonts w:eastAsiaTheme="minorEastAsia"/>
                <w:color w:val="000000" w:themeColor="text1"/>
                <w:szCs w:val="21"/>
              </w:rPr>
              <w:t>1.57%</w:t>
            </w:r>
          </w:p>
        </w:tc>
        <w:tc>
          <w:tcPr>
            <w:tcW w:w="1291" w:type="dxa"/>
            <w:vAlign w:val="center"/>
          </w:tcPr>
          <w:p w:rsidR="00C277AF" w:rsidRDefault="00487B65">
            <w:pPr>
              <w:jc w:val="right"/>
            </w:pPr>
            <w:r>
              <w:rPr>
                <w:rFonts w:eastAsiaTheme="minorEastAsia"/>
                <w:color w:val="000000" w:themeColor="text1"/>
                <w:szCs w:val="21"/>
              </w:rPr>
              <w:t>-9.29%</w:t>
            </w:r>
          </w:p>
        </w:tc>
        <w:tc>
          <w:tcPr>
            <w:tcW w:w="1291" w:type="dxa"/>
            <w:vAlign w:val="center"/>
          </w:tcPr>
          <w:p w:rsidR="00C277AF" w:rsidRDefault="00487B65">
            <w:pPr>
              <w:jc w:val="right"/>
            </w:pPr>
            <w:r>
              <w:rPr>
                <w:rFonts w:eastAsiaTheme="minorEastAsia"/>
                <w:color w:val="000000" w:themeColor="text1"/>
                <w:szCs w:val="21"/>
              </w:rPr>
              <w:t>1.12%</w:t>
            </w:r>
          </w:p>
        </w:tc>
        <w:tc>
          <w:tcPr>
            <w:tcW w:w="1291" w:type="dxa"/>
            <w:vAlign w:val="center"/>
          </w:tcPr>
          <w:p w:rsidR="00C277AF" w:rsidRDefault="00487B65">
            <w:pPr>
              <w:jc w:val="right"/>
            </w:pPr>
            <w:r>
              <w:rPr>
                <w:rFonts w:eastAsiaTheme="minorEastAsia"/>
                <w:color w:val="000000" w:themeColor="text1"/>
                <w:szCs w:val="21"/>
              </w:rPr>
              <w:t>9.63%</w:t>
            </w:r>
          </w:p>
        </w:tc>
        <w:tc>
          <w:tcPr>
            <w:tcW w:w="1291" w:type="dxa"/>
            <w:vAlign w:val="center"/>
          </w:tcPr>
          <w:p w:rsidR="00C277AF" w:rsidRDefault="00487B65">
            <w:pPr>
              <w:jc w:val="right"/>
            </w:pPr>
            <w:r>
              <w:rPr>
                <w:rFonts w:eastAsiaTheme="minorEastAsia"/>
                <w:color w:val="000000" w:themeColor="text1"/>
                <w:szCs w:val="21"/>
              </w:rPr>
              <w:t>0.45%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上投摩根健康品质生活混合型证券投资基金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．上投摩根健康品质生活混合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．上投摩根健康品质生活混合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277AF">
        <w:tc>
          <w:tcPr>
            <w:tcW w:w="952" w:type="dxa"/>
            <w:vAlign w:val="center"/>
          </w:tcPr>
          <w:p w:rsidR="00C277AF" w:rsidRDefault="00487B65">
            <w:pPr>
              <w:jc w:val="center"/>
            </w:pPr>
            <w:r>
              <w:rPr>
                <w:rFonts w:eastAsiaTheme="minorEastAsia"/>
                <w:color w:val="000000" w:themeColor="text1"/>
                <w:szCs w:val="21"/>
              </w:rPr>
              <w:t>周战海</w:t>
            </w:r>
          </w:p>
        </w:tc>
        <w:tc>
          <w:tcPr>
            <w:tcW w:w="930" w:type="dxa"/>
            <w:vAlign w:val="center"/>
          </w:tcPr>
          <w:p w:rsidR="00C277AF" w:rsidRDefault="00487B65">
            <w:pPr>
              <w:jc w:val="center"/>
            </w:pPr>
            <w:r>
              <w:rPr>
                <w:rFonts w:eastAsiaTheme="minorEastAsia"/>
                <w:color w:val="000000" w:themeColor="text1"/>
                <w:szCs w:val="21"/>
              </w:rPr>
              <w:t>本基金基金经理</w:t>
            </w:r>
          </w:p>
        </w:tc>
        <w:tc>
          <w:tcPr>
            <w:tcW w:w="1210" w:type="dxa"/>
            <w:vAlign w:val="center"/>
          </w:tcPr>
          <w:p w:rsidR="00C277AF" w:rsidRDefault="00487B65">
            <w:pPr>
              <w:jc w:val="center"/>
            </w:pPr>
            <w:r>
              <w:rPr>
                <w:rFonts w:eastAsiaTheme="minorEastAsia"/>
                <w:color w:val="000000" w:themeColor="text1"/>
                <w:szCs w:val="21"/>
              </w:rPr>
              <w:t>2018-02-09</w:t>
            </w:r>
          </w:p>
        </w:tc>
        <w:tc>
          <w:tcPr>
            <w:tcW w:w="1309" w:type="dxa"/>
            <w:vAlign w:val="center"/>
          </w:tcPr>
          <w:p w:rsidR="00C277AF" w:rsidRDefault="00487B65">
            <w:pPr>
              <w:jc w:val="center"/>
            </w:pPr>
            <w:r>
              <w:rPr>
                <w:rFonts w:eastAsiaTheme="minorEastAsia"/>
                <w:color w:val="000000" w:themeColor="text1"/>
                <w:szCs w:val="21"/>
              </w:rPr>
              <w:t>-</w:t>
            </w:r>
          </w:p>
        </w:tc>
        <w:tc>
          <w:tcPr>
            <w:tcW w:w="1254" w:type="dxa"/>
            <w:vAlign w:val="center"/>
          </w:tcPr>
          <w:p w:rsidR="00C277AF" w:rsidRDefault="00487B65">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C277AF" w:rsidRDefault="00487B65">
            <w:r>
              <w:rPr>
                <w:rFonts w:eastAsiaTheme="minorEastAsia"/>
                <w:color w:val="000000" w:themeColor="text1"/>
                <w:szCs w:val="21"/>
              </w:rPr>
              <w:t>周战海先生</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月在国金证券股份有限公司担任分析师，</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月在太平洋资产管理有限公司担任研究员。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月起加入上投摩根基金管理有限公司，历任行业专家、基金经理助理、基金经理、高级基金经理。自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月起担任上投摩根文体休闲灵活配置混合型证券投资基金基金经理，自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月起同时担任上投摩根健康品质生活混合型证券投资基金基金经理，自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lastRenderedPageBreak/>
              <w:t>1</w:t>
            </w:r>
            <w:r>
              <w:rPr>
                <w:rFonts w:eastAsiaTheme="minorEastAsia"/>
                <w:color w:val="000000" w:themeColor="text1"/>
                <w:szCs w:val="21"/>
              </w:rPr>
              <w:t>月起同时担任上投摩根整合驱动灵活配置混合型证券投资基金基金经理。</w:t>
            </w:r>
          </w:p>
        </w:tc>
      </w:tr>
      <w:tr w:rsidR="00C277AF">
        <w:tc>
          <w:tcPr>
            <w:tcW w:w="952" w:type="dxa"/>
            <w:vAlign w:val="center"/>
          </w:tcPr>
          <w:p w:rsidR="00C277AF" w:rsidRDefault="00487B65">
            <w:pPr>
              <w:jc w:val="center"/>
            </w:pPr>
            <w:r>
              <w:rPr>
                <w:rFonts w:eastAsiaTheme="minorEastAsia"/>
                <w:color w:val="000000" w:themeColor="text1"/>
                <w:szCs w:val="21"/>
              </w:rPr>
              <w:lastRenderedPageBreak/>
              <w:t>徐项楠</w:t>
            </w:r>
          </w:p>
        </w:tc>
        <w:tc>
          <w:tcPr>
            <w:tcW w:w="930" w:type="dxa"/>
            <w:vAlign w:val="center"/>
          </w:tcPr>
          <w:p w:rsidR="00C277AF" w:rsidRDefault="00487B65">
            <w:pPr>
              <w:jc w:val="center"/>
            </w:pPr>
            <w:r>
              <w:rPr>
                <w:rFonts w:eastAsiaTheme="minorEastAsia"/>
                <w:color w:val="000000" w:themeColor="text1"/>
                <w:szCs w:val="21"/>
              </w:rPr>
              <w:t>本基金基金经理</w:t>
            </w:r>
          </w:p>
        </w:tc>
        <w:tc>
          <w:tcPr>
            <w:tcW w:w="1210" w:type="dxa"/>
            <w:vAlign w:val="center"/>
          </w:tcPr>
          <w:p w:rsidR="00C277AF" w:rsidRDefault="00487B65">
            <w:pPr>
              <w:jc w:val="center"/>
            </w:pPr>
            <w:r>
              <w:rPr>
                <w:rFonts w:eastAsiaTheme="minorEastAsia"/>
                <w:color w:val="000000" w:themeColor="text1"/>
                <w:szCs w:val="21"/>
              </w:rPr>
              <w:t>2021-11-12</w:t>
            </w:r>
          </w:p>
        </w:tc>
        <w:tc>
          <w:tcPr>
            <w:tcW w:w="1309" w:type="dxa"/>
            <w:vAlign w:val="center"/>
          </w:tcPr>
          <w:p w:rsidR="00C277AF" w:rsidRDefault="00487B65">
            <w:pPr>
              <w:jc w:val="center"/>
            </w:pPr>
            <w:r>
              <w:rPr>
                <w:rFonts w:eastAsiaTheme="minorEastAsia"/>
                <w:color w:val="000000" w:themeColor="text1"/>
                <w:szCs w:val="21"/>
              </w:rPr>
              <w:t>-</w:t>
            </w:r>
          </w:p>
        </w:tc>
        <w:tc>
          <w:tcPr>
            <w:tcW w:w="1254" w:type="dxa"/>
            <w:vAlign w:val="center"/>
          </w:tcPr>
          <w:p w:rsidR="00C277AF" w:rsidRDefault="00487B65">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C277AF" w:rsidRDefault="00487B65">
            <w:r>
              <w:rPr>
                <w:rFonts w:eastAsiaTheme="minorEastAsia"/>
                <w:color w:val="000000" w:themeColor="text1"/>
                <w:szCs w:val="21"/>
              </w:rPr>
              <w:t>徐项楠先生自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月在中海基金管理有限公司担任行业分析师；自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月在中银基金管理有限公司担任高级分析师；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月起担任上投摩根健康品质生活混合型证券投资基金基金经理。</w:t>
            </w:r>
          </w:p>
        </w:tc>
      </w:tr>
    </w:tbl>
    <w:p w:rsidR="00C277AF" w:rsidRDefault="00487B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健康品质生活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w:t>
      </w:r>
      <w:r>
        <w:rPr>
          <w:rFonts w:eastAsiaTheme="minorEastAsia"/>
          <w:color w:val="000000" w:themeColor="text1"/>
          <w:szCs w:val="21"/>
        </w:rPr>
        <w:t>；对于银行间市场投资活动，本公司通过对手库控制和交易室询价机制，严格防范对手风险并检查价格公允性；对于申购投资行</w:t>
      </w:r>
      <w:r>
        <w:rPr>
          <w:rFonts w:eastAsiaTheme="minorEastAsia"/>
          <w:color w:val="000000" w:themeColor="text1"/>
          <w:szCs w:val="21"/>
        </w:rPr>
        <w:lastRenderedPageBreak/>
        <w:t>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年三季度经济整体处于弱恢复过程中。内需首先受疫情影响，经历了二季度疫情冲击后，三季度疫情影响整体有所缓和，经济处于恢复过程中。但是疫情仍然多点散发，三季度有疫情地级市</w:t>
      </w:r>
      <w:r>
        <w:rPr>
          <w:rFonts w:eastAsiaTheme="minorEastAsia"/>
          <w:color w:val="000000" w:themeColor="text1"/>
          <w:szCs w:val="21"/>
        </w:rPr>
        <w:t>GDP</w:t>
      </w:r>
      <w:r>
        <w:rPr>
          <w:rFonts w:eastAsiaTheme="minorEastAsia"/>
          <w:color w:val="000000" w:themeColor="text1"/>
          <w:szCs w:val="21"/>
        </w:rPr>
        <w:t>占比平均为</w:t>
      </w:r>
      <w:r>
        <w:rPr>
          <w:rFonts w:eastAsiaTheme="minorEastAsia"/>
          <w:color w:val="000000" w:themeColor="text1"/>
          <w:szCs w:val="21"/>
        </w:rPr>
        <w:t>27%</w:t>
      </w:r>
      <w:r>
        <w:rPr>
          <w:rFonts w:eastAsiaTheme="minorEastAsia"/>
          <w:color w:val="000000" w:themeColor="text1"/>
          <w:szCs w:val="21"/>
        </w:rPr>
        <w:t>，持续扰动经济恢复。</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月工业增加值和服务业生产者指数同比增速较二季度小幅改善。内需还受房地产影响，虽然政策放松速度和幅度接近历史之最，但是部分</w:t>
      </w:r>
      <w:r>
        <w:rPr>
          <w:rFonts w:eastAsiaTheme="minorEastAsia"/>
          <w:color w:val="000000" w:themeColor="text1"/>
          <w:szCs w:val="21"/>
        </w:rPr>
        <w:t>房企债务问题仍压制市场信心，房地产销售降幅仍较大，这也压制了房地产相关的投资和消费。海外方面，虽然大宗商品价格跌幅较大，但是美国劳动力市场仍然较紧，欧洲额外面临能源供给冲击，使得海外通胀韧性较强，迫使海外央行加速收紧货币政策，一方面加大了国际金融市场波动性，美元指数、美债收益率创逾十年新高，对中国资产造成了较大压力，另一方面加重了市场对于海外经济的衰退担忧，不利于中国出口，</w:t>
      </w:r>
      <w:r>
        <w:rPr>
          <w:rFonts w:eastAsiaTheme="minorEastAsia"/>
          <w:color w:val="000000" w:themeColor="text1"/>
          <w:szCs w:val="21"/>
        </w:rPr>
        <w:t>8</w:t>
      </w:r>
      <w:r>
        <w:rPr>
          <w:rFonts w:eastAsiaTheme="minorEastAsia"/>
          <w:color w:val="000000" w:themeColor="text1"/>
          <w:szCs w:val="21"/>
        </w:rPr>
        <w:t>月出口增速同比增长</w:t>
      </w:r>
      <w:r>
        <w:rPr>
          <w:rFonts w:eastAsiaTheme="minorEastAsia"/>
          <w:color w:val="000000" w:themeColor="text1"/>
          <w:szCs w:val="21"/>
        </w:rPr>
        <w:t>7.1%</w:t>
      </w:r>
      <w:r>
        <w:rPr>
          <w:rFonts w:eastAsiaTheme="minorEastAsia"/>
          <w:color w:val="000000" w:themeColor="text1"/>
          <w:szCs w:val="21"/>
        </w:rPr>
        <w:t>，较</w:t>
      </w:r>
      <w:r>
        <w:rPr>
          <w:rFonts w:eastAsiaTheme="minorEastAsia"/>
          <w:color w:val="000000" w:themeColor="text1"/>
          <w:szCs w:val="21"/>
        </w:rPr>
        <w:t>7</w:t>
      </w:r>
      <w:r>
        <w:rPr>
          <w:rFonts w:eastAsiaTheme="minorEastAsia"/>
          <w:color w:val="000000" w:themeColor="text1"/>
          <w:szCs w:val="21"/>
        </w:rPr>
        <w:t>月下滑</w:t>
      </w:r>
      <w:r>
        <w:rPr>
          <w:rFonts w:eastAsiaTheme="minorEastAsia"/>
          <w:color w:val="000000" w:themeColor="text1"/>
          <w:szCs w:val="21"/>
        </w:rPr>
        <w:t>11</w:t>
      </w:r>
      <w:r>
        <w:rPr>
          <w:rFonts w:eastAsiaTheme="minorEastAsia"/>
          <w:color w:val="000000" w:themeColor="text1"/>
          <w:szCs w:val="21"/>
        </w:rPr>
        <w:t>个百分点。政策方面，财政政策持续发力，推动专项债和政策性金融债加速落地支撑基建，车辆购置税减</w:t>
      </w:r>
      <w:r>
        <w:rPr>
          <w:rFonts w:eastAsiaTheme="minorEastAsia"/>
          <w:color w:val="000000" w:themeColor="text1"/>
          <w:szCs w:val="21"/>
        </w:rPr>
        <w:t>半刺激了乘用车销售的增长；货币政策宽松力度加大，</w:t>
      </w:r>
      <w:r>
        <w:rPr>
          <w:rFonts w:eastAsiaTheme="minorEastAsia"/>
          <w:color w:val="000000" w:themeColor="text1"/>
          <w:szCs w:val="21"/>
        </w:rPr>
        <w:t>LPR</w:t>
      </w:r>
      <w:r>
        <w:rPr>
          <w:rFonts w:eastAsiaTheme="minorEastAsia"/>
          <w:color w:val="000000" w:themeColor="text1"/>
          <w:szCs w:val="21"/>
        </w:rPr>
        <w:t>非对称降息，市场利率整体下行，但也造成了人民币汇率一定幅度的贬值；从市场表现来看，三季度市场整体表现不佳，沪深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15.2%</w:t>
      </w:r>
      <w:r>
        <w:rPr>
          <w:rFonts w:eastAsiaTheme="minorEastAsia"/>
          <w:color w:val="000000" w:themeColor="text1"/>
          <w:szCs w:val="21"/>
        </w:rPr>
        <w:t>，创业板指数下跌</w:t>
      </w:r>
      <w:r>
        <w:rPr>
          <w:rFonts w:eastAsiaTheme="minorEastAsia"/>
          <w:color w:val="000000" w:themeColor="text1"/>
          <w:szCs w:val="21"/>
        </w:rPr>
        <w:t>18.6%</w:t>
      </w:r>
      <w:r>
        <w:rPr>
          <w:rFonts w:eastAsiaTheme="minorEastAsia"/>
          <w:color w:val="000000" w:themeColor="text1"/>
          <w:szCs w:val="21"/>
        </w:rPr>
        <w:t>。从行业表现来看，三季度仅煤炭行业实现正收益，电力及公用事业、石油石化等行业跌幅相对较小，建材、电子、传媒等行业表现较为靠后。本基金严格按照契约要求，始终坚持价值投资思路，坚持一贯以来的投资风格，重点投资了消费行业中的优质公司，但因受疫情等外部环境反复扰动，三季度净值呈现一定程度波动。</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展望四季度，我们保持谨慎乐观。从外部看，海外通胀韧性仍强，美联储仍将保持收紧态势，但加息节奏或将随着通胀的逐步缓解和衰退预期的不断加深而边际趋缓。叠加高基数，中国出口</w:t>
      </w:r>
      <w:r w:rsidRPr="00B27A29">
        <w:rPr>
          <w:rFonts w:eastAsiaTheme="minorEastAsia"/>
          <w:color w:val="000000" w:themeColor="text1"/>
          <w:szCs w:val="21"/>
        </w:rPr>
        <w:lastRenderedPageBreak/>
        <w:t>增速或将在四季度继续下行。从内部看，内需或将继续恢复。一是在统筹疫情防控和经济社会发展的大背景下，疫情影响或边际上进一步下降。二是多项政策组合拳或逐步见效，叠加低基数，四季度房地产销售和投资同比增速或显著改善。三是其他宏观政策仍然保持积极。我们预计财政政策一方面仍将加速推动资金落地支撑基建投资，重点是专项债和政策性金融债券，另一方面或也将加大对于居民部门的直接支持力度，支撑消费增长；货币政策进一步大幅宽松空间在人民币贬值压力下或有所减小，但整体仍将保持宽松。从中长期角度看，疫情防控更为精准有效背景下的消费内生复苏值得期待，我们继续看好受益消费升级的细分板块龙头公司，未来我们将继续按照基金契约的要求重点投资健康品质生活相关行业中具有相对估值优势、增长前景确定的高成长优质公司，力争为持有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本报告期上投摩根健康品质生活混合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:-9.86%</w:t>
      </w:r>
      <w:r>
        <w:rPr>
          <w:rFonts w:eastAsiaTheme="minorEastAsia"/>
          <w:color w:val="000000" w:themeColor="text1"/>
          <w:szCs w:val="21"/>
        </w:rPr>
        <w:t>，同期业绩比较基准收益率为</w:t>
      </w:r>
      <w:r>
        <w:rPr>
          <w:rFonts w:eastAsiaTheme="minorEastAsia"/>
          <w:color w:val="000000" w:themeColor="text1"/>
          <w:szCs w:val="21"/>
        </w:rPr>
        <w:t>:-12.71%,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:-9.97%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:-12.71%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356,382,669.90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356,382,669.90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43,363,613.08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381,529.27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400,127,812.25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300,433,071.96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43,931,878.48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58,168.85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586,976.00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1,042,758.36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10,329,816.25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356,382,669.90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90.27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277AF">
        <w:tc>
          <w:tcPr>
            <w:tcW w:w="817" w:type="dxa"/>
            <w:vAlign w:val="center"/>
          </w:tcPr>
          <w:p w:rsidR="00C277AF" w:rsidRDefault="00487B65">
            <w:pPr>
              <w:jc w:val="center"/>
            </w:pPr>
            <w:r>
              <w:rPr>
                <w:rFonts w:eastAsiaTheme="minorEastAsia"/>
                <w:kern w:val="0"/>
                <w:szCs w:val="21"/>
              </w:rPr>
              <w:t>1</w:t>
            </w:r>
          </w:p>
        </w:tc>
        <w:tc>
          <w:tcPr>
            <w:tcW w:w="1276" w:type="dxa"/>
            <w:vAlign w:val="center"/>
          </w:tcPr>
          <w:p w:rsidR="00C277AF" w:rsidRDefault="00487B65">
            <w:pPr>
              <w:jc w:val="center"/>
            </w:pPr>
            <w:r>
              <w:rPr>
                <w:rFonts w:eastAsiaTheme="minorEastAsia"/>
                <w:kern w:val="0"/>
                <w:szCs w:val="21"/>
              </w:rPr>
              <w:t>000568</w:t>
            </w:r>
          </w:p>
        </w:tc>
        <w:tc>
          <w:tcPr>
            <w:tcW w:w="1701" w:type="dxa"/>
            <w:vAlign w:val="center"/>
          </w:tcPr>
          <w:p w:rsidR="00C277AF" w:rsidRDefault="00487B65">
            <w:pPr>
              <w:jc w:val="center"/>
            </w:pPr>
            <w:r>
              <w:rPr>
                <w:rFonts w:eastAsiaTheme="minorEastAsia"/>
                <w:kern w:val="0"/>
                <w:szCs w:val="21"/>
              </w:rPr>
              <w:t>泸州老窖</w:t>
            </w:r>
          </w:p>
        </w:tc>
        <w:tc>
          <w:tcPr>
            <w:tcW w:w="1276" w:type="dxa"/>
            <w:vAlign w:val="center"/>
          </w:tcPr>
          <w:p w:rsidR="00C277AF" w:rsidRDefault="00487B65">
            <w:pPr>
              <w:jc w:val="right"/>
            </w:pPr>
            <w:r>
              <w:rPr>
                <w:rFonts w:eastAsiaTheme="minorEastAsia"/>
                <w:kern w:val="0"/>
                <w:szCs w:val="21"/>
              </w:rPr>
              <w:t>161,500</w:t>
            </w:r>
          </w:p>
        </w:tc>
        <w:tc>
          <w:tcPr>
            <w:tcW w:w="1842" w:type="dxa"/>
            <w:vAlign w:val="center"/>
          </w:tcPr>
          <w:p w:rsidR="00C277AF" w:rsidRDefault="00487B65">
            <w:pPr>
              <w:jc w:val="right"/>
            </w:pPr>
            <w:r>
              <w:rPr>
                <w:rFonts w:eastAsiaTheme="minorEastAsia"/>
                <w:kern w:val="0"/>
                <w:szCs w:val="21"/>
              </w:rPr>
              <w:t>37,251,590.00</w:t>
            </w:r>
          </w:p>
        </w:tc>
        <w:tc>
          <w:tcPr>
            <w:tcW w:w="1616" w:type="dxa"/>
            <w:vAlign w:val="center"/>
          </w:tcPr>
          <w:p w:rsidR="00C277AF" w:rsidRDefault="00487B65">
            <w:pPr>
              <w:jc w:val="right"/>
            </w:pPr>
            <w:r>
              <w:rPr>
                <w:rFonts w:eastAsiaTheme="minorEastAsia"/>
                <w:kern w:val="0"/>
                <w:szCs w:val="21"/>
              </w:rPr>
              <w:t>9.44</w:t>
            </w:r>
          </w:p>
        </w:tc>
      </w:tr>
      <w:tr w:rsidR="00C277AF">
        <w:tc>
          <w:tcPr>
            <w:tcW w:w="817" w:type="dxa"/>
            <w:vAlign w:val="center"/>
          </w:tcPr>
          <w:p w:rsidR="00C277AF" w:rsidRDefault="00487B65">
            <w:pPr>
              <w:jc w:val="center"/>
            </w:pPr>
            <w:r>
              <w:rPr>
                <w:rFonts w:eastAsiaTheme="minorEastAsia"/>
                <w:kern w:val="0"/>
                <w:szCs w:val="21"/>
              </w:rPr>
              <w:t>2</w:t>
            </w:r>
          </w:p>
        </w:tc>
        <w:tc>
          <w:tcPr>
            <w:tcW w:w="1276" w:type="dxa"/>
            <w:vAlign w:val="center"/>
          </w:tcPr>
          <w:p w:rsidR="00C277AF" w:rsidRDefault="00487B65">
            <w:pPr>
              <w:jc w:val="center"/>
            </w:pPr>
            <w:r>
              <w:rPr>
                <w:rFonts w:eastAsiaTheme="minorEastAsia"/>
                <w:kern w:val="0"/>
                <w:szCs w:val="21"/>
              </w:rPr>
              <w:t>002304</w:t>
            </w:r>
          </w:p>
        </w:tc>
        <w:tc>
          <w:tcPr>
            <w:tcW w:w="1701" w:type="dxa"/>
            <w:vAlign w:val="center"/>
          </w:tcPr>
          <w:p w:rsidR="00C277AF" w:rsidRDefault="00487B65">
            <w:pPr>
              <w:jc w:val="center"/>
            </w:pPr>
            <w:r>
              <w:rPr>
                <w:rFonts w:eastAsiaTheme="minorEastAsia"/>
                <w:kern w:val="0"/>
                <w:szCs w:val="21"/>
              </w:rPr>
              <w:t>洋河股份</w:t>
            </w:r>
          </w:p>
        </w:tc>
        <w:tc>
          <w:tcPr>
            <w:tcW w:w="1276" w:type="dxa"/>
            <w:vAlign w:val="center"/>
          </w:tcPr>
          <w:p w:rsidR="00C277AF" w:rsidRDefault="00487B65">
            <w:pPr>
              <w:jc w:val="right"/>
            </w:pPr>
            <w:r>
              <w:rPr>
                <w:rFonts w:eastAsiaTheme="minorEastAsia"/>
                <w:kern w:val="0"/>
                <w:szCs w:val="21"/>
              </w:rPr>
              <w:t>163,220</w:t>
            </w:r>
          </w:p>
        </w:tc>
        <w:tc>
          <w:tcPr>
            <w:tcW w:w="1842" w:type="dxa"/>
            <w:vAlign w:val="center"/>
          </w:tcPr>
          <w:p w:rsidR="00C277AF" w:rsidRDefault="00487B65">
            <w:pPr>
              <w:jc w:val="right"/>
            </w:pPr>
            <w:r>
              <w:rPr>
                <w:rFonts w:eastAsiaTheme="minorEastAsia"/>
                <w:kern w:val="0"/>
                <w:szCs w:val="21"/>
              </w:rPr>
              <w:t>25,813,243.00</w:t>
            </w:r>
          </w:p>
        </w:tc>
        <w:tc>
          <w:tcPr>
            <w:tcW w:w="1616" w:type="dxa"/>
            <w:vAlign w:val="center"/>
          </w:tcPr>
          <w:p w:rsidR="00C277AF" w:rsidRDefault="00487B65">
            <w:pPr>
              <w:jc w:val="right"/>
            </w:pPr>
            <w:r>
              <w:rPr>
                <w:rFonts w:eastAsiaTheme="minorEastAsia"/>
                <w:kern w:val="0"/>
                <w:szCs w:val="21"/>
              </w:rPr>
              <w:t>6.54</w:t>
            </w:r>
          </w:p>
        </w:tc>
      </w:tr>
      <w:tr w:rsidR="00C277AF">
        <w:tc>
          <w:tcPr>
            <w:tcW w:w="817" w:type="dxa"/>
            <w:vAlign w:val="center"/>
          </w:tcPr>
          <w:p w:rsidR="00C277AF" w:rsidRDefault="00487B65">
            <w:pPr>
              <w:jc w:val="center"/>
            </w:pPr>
            <w:r>
              <w:rPr>
                <w:rFonts w:eastAsiaTheme="minorEastAsia"/>
                <w:kern w:val="0"/>
                <w:szCs w:val="21"/>
              </w:rPr>
              <w:t>3</w:t>
            </w:r>
          </w:p>
        </w:tc>
        <w:tc>
          <w:tcPr>
            <w:tcW w:w="1276" w:type="dxa"/>
            <w:vAlign w:val="center"/>
          </w:tcPr>
          <w:p w:rsidR="00C277AF" w:rsidRDefault="00487B65">
            <w:pPr>
              <w:jc w:val="center"/>
            </w:pPr>
            <w:r>
              <w:rPr>
                <w:rFonts w:eastAsiaTheme="minorEastAsia"/>
                <w:kern w:val="0"/>
                <w:szCs w:val="21"/>
              </w:rPr>
              <w:t>000858</w:t>
            </w:r>
          </w:p>
        </w:tc>
        <w:tc>
          <w:tcPr>
            <w:tcW w:w="1701" w:type="dxa"/>
            <w:vAlign w:val="center"/>
          </w:tcPr>
          <w:p w:rsidR="00C277AF" w:rsidRDefault="00487B65">
            <w:pPr>
              <w:jc w:val="center"/>
            </w:pPr>
            <w:r>
              <w:rPr>
                <w:rFonts w:eastAsiaTheme="minorEastAsia"/>
                <w:kern w:val="0"/>
                <w:szCs w:val="21"/>
              </w:rPr>
              <w:t>五粮液</w:t>
            </w:r>
          </w:p>
        </w:tc>
        <w:tc>
          <w:tcPr>
            <w:tcW w:w="1276" w:type="dxa"/>
            <w:vAlign w:val="center"/>
          </w:tcPr>
          <w:p w:rsidR="00C277AF" w:rsidRDefault="00487B65">
            <w:pPr>
              <w:jc w:val="right"/>
            </w:pPr>
            <w:r>
              <w:rPr>
                <w:rFonts w:eastAsiaTheme="minorEastAsia"/>
                <w:kern w:val="0"/>
                <w:szCs w:val="21"/>
              </w:rPr>
              <w:t>103,300</w:t>
            </w:r>
          </w:p>
        </w:tc>
        <w:tc>
          <w:tcPr>
            <w:tcW w:w="1842" w:type="dxa"/>
            <w:vAlign w:val="center"/>
          </w:tcPr>
          <w:p w:rsidR="00C277AF" w:rsidRDefault="00487B65">
            <w:pPr>
              <w:jc w:val="right"/>
            </w:pPr>
            <w:r>
              <w:rPr>
                <w:rFonts w:eastAsiaTheme="minorEastAsia"/>
                <w:kern w:val="0"/>
                <w:szCs w:val="21"/>
              </w:rPr>
              <w:t>17,481,459.00</w:t>
            </w:r>
          </w:p>
        </w:tc>
        <w:tc>
          <w:tcPr>
            <w:tcW w:w="1616" w:type="dxa"/>
            <w:vAlign w:val="center"/>
          </w:tcPr>
          <w:p w:rsidR="00C277AF" w:rsidRDefault="00487B65">
            <w:pPr>
              <w:jc w:val="right"/>
            </w:pPr>
            <w:r>
              <w:rPr>
                <w:rFonts w:eastAsiaTheme="minorEastAsia"/>
                <w:kern w:val="0"/>
                <w:szCs w:val="21"/>
              </w:rPr>
              <w:t>4.43</w:t>
            </w:r>
          </w:p>
        </w:tc>
      </w:tr>
      <w:tr w:rsidR="00C277AF">
        <w:tc>
          <w:tcPr>
            <w:tcW w:w="817" w:type="dxa"/>
            <w:vAlign w:val="center"/>
          </w:tcPr>
          <w:p w:rsidR="00C277AF" w:rsidRDefault="00487B65">
            <w:pPr>
              <w:jc w:val="center"/>
            </w:pPr>
            <w:r>
              <w:rPr>
                <w:rFonts w:eastAsiaTheme="minorEastAsia"/>
                <w:kern w:val="0"/>
                <w:szCs w:val="21"/>
              </w:rPr>
              <w:t>4</w:t>
            </w:r>
          </w:p>
        </w:tc>
        <w:tc>
          <w:tcPr>
            <w:tcW w:w="1276" w:type="dxa"/>
            <w:vAlign w:val="center"/>
          </w:tcPr>
          <w:p w:rsidR="00C277AF" w:rsidRDefault="00487B65">
            <w:pPr>
              <w:jc w:val="center"/>
            </w:pPr>
            <w:r>
              <w:rPr>
                <w:rFonts w:eastAsiaTheme="minorEastAsia"/>
                <w:kern w:val="0"/>
                <w:szCs w:val="21"/>
              </w:rPr>
              <w:t>600519</w:t>
            </w:r>
          </w:p>
        </w:tc>
        <w:tc>
          <w:tcPr>
            <w:tcW w:w="1701" w:type="dxa"/>
            <w:vAlign w:val="center"/>
          </w:tcPr>
          <w:p w:rsidR="00C277AF" w:rsidRDefault="00487B65">
            <w:pPr>
              <w:jc w:val="center"/>
            </w:pPr>
            <w:r>
              <w:rPr>
                <w:rFonts w:eastAsiaTheme="minorEastAsia"/>
                <w:kern w:val="0"/>
                <w:szCs w:val="21"/>
              </w:rPr>
              <w:t>贵州茅台</w:t>
            </w:r>
          </w:p>
        </w:tc>
        <w:tc>
          <w:tcPr>
            <w:tcW w:w="1276" w:type="dxa"/>
            <w:vAlign w:val="center"/>
          </w:tcPr>
          <w:p w:rsidR="00C277AF" w:rsidRDefault="00487B65">
            <w:pPr>
              <w:jc w:val="right"/>
            </w:pPr>
            <w:r>
              <w:rPr>
                <w:rFonts w:eastAsiaTheme="minorEastAsia"/>
                <w:kern w:val="0"/>
                <w:szCs w:val="21"/>
              </w:rPr>
              <w:t>9,321</w:t>
            </w:r>
          </w:p>
        </w:tc>
        <w:tc>
          <w:tcPr>
            <w:tcW w:w="1842" w:type="dxa"/>
            <w:vAlign w:val="center"/>
          </w:tcPr>
          <w:p w:rsidR="00C277AF" w:rsidRDefault="00487B65">
            <w:pPr>
              <w:jc w:val="right"/>
            </w:pPr>
            <w:r>
              <w:rPr>
                <w:rFonts w:eastAsiaTheme="minorEastAsia"/>
                <w:kern w:val="0"/>
                <w:szCs w:val="21"/>
              </w:rPr>
              <w:t>17,453,572.50</w:t>
            </w:r>
          </w:p>
        </w:tc>
        <w:tc>
          <w:tcPr>
            <w:tcW w:w="1616" w:type="dxa"/>
            <w:vAlign w:val="center"/>
          </w:tcPr>
          <w:p w:rsidR="00C277AF" w:rsidRDefault="00487B65">
            <w:pPr>
              <w:jc w:val="right"/>
            </w:pPr>
            <w:r>
              <w:rPr>
                <w:rFonts w:eastAsiaTheme="minorEastAsia"/>
                <w:kern w:val="0"/>
                <w:szCs w:val="21"/>
              </w:rPr>
              <w:t>4.42</w:t>
            </w:r>
          </w:p>
        </w:tc>
      </w:tr>
      <w:tr w:rsidR="00C277AF">
        <w:tc>
          <w:tcPr>
            <w:tcW w:w="817" w:type="dxa"/>
            <w:vAlign w:val="center"/>
          </w:tcPr>
          <w:p w:rsidR="00C277AF" w:rsidRDefault="00487B65">
            <w:pPr>
              <w:jc w:val="center"/>
            </w:pPr>
            <w:r>
              <w:rPr>
                <w:rFonts w:eastAsiaTheme="minorEastAsia"/>
                <w:kern w:val="0"/>
                <w:szCs w:val="21"/>
              </w:rPr>
              <w:t>5</w:t>
            </w:r>
          </w:p>
        </w:tc>
        <w:tc>
          <w:tcPr>
            <w:tcW w:w="1276" w:type="dxa"/>
            <w:vAlign w:val="center"/>
          </w:tcPr>
          <w:p w:rsidR="00C277AF" w:rsidRDefault="00487B65">
            <w:pPr>
              <w:jc w:val="center"/>
            </w:pPr>
            <w:r>
              <w:rPr>
                <w:rFonts w:eastAsiaTheme="minorEastAsia"/>
                <w:kern w:val="0"/>
                <w:szCs w:val="21"/>
              </w:rPr>
              <w:t>300973</w:t>
            </w:r>
          </w:p>
        </w:tc>
        <w:tc>
          <w:tcPr>
            <w:tcW w:w="1701" w:type="dxa"/>
            <w:vAlign w:val="center"/>
          </w:tcPr>
          <w:p w:rsidR="00C277AF" w:rsidRDefault="00487B65">
            <w:pPr>
              <w:jc w:val="center"/>
            </w:pPr>
            <w:r>
              <w:rPr>
                <w:rFonts w:eastAsiaTheme="minorEastAsia"/>
                <w:kern w:val="0"/>
                <w:szCs w:val="21"/>
              </w:rPr>
              <w:t>立高食品</w:t>
            </w:r>
          </w:p>
        </w:tc>
        <w:tc>
          <w:tcPr>
            <w:tcW w:w="1276" w:type="dxa"/>
            <w:vAlign w:val="center"/>
          </w:tcPr>
          <w:p w:rsidR="00C277AF" w:rsidRDefault="00487B65">
            <w:pPr>
              <w:jc w:val="right"/>
            </w:pPr>
            <w:r>
              <w:rPr>
                <w:rFonts w:eastAsiaTheme="minorEastAsia"/>
                <w:kern w:val="0"/>
                <w:szCs w:val="21"/>
              </w:rPr>
              <w:t>165,154</w:t>
            </w:r>
          </w:p>
        </w:tc>
        <w:tc>
          <w:tcPr>
            <w:tcW w:w="1842" w:type="dxa"/>
            <w:vAlign w:val="center"/>
          </w:tcPr>
          <w:p w:rsidR="00C277AF" w:rsidRDefault="00487B65">
            <w:pPr>
              <w:jc w:val="right"/>
            </w:pPr>
            <w:r>
              <w:rPr>
                <w:rFonts w:eastAsiaTheme="minorEastAsia"/>
                <w:kern w:val="0"/>
                <w:szCs w:val="21"/>
              </w:rPr>
              <w:t>14,242,880.96</w:t>
            </w:r>
          </w:p>
        </w:tc>
        <w:tc>
          <w:tcPr>
            <w:tcW w:w="1616" w:type="dxa"/>
            <w:vAlign w:val="center"/>
          </w:tcPr>
          <w:p w:rsidR="00C277AF" w:rsidRDefault="00487B65">
            <w:pPr>
              <w:jc w:val="right"/>
            </w:pPr>
            <w:r>
              <w:rPr>
                <w:rFonts w:eastAsiaTheme="minorEastAsia"/>
                <w:kern w:val="0"/>
                <w:szCs w:val="21"/>
              </w:rPr>
              <w:t>3.61</w:t>
            </w:r>
          </w:p>
        </w:tc>
      </w:tr>
      <w:tr w:rsidR="00C277AF">
        <w:tc>
          <w:tcPr>
            <w:tcW w:w="817" w:type="dxa"/>
            <w:vAlign w:val="center"/>
          </w:tcPr>
          <w:p w:rsidR="00C277AF" w:rsidRDefault="00487B65">
            <w:pPr>
              <w:jc w:val="center"/>
            </w:pPr>
            <w:r>
              <w:rPr>
                <w:rFonts w:eastAsiaTheme="minorEastAsia"/>
                <w:kern w:val="0"/>
                <w:szCs w:val="21"/>
              </w:rPr>
              <w:t>6</w:t>
            </w:r>
          </w:p>
        </w:tc>
        <w:tc>
          <w:tcPr>
            <w:tcW w:w="1276" w:type="dxa"/>
            <w:vAlign w:val="center"/>
          </w:tcPr>
          <w:p w:rsidR="00C277AF" w:rsidRDefault="00487B65">
            <w:pPr>
              <w:jc w:val="center"/>
            </w:pPr>
            <w:r>
              <w:rPr>
                <w:rFonts w:eastAsiaTheme="minorEastAsia"/>
                <w:kern w:val="0"/>
                <w:szCs w:val="21"/>
              </w:rPr>
              <w:t>600009</w:t>
            </w:r>
          </w:p>
        </w:tc>
        <w:tc>
          <w:tcPr>
            <w:tcW w:w="1701" w:type="dxa"/>
            <w:vAlign w:val="center"/>
          </w:tcPr>
          <w:p w:rsidR="00C277AF" w:rsidRDefault="00487B65">
            <w:pPr>
              <w:jc w:val="center"/>
            </w:pPr>
            <w:r>
              <w:rPr>
                <w:rFonts w:eastAsiaTheme="minorEastAsia"/>
                <w:kern w:val="0"/>
                <w:szCs w:val="21"/>
              </w:rPr>
              <w:t>上海机场</w:t>
            </w:r>
          </w:p>
        </w:tc>
        <w:tc>
          <w:tcPr>
            <w:tcW w:w="1276" w:type="dxa"/>
            <w:vAlign w:val="center"/>
          </w:tcPr>
          <w:p w:rsidR="00C277AF" w:rsidRDefault="00487B65">
            <w:pPr>
              <w:jc w:val="right"/>
            </w:pPr>
            <w:r>
              <w:rPr>
                <w:rFonts w:eastAsiaTheme="minorEastAsia"/>
                <w:kern w:val="0"/>
                <w:szCs w:val="21"/>
              </w:rPr>
              <w:t>244,637</w:t>
            </w:r>
          </w:p>
        </w:tc>
        <w:tc>
          <w:tcPr>
            <w:tcW w:w="1842" w:type="dxa"/>
            <w:vAlign w:val="center"/>
          </w:tcPr>
          <w:p w:rsidR="00C277AF" w:rsidRDefault="00487B65">
            <w:pPr>
              <w:jc w:val="right"/>
            </w:pPr>
            <w:r>
              <w:rPr>
                <w:rFonts w:eastAsiaTheme="minorEastAsia"/>
                <w:kern w:val="0"/>
                <w:szCs w:val="21"/>
              </w:rPr>
              <w:t>14,135,125.86</w:t>
            </w:r>
          </w:p>
        </w:tc>
        <w:tc>
          <w:tcPr>
            <w:tcW w:w="1616" w:type="dxa"/>
            <w:vAlign w:val="center"/>
          </w:tcPr>
          <w:p w:rsidR="00C277AF" w:rsidRDefault="00487B65">
            <w:pPr>
              <w:jc w:val="right"/>
            </w:pPr>
            <w:r>
              <w:rPr>
                <w:rFonts w:eastAsiaTheme="minorEastAsia"/>
                <w:kern w:val="0"/>
                <w:szCs w:val="21"/>
              </w:rPr>
              <w:t>3.58</w:t>
            </w:r>
          </w:p>
        </w:tc>
      </w:tr>
      <w:tr w:rsidR="00C277AF">
        <w:tc>
          <w:tcPr>
            <w:tcW w:w="817" w:type="dxa"/>
            <w:vAlign w:val="center"/>
          </w:tcPr>
          <w:p w:rsidR="00C277AF" w:rsidRDefault="00487B65">
            <w:pPr>
              <w:jc w:val="center"/>
            </w:pPr>
            <w:r>
              <w:rPr>
                <w:rFonts w:eastAsiaTheme="minorEastAsia"/>
                <w:kern w:val="0"/>
                <w:szCs w:val="21"/>
              </w:rPr>
              <w:t>7</w:t>
            </w:r>
          </w:p>
        </w:tc>
        <w:tc>
          <w:tcPr>
            <w:tcW w:w="1276" w:type="dxa"/>
            <w:vAlign w:val="center"/>
          </w:tcPr>
          <w:p w:rsidR="00C277AF" w:rsidRDefault="00487B65">
            <w:pPr>
              <w:jc w:val="center"/>
            </w:pPr>
            <w:r>
              <w:rPr>
                <w:rFonts w:eastAsiaTheme="minorEastAsia"/>
                <w:kern w:val="0"/>
                <w:szCs w:val="21"/>
              </w:rPr>
              <w:t>603345</w:t>
            </w:r>
          </w:p>
        </w:tc>
        <w:tc>
          <w:tcPr>
            <w:tcW w:w="1701" w:type="dxa"/>
            <w:vAlign w:val="center"/>
          </w:tcPr>
          <w:p w:rsidR="00C277AF" w:rsidRDefault="00487B65">
            <w:pPr>
              <w:jc w:val="center"/>
            </w:pPr>
            <w:r>
              <w:rPr>
                <w:rFonts w:eastAsiaTheme="minorEastAsia"/>
                <w:kern w:val="0"/>
                <w:szCs w:val="21"/>
              </w:rPr>
              <w:t>安井食品</w:t>
            </w:r>
          </w:p>
        </w:tc>
        <w:tc>
          <w:tcPr>
            <w:tcW w:w="1276" w:type="dxa"/>
            <w:vAlign w:val="center"/>
          </w:tcPr>
          <w:p w:rsidR="00C277AF" w:rsidRDefault="00487B65">
            <w:pPr>
              <w:jc w:val="right"/>
            </w:pPr>
            <w:r>
              <w:rPr>
                <w:rFonts w:eastAsiaTheme="minorEastAsia"/>
                <w:kern w:val="0"/>
                <w:szCs w:val="21"/>
              </w:rPr>
              <w:t>86,700</w:t>
            </w:r>
          </w:p>
        </w:tc>
        <w:tc>
          <w:tcPr>
            <w:tcW w:w="1842" w:type="dxa"/>
            <w:vAlign w:val="center"/>
          </w:tcPr>
          <w:p w:rsidR="00C277AF" w:rsidRDefault="00487B65">
            <w:pPr>
              <w:jc w:val="right"/>
            </w:pPr>
            <w:r>
              <w:rPr>
                <w:rFonts w:eastAsiaTheme="minorEastAsia"/>
                <w:kern w:val="0"/>
                <w:szCs w:val="21"/>
              </w:rPr>
              <w:t>13,462,776.00</w:t>
            </w:r>
          </w:p>
        </w:tc>
        <w:tc>
          <w:tcPr>
            <w:tcW w:w="1616" w:type="dxa"/>
            <w:vAlign w:val="center"/>
          </w:tcPr>
          <w:p w:rsidR="00C277AF" w:rsidRDefault="00487B65">
            <w:pPr>
              <w:jc w:val="right"/>
            </w:pPr>
            <w:r>
              <w:rPr>
                <w:rFonts w:eastAsiaTheme="minorEastAsia"/>
                <w:kern w:val="0"/>
                <w:szCs w:val="21"/>
              </w:rPr>
              <w:t>3.41</w:t>
            </w:r>
          </w:p>
        </w:tc>
      </w:tr>
      <w:tr w:rsidR="00C277AF">
        <w:tc>
          <w:tcPr>
            <w:tcW w:w="817" w:type="dxa"/>
            <w:vAlign w:val="center"/>
          </w:tcPr>
          <w:p w:rsidR="00C277AF" w:rsidRDefault="00487B65">
            <w:pPr>
              <w:jc w:val="center"/>
            </w:pPr>
            <w:r>
              <w:rPr>
                <w:rFonts w:eastAsiaTheme="minorEastAsia"/>
                <w:kern w:val="0"/>
                <w:szCs w:val="21"/>
              </w:rPr>
              <w:t>8</w:t>
            </w:r>
          </w:p>
        </w:tc>
        <w:tc>
          <w:tcPr>
            <w:tcW w:w="1276" w:type="dxa"/>
            <w:vAlign w:val="center"/>
          </w:tcPr>
          <w:p w:rsidR="00C277AF" w:rsidRDefault="00487B65">
            <w:pPr>
              <w:jc w:val="center"/>
            </w:pPr>
            <w:r>
              <w:rPr>
                <w:rFonts w:eastAsiaTheme="minorEastAsia"/>
                <w:kern w:val="0"/>
                <w:szCs w:val="21"/>
              </w:rPr>
              <w:t>603885</w:t>
            </w:r>
          </w:p>
        </w:tc>
        <w:tc>
          <w:tcPr>
            <w:tcW w:w="1701" w:type="dxa"/>
            <w:vAlign w:val="center"/>
          </w:tcPr>
          <w:p w:rsidR="00C277AF" w:rsidRDefault="00487B65">
            <w:pPr>
              <w:jc w:val="center"/>
            </w:pPr>
            <w:r>
              <w:rPr>
                <w:rFonts w:eastAsiaTheme="minorEastAsia"/>
                <w:kern w:val="0"/>
                <w:szCs w:val="21"/>
              </w:rPr>
              <w:t>吉祥航空</w:t>
            </w:r>
          </w:p>
        </w:tc>
        <w:tc>
          <w:tcPr>
            <w:tcW w:w="1276" w:type="dxa"/>
            <w:vAlign w:val="center"/>
          </w:tcPr>
          <w:p w:rsidR="00C277AF" w:rsidRDefault="00487B65">
            <w:pPr>
              <w:jc w:val="right"/>
            </w:pPr>
            <w:r>
              <w:rPr>
                <w:rFonts w:eastAsiaTheme="minorEastAsia"/>
                <w:kern w:val="0"/>
                <w:szCs w:val="21"/>
              </w:rPr>
              <w:t>866,334</w:t>
            </w:r>
          </w:p>
        </w:tc>
        <w:tc>
          <w:tcPr>
            <w:tcW w:w="1842" w:type="dxa"/>
            <w:vAlign w:val="center"/>
          </w:tcPr>
          <w:p w:rsidR="00C277AF" w:rsidRDefault="00487B65">
            <w:pPr>
              <w:jc w:val="right"/>
            </w:pPr>
            <w:r>
              <w:rPr>
                <w:rFonts w:eastAsiaTheme="minorEastAsia"/>
                <w:kern w:val="0"/>
                <w:szCs w:val="21"/>
              </w:rPr>
              <w:t>13,116,296.76</w:t>
            </w:r>
          </w:p>
        </w:tc>
        <w:tc>
          <w:tcPr>
            <w:tcW w:w="1616" w:type="dxa"/>
            <w:vAlign w:val="center"/>
          </w:tcPr>
          <w:p w:rsidR="00C277AF" w:rsidRDefault="00487B65">
            <w:pPr>
              <w:jc w:val="right"/>
            </w:pPr>
            <w:r>
              <w:rPr>
                <w:rFonts w:eastAsiaTheme="minorEastAsia"/>
                <w:kern w:val="0"/>
                <w:szCs w:val="21"/>
              </w:rPr>
              <w:t>3.32</w:t>
            </w:r>
          </w:p>
        </w:tc>
      </w:tr>
      <w:tr w:rsidR="00C277AF">
        <w:tc>
          <w:tcPr>
            <w:tcW w:w="817" w:type="dxa"/>
            <w:vAlign w:val="center"/>
          </w:tcPr>
          <w:p w:rsidR="00C277AF" w:rsidRDefault="00487B65">
            <w:pPr>
              <w:jc w:val="center"/>
            </w:pPr>
            <w:r>
              <w:rPr>
                <w:rFonts w:eastAsiaTheme="minorEastAsia"/>
                <w:kern w:val="0"/>
                <w:szCs w:val="21"/>
              </w:rPr>
              <w:t>9</w:t>
            </w:r>
          </w:p>
        </w:tc>
        <w:tc>
          <w:tcPr>
            <w:tcW w:w="1276" w:type="dxa"/>
            <w:vAlign w:val="center"/>
          </w:tcPr>
          <w:p w:rsidR="00C277AF" w:rsidRDefault="00487B65">
            <w:pPr>
              <w:jc w:val="center"/>
            </w:pPr>
            <w:r>
              <w:rPr>
                <w:rFonts w:eastAsiaTheme="minorEastAsia"/>
                <w:kern w:val="0"/>
                <w:szCs w:val="21"/>
              </w:rPr>
              <w:t>601021</w:t>
            </w:r>
          </w:p>
        </w:tc>
        <w:tc>
          <w:tcPr>
            <w:tcW w:w="1701" w:type="dxa"/>
            <w:vAlign w:val="center"/>
          </w:tcPr>
          <w:p w:rsidR="00C277AF" w:rsidRDefault="00487B65">
            <w:pPr>
              <w:jc w:val="center"/>
            </w:pPr>
            <w:r>
              <w:rPr>
                <w:rFonts w:eastAsiaTheme="minorEastAsia"/>
                <w:kern w:val="0"/>
                <w:szCs w:val="21"/>
              </w:rPr>
              <w:t>春秋航空</w:t>
            </w:r>
          </w:p>
        </w:tc>
        <w:tc>
          <w:tcPr>
            <w:tcW w:w="1276" w:type="dxa"/>
            <w:vAlign w:val="center"/>
          </w:tcPr>
          <w:p w:rsidR="00C277AF" w:rsidRDefault="00487B65">
            <w:pPr>
              <w:jc w:val="right"/>
            </w:pPr>
            <w:r>
              <w:rPr>
                <w:rFonts w:eastAsiaTheme="minorEastAsia"/>
                <w:kern w:val="0"/>
                <w:szCs w:val="21"/>
              </w:rPr>
              <w:t>248,300</w:t>
            </w:r>
          </w:p>
        </w:tc>
        <w:tc>
          <w:tcPr>
            <w:tcW w:w="1842" w:type="dxa"/>
            <w:vAlign w:val="center"/>
          </w:tcPr>
          <w:p w:rsidR="00C277AF" w:rsidRDefault="00487B65">
            <w:pPr>
              <w:jc w:val="right"/>
            </w:pPr>
            <w:r>
              <w:rPr>
                <w:rFonts w:eastAsiaTheme="minorEastAsia"/>
                <w:kern w:val="0"/>
                <w:szCs w:val="21"/>
              </w:rPr>
              <w:t>12,861,940.00</w:t>
            </w:r>
          </w:p>
        </w:tc>
        <w:tc>
          <w:tcPr>
            <w:tcW w:w="1616" w:type="dxa"/>
            <w:vAlign w:val="center"/>
          </w:tcPr>
          <w:p w:rsidR="00C277AF" w:rsidRDefault="00487B65">
            <w:pPr>
              <w:jc w:val="right"/>
            </w:pPr>
            <w:r>
              <w:rPr>
                <w:rFonts w:eastAsiaTheme="minorEastAsia"/>
                <w:kern w:val="0"/>
                <w:szCs w:val="21"/>
              </w:rPr>
              <w:t>3.26</w:t>
            </w:r>
          </w:p>
        </w:tc>
      </w:tr>
      <w:tr w:rsidR="00C277AF">
        <w:tc>
          <w:tcPr>
            <w:tcW w:w="817" w:type="dxa"/>
            <w:vAlign w:val="center"/>
          </w:tcPr>
          <w:p w:rsidR="00C277AF" w:rsidRDefault="00487B65">
            <w:pPr>
              <w:jc w:val="center"/>
            </w:pPr>
            <w:r>
              <w:rPr>
                <w:rFonts w:eastAsiaTheme="minorEastAsia"/>
                <w:kern w:val="0"/>
                <w:szCs w:val="21"/>
              </w:rPr>
              <w:t>10</w:t>
            </w:r>
          </w:p>
        </w:tc>
        <w:tc>
          <w:tcPr>
            <w:tcW w:w="1276" w:type="dxa"/>
            <w:vAlign w:val="center"/>
          </w:tcPr>
          <w:p w:rsidR="00C277AF" w:rsidRDefault="00487B65">
            <w:pPr>
              <w:jc w:val="center"/>
            </w:pPr>
            <w:r>
              <w:rPr>
                <w:rFonts w:eastAsiaTheme="minorEastAsia"/>
                <w:kern w:val="0"/>
                <w:szCs w:val="21"/>
              </w:rPr>
              <w:t>603027</w:t>
            </w:r>
          </w:p>
        </w:tc>
        <w:tc>
          <w:tcPr>
            <w:tcW w:w="1701" w:type="dxa"/>
            <w:vAlign w:val="center"/>
          </w:tcPr>
          <w:p w:rsidR="00C277AF" w:rsidRDefault="00487B65">
            <w:pPr>
              <w:jc w:val="center"/>
            </w:pPr>
            <w:r>
              <w:rPr>
                <w:rFonts w:eastAsiaTheme="minorEastAsia"/>
                <w:kern w:val="0"/>
                <w:szCs w:val="21"/>
              </w:rPr>
              <w:t>千禾味业</w:t>
            </w:r>
          </w:p>
        </w:tc>
        <w:tc>
          <w:tcPr>
            <w:tcW w:w="1276" w:type="dxa"/>
            <w:vAlign w:val="center"/>
          </w:tcPr>
          <w:p w:rsidR="00C277AF" w:rsidRDefault="00487B65">
            <w:pPr>
              <w:jc w:val="right"/>
            </w:pPr>
            <w:r>
              <w:rPr>
                <w:rFonts w:eastAsiaTheme="minorEastAsia"/>
                <w:kern w:val="0"/>
                <w:szCs w:val="21"/>
              </w:rPr>
              <w:t>828,512</w:t>
            </w:r>
          </w:p>
        </w:tc>
        <w:tc>
          <w:tcPr>
            <w:tcW w:w="1842" w:type="dxa"/>
            <w:vAlign w:val="center"/>
          </w:tcPr>
          <w:p w:rsidR="00C277AF" w:rsidRDefault="00487B65">
            <w:pPr>
              <w:jc w:val="right"/>
            </w:pPr>
            <w:r>
              <w:rPr>
                <w:rFonts w:eastAsiaTheme="minorEastAsia"/>
                <w:kern w:val="0"/>
                <w:szCs w:val="21"/>
              </w:rPr>
              <w:t>12,493,960.96</w:t>
            </w:r>
          </w:p>
        </w:tc>
        <w:tc>
          <w:tcPr>
            <w:tcW w:w="1616" w:type="dxa"/>
            <w:vAlign w:val="center"/>
          </w:tcPr>
          <w:p w:rsidR="00C277AF" w:rsidRDefault="00487B65">
            <w:pPr>
              <w:jc w:val="right"/>
            </w:pPr>
            <w:r>
              <w:rPr>
                <w:rFonts w:eastAsiaTheme="minorEastAsia"/>
                <w:kern w:val="0"/>
                <w:szCs w:val="21"/>
              </w:rPr>
              <w:t>3.16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132,958.33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248,570.94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381,529.27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57,305,181.01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9,463,365.77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12,340,365.14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33,844,740.76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3,774,973.54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2,817,250.45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65,870,572.61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40,490,856.08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、中国证监会批准上投摩根健康品质生活混合型证券投资基金设立的文件；</w:t>
      </w:r>
      <w:r>
        <w:rPr>
          <w:rFonts w:eastAsiaTheme="minorEastAsia"/>
          <w:color w:val="000000" w:themeColor="text1"/>
          <w:szCs w:val="21"/>
        </w:rPr>
        <w:t xml:space="preserve"> </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、《上投摩根健康品质生活混合型证券投资基金基金合同》；</w:t>
      </w:r>
      <w:r>
        <w:rPr>
          <w:rFonts w:eastAsiaTheme="minorEastAsia"/>
          <w:color w:val="000000" w:themeColor="text1"/>
          <w:szCs w:val="21"/>
        </w:rPr>
        <w:t xml:space="preserve"> </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、《上投摩根健康品质生活混合型证券投资基金托管协议》；</w:t>
      </w:r>
      <w:r>
        <w:rPr>
          <w:rFonts w:eastAsiaTheme="minorEastAsia"/>
          <w:color w:val="000000" w:themeColor="text1"/>
          <w:szCs w:val="21"/>
        </w:rPr>
        <w:t xml:space="preserve"> </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C277AF" w:rsidRDefault="00487B6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87B6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87B65">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87B6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上投摩根健康品质生活混合型证券投资基金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87B65"/>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277AF"/>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EE0CD-D333-4D85-BDC8-0676115D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15</Pages>
  <Words>1294</Words>
  <Characters>7379</Characters>
  <Application>Microsoft Office Word</Application>
  <DocSecurity>0</DocSecurity>
  <Lines>61</Lines>
  <Paragraphs>17</Paragraphs>
  <ScaleCrop>false</ScaleCrop>
  <Company>TRT. Ltd. Co.</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218</cp:revision>
  <cp:lastPrinted>2007-07-19T00:46:00Z</cp:lastPrinted>
  <dcterms:created xsi:type="dcterms:W3CDTF">2013-06-21T06:56:00Z</dcterms:created>
  <dcterms:modified xsi:type="dcterms:W3CDTF">2022-10-25T05:25:00Z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