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摩根健康品质生活混合型证券投资基金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报告送出日期：二〇二三年四月二十一日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1E33D0" w:rsidRDefault="00ED1CA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1E33D0" w:rsidRDefault="00ED1CA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1E33D0" w:rsidRDefault="00ED1CA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1E33D0" w:rsidRDefault="00ED1CA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1E33D0" w:rsidRDefault="00ED1CA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摩根健康品质生活混合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377150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2012</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268,280,728.63</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本基金主要投资于有利于提升居民健康水平和生活品质的行业及公司，力争把握经济结构调整和消费升级所带来的投资机会。在严格控制风险的前提下，追求基金资产的长期稳定增值。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1E33D0" w:rsidRDefault="00ED1C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1E33D0" w:rsidRDefault="00ED1C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本基金对大类资产的配置是从宏观层面出发，采用定量分析和定性分析相结合的手段，综合宏观经济环境、宏观经济政策、产业政策、行业景气度、证券市场走势和流动性的综合分析，积极进行大类资产配置。</w:t>
            </w:r>
          </w:p>
          <w:p w:rsidR="001E33D0" w:rsidRDefault="00ED1C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影响资产收益的关键驱动因素主要包括基本面和流动性。基本面驱动，主要指在经济周期和通胀周期影响下，业绩增长、利率环境、通胀预期等因素的变动；流动性驱动主要体现为货币市场环境变动的影响，具体包括汇率变动、流动性结构变动等。随着各类资产风险收益特征的相对变化，本基金将适时动态地调整股票、债券和货币市场工具的投资比例。</w:t>
            </w:r>
          </w:p>
          <w:p w:rsidR="001E33D0" w:rsidRDefault="00ED1C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1E33D0" w:rsidRDefault="00ED1C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人类的需求主要来自于两方面：一是延长生命长度，提升健康水平；二是拓展生命宽度，提高生活品质。随着居民收入水平的提升、城镇化进程的推进以及社会保障体制的完善，居民的各方面需求将逐步释</w:t>
            </w:r>
            <w:r>
              <w:rPr>
                <w:rFonts w:eastAsiaTheme="minorEastAsia"/>
                <w:color w:val="000000" w:themeColor="text1"/>
                <w:kern w:val="0"/>
                <w:szCs w:val="21"/>
              </w:rPr>
              <w:t>放，尤其是对于身体健康和生活品质的要求会逐步提高，由此带来对相关产品和服务的需求的增加，并推动提供此类产品和服务的上市公司的快速成长。本基金将围绕健康生活与品质生活这两大主题，重点关注有利于提升民众健康水平以及物质生活和精神生活质量的行业和个股。</w:t>
            </w:r>
          </w:p>
          <w:p w:rsidR="001E33D0" w:rsidRDefault="00ED1C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rsidR="001E33D0" w:rsidRDefault="00ED1C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资管理。在类属配置层次，结合对宏观经济、市场利率、债券供求等因素的综合分析，根据交易所市场与银行间市场类</w:t>
            </w:r>
            <w:r>
              <w:rPr>
                <w:rFonts w:eastAsiaTheme="minorEastAsia"/>
                <w:color w:val="000000" w:themeColor="text1"/>
                <w:kern w:val="0"/>
                <w:szCs w:val="21"/>
              </w:rPr>
              <w:t>属资产的风险收益特征，定期对投资组合类属资产进行优化配置和调整，确定类属资产的最优权重。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4</w:t>
            </w:r>
            <w:r w:rsidRPr="00B27A29">
              <w:rPr>
                <w:rFonts w:eastAsiaTheme="minorEastAsia"/>
                <w:color w:val="000000" w:themeColor="text1"/>
                <w:kern w:val="0"/>
                <w:szCs w:val="21"/>
              </w:rPr>
              <w:t>、其他投资策略</w:t>
            </w:r>
            <w:r w:rsidRPr="00B27A29">
              <w:rPr>
                <w:rFonts w:eastAsiaTheme="minorEastAsia"/>
                <w:color w:val="000000" w:themeColor="text1"/>
                <w:kern w:val="0"/>
                <w:szCs w:val="21"/>
              </w:rPr>
              <w:t xml:space="preserve">: </w:t>
            </w:r>
            <w:r w:rsidRPr="00B27A29">
              <w:rPr>
                <w:rFonts w:eastAsiaTheme="minorEastAsia"/>
                <w:color w:val="000000" w:themeColor="text1"/>
                <w:kern w:val="0"/>
                <w:szCs w:val="21"/>
              </w:rPr>
              <w:t>包括可转换债券投资策略、权证投资策略、存托凭证投资策略。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1E33D0" w:rsidRDefault="00ED1C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本基金是一只主动投资的混合型基金，主要投资于有利于提升</w:t>
            </w:r>
            <w:r>
              <w:rPr>
                <w:rFonts w:eastAsiaTheme="minorEastAsia"/>
                <w:color w:val="000000" w:themeColor="text1"/>
                <w:kern w:val="0"/>
                <w:szCs w:val="21"/>
              </w:rPr>
              <w:t>居民健康水平和生活品质的行业和公司，属于主题类混合型基金，预期风险和收益高于债券型基金和货币市场基金，低于股票型基金，属于较高风险、较高预期收益的基金产品。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377150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015346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161,352,748.59</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106,927,980.04</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18,393,693.11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11,212,528.55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50,176,116.52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24,899,836.19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0.3998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0.3151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665,010,333.71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438,470,919.53</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4.1215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4.1006</w:t>
            </w:r>
          </w:p>
        </w:tc>
      </w:tr>
    </w:tbl>
    <w:p w:rsidR="001E33D0" w:rsidRDefault="00ED1CA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摩根健康品质生活混合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E33D0">
        <w:tc>
          <w:tcPr>
            <w:tcW w:w="1290" w:type="dxa"/>
            <w:vAlign w:val="center"/>
          </w:tcPr>
          <w:p w:rsidR="001E33D0" w:rsidRDefault="00ED1CA9">
            <w:pPr>
              <w:jc w:val="left"/>
            </w:pPr>
            <w:r>
              <w:rPr>
                <w:rFonts w:eastAsiaTheme="minorEastAsia"/>
                <w:color w:val="000000" w:themeColor="text1"/>
                <w:szCs w:val="21"/>
              </w:rPr>
              <w:t>过去三个月</w:t>
            </w:r>
          </w:p>
        </w:tc>
        <w:tc>
          <w:tcPr>
            <w:tcW w:w="1291" w:type="dxa"/>
            <w:vAlign w:val="center"/>
          </w:tcPr>
          <w:p w:rsidR="001E33D0" w:rsidRDefault="00ED1CA9">
            <w:pPr>
              <w:jc w:val="right"/>
            </w:pPr>
            <w:r>
              <w:rPr>
                <w:rFonts w:eastAsiaTheme="minorEastAsia"/>
                <w:color w:val="000000" w:themeColor="text1"/>
                <w:szCs w:val="21"/>
              </w:rPr>
              <w:t>11.80%</w:t>
            </w:r>
          </w:p>
        </w:tc>
        <w:tc>
          <w:tcPr>
            <w:tcW w:w="1291" w:type="dxa"/>
            <w:vAlign w:val="center"/>
          </w:tcPr>
          <w:p w:rsidR="001E33D0" w:rsidRDefault="00ED1CA9">
            <w:pPr>
              <w:jc w:val="right"/>
            </w:pPr>
            <w:r>
              <w:rPr>
                <w:rFonts w:eastAsiaTheme="minorEastAsia"/>
                <w:color w:val="000000" w:themeColor="text1"/>
                <w:szCs w:val="21"/>
              </w:rPr>
              <w:t>1.37%</w:t>
            </w:r>
          </w:p>
        </w:tc>
        <w:tc>
          <w:tcPr>
            <w:tcW w:w="1291" w:type="dxa"/>
            <w:vAlign w:val="center"/>
          </w:tcPr>
          <w:p w:rsidR="001E33D0" w:rsidRDefault="00ED1CA9">
            <w:pPr>
              <w:jc w:val="right"/>
            </w:pPr>
            <w:r>
              <w:rPr>
                <w:rFonts w:eastAsiaTheme="minorEastAsia"/>
                <w:color w:val="000000" w:themeColor="text1"/>
                <w:szCs w:val="21"/>
              </w:rPr>
              <w:t>4.04%</w:t>
            </w:r>
          </w:p>
        </w:tc>
        <w:tc>
          <w:tcPr>
            <w:tcW w:w="1291" w:type="dxa"/>
            <w:vAlign w:val="center"/>
          </w:tcPr>
          <w:p w:rsidR="001E33D0" w:rsidRDefault="00ED1CA9">
            <w:pPr>
              <w:jc w:val="right"/>
            </w:pPr>
            <w:r>
              <w:rPr>
                <w:rFonts w:eastAsiaTheme="minorEastAsia"/>
                <w:color w:val="000000" w:themeColor="text1"/>
                <w:szCs w:val="21"/>
              </w:rPr>
              <w:t>0.73%</w:t>
            </w:r>
          </w:p>
        </w:tc>
        <w:tc>
          <w:tcPr>
            <w:tcW w:w="1291" w:type="dxa"/>
            <w:vAlign w:val="center"/>
          </w:tcPr>
          <w:p w:rsidR="001E33D0" w:rsidRDefault="00ED1CA9">
            <w:pPr>
              <w:jc w:val="right"/>
            </w:pPr>
            <w:r>
              <w:rPr>
                <w:rFonts w:eastAsiaTheme="minorEastAsia"/>
                <w:color w:val="000000" w:themeColor="text1"/>
                <w:szCs w:val="21"/>
              </w:rPr>
              <w:t>7.76%</w:t>
            </w:r>
          </w:p>
        </w:tc>
        <w:tc>
          <w:tcPr>
            <w:tcW w:w="1291" w:type="dxa"/>
            <w:vAlign w:val="center"/>
          </w:tcPr>
          <w:p w:rsidR="001E33D0" w:rsidRDefault="00ED1CA9">
            <w:pPr>
              <w:jc w:val="right"/>
            </w:pPr>
            <w:r>
              <w:rPr>
                <w:rFonts w:eastAsiaTheme="minorEastAsia"/>
                <w:color w:val="000000" w:themeColor="text1"/>
                <w:szCs w:val="21"/>
              </w:rPr>
              <w:t>0.64%</w:t>
            </w:r>
          </w:p>
        </w:tc>
      </w:tr>
      <w:tr w:rsidR="001E33D0">
        <w:tc>
          <w:tcPr>
            <w:tcW w:w="1290" w:type="dxa"/>
            <w:vAlign w:val="center"/>
          </w:tcPr>
          <w:p w:rsidR="001E33D0" w:rsidRDefault="00ED1CA9">
            <w:pPr>
              <w:jc w:val="left"/>
            </w:pPr>
            <w:r>
              <w:rPr>
                <w:rFonts w:eastAsiaTheme="minorEastAsia"/>
                <w:color w:val="000000" w:themeColor="text1"/>
                <w:szCs w:val="21"/>
              </w:rPr>
              <w:t>过去六个月</w:t>
            </w:r>
          </w:p>
        </w:tc>
        <w:tc>
          <w:tcPr>
            <w:tcW w:w="1291" w:type="dxa"/>
            <w:vAlign w:val="center"/>
          </w:tcPr>
          <w:p w:rsidR="001E33D0" w:rsidRDefault="00ED1CA9">
            <w:pPr>
              <w:jc w:val="right"/>
            </w:pPr>
            <w:r>
              <w:rPr>
                <w:rFonts w:eastAsiaTheme="minorEastAsia"/>
                <w:color w:val="000000" w:themeColor="text1"/>
                <w:szCs w:val="21"/>
              </w:rPr>
              <w:t>10.93%</w:t>
            </w:r>
          </w:p>
        </w:tc>
        <w:tc>
          <w:tcPr>
            <w:tcW w:w="1291" w:type="dxa"/>
            <w:vAlign w:val="center"/>
          </w:tcPr>
          <w:p w:rsidR="001E33D0" w:rsidRDefault="00ED1CA9">
            <w:pPr>
              <w:jc w:val="right"/>
            </w:pPr>
            <w:r>
              <w:rPr>
                <w:rFonts w:eastAsiaTheme="minorEastAsia"/>
                <w:color w:val="000000" w:themeColor="text1"/>
                <w:szCs w:val="21"/>
              </w:rPr>
              <w:t>1.52%</w:t>
            </w:r>
          </w:p>
        </w:tc>
        <w:tc>
          <w:tcPr>
            <w:tcW w:w="1291" w:type="dxa"/>
            <w:vAlign w:val="center"/>
          </w:tcPr>
          <w:p w:rsidR="001E33D0" w:rsidRDefault="00ED1CA9">
            <w:pPr>
              <w:jc w:val="right"/>
            </w:pPr>
            <w:r>
              <w:rPr>
                <w:rFonts w:eastAsiaTheme="minorEastAsia"/>
                <w:color w:val="000000" w:themeColor="text1"/>
                <w:szCs w:val="21"/>
              </w:rPr>
              <w:t>5.66%</w:t>
            </w:r>
          </w:p>
        </w:tc>
        <w:tc>
          <w:tcPr>
            <w:tcW w:w="1291" w:type="dxa"/>
            <w:vAlign w:val="center"/>
          </w:tcPr>
          <w:p w:rsidR="001E33D0" w:rsidRDefault="00ED1CA9">
            <w:pPr>
              <w:jc w:val="right"/>
            </w:pPr>
            <w:r>
              <w:rPr>
                <w:rFonts w:eastAsiaTheme="minorEastAsia"/>
                <w:color w:val="000000" w:themeColor="text1"/>
                <w:szCs w:val="21"/>
              </w:rPr>
              <w:t>0.93%</w:t>
            </w:r>
          </w:p>
        </w:tc>
        <w:tc>
          <w:tcPr>
            <w:tcW w:w="1291" w:type="dxa"/>
            <w:vAlign w:val="center"/>
          </w:tcPr>
          <w:p w:rsidR="001E33D0" w:rsidRDefault="00ED1CA9">
            <w:pPr>
              <w:jc w:val="right"/>
            </w:pPr>
            <w:r>
              <w:rPr>
                <w:rFonts w:eastAsiaTheme="minorEastAsia"/>
                <w:color w:val="000000" w:themeColor="text1"/>
                <w:szCs w:val="21"/>
              </w:rPr>
              <w:t>5.27%</w:t>
            </w:r>
          </w:p>
        </w:tc>
        <w:tc>
          <w:tcPr>
            <w:tcW w:w="1291" w:type="dxa"/>
            <w:vAlign w:val="center"/>
          </w:tcPr>
          <w:p w:rsidR="001E33D0" w:rsidRDefault="00ED1CA9">
            <w:pPr>
              <w:jc w:val="right"/>
            </w:pPr>
            <w:r>
              <w:rPr>
                <w:rFonts w:eastAsiaTheme="minorEastAsia"/>
                <w:color w:val="000000" w:themeColor="text1"/>
                <w:szCs w:val="21"/>
              </w:rPr>
              <w:t>0.59%</w:t>
            </w:r>
          </w:p>
        </w:tc>
      </w:tr>
      <w:tr w:rsidR="001E33D0">
        <w:tc>
          <w:tcPr>
            <w:tcW w:w="1290" w:type="dxa"/>
            <w:vAlign w:val="center"/>
          </w:tcPr>
          <w:p w:rsidR="001E33D0" w:rsidRDefault="00ED1CA9">
            <w:pPr>
              <w:jc w:val="left"/>
            </w:pPr>
            <w:r>
              <w:rPr>
                <w:rFonts w:eastAsiaTheme="minorEastAsia"/>
                <w:color w:val="000000" w:themeColor="text1"/>
                <w:szCs w:val="21"/>
              </w:rPr>
              <w:t>过去一年</w:t>
            </w:r>
          </w:p>
        </w:tc>
        <w:tc>
          <w:tcPr>
            <w:tcW w:w="1291" w:type="dxa"/>
            <w:vAlign w:val="center"/>
          </w:tcPr>
          <w:p w:rsidR="001E33D0" w:rsidRDefault="00ED1CA9">
            <w:pPr>
              <w:jc w:val="right"/>
            </w:pPr>
            <w:r>
              <w:rPr>
                <w:rFonts w:eastAsiaTheme="minorEastAsia"/>
                <w:color w:val="000000" w:themeColor="text1"/>
                <w:szCs w:val="21"/>
              </w:rPr>
              <w:t>16.66%</w:t>
            </w:r>
          </w:p>
        </w:tc>
        <w:tc>
          <w:tcPr>
            <w:tcW w:w="1291" w:type="dxa"/>
            <w:vAlign w:val="center"/>
          </w:tcPr>
          <w:p w:rsidR="001E33D0" w:rsidRDefault="00ED1CA9">
            <w:pPr>
              <w:jc w:val="right"/>
            </w:pPr>
            <w:r>
              <w:rPr>
                <w:rFonts w:eastAsiaTheme="minorEastAsia"/>
                <w:color w:val="000000" w:themeColor="text1"/>
                <w:szCs w:val="21"/>
              </w:rPr>
              <w:t>1.47%</w:t>
            </w:r>
          </w:p>
        </w:tc>
        <w:tc>
          <w:tcPr>
            <w:tcW w:w="1291" w:type="dxa"/>
            <w:vAlign w:val="center"/>
          </w:tcPr>
          <w:p w:rsidR="001E33D0" w:rsidRDefault="00ED1CA9">
            <w:pPr>
              <w:jc w:val="right"/>
            </w:pPr>
            <w:r>
              <w:rPr>
                <w:rFonts w:eastAsiaTheme="minorEastAsia"/>
                <w:color w:val="000000" w:themeColor="text1"/>
                <w:szCs w:val="21"/>
              </w:rPr>
              <w:t>-2.95%</w:t>
            </w:r>
          </w:p>
        </w:tc>
        <w:tc>
          <w:tcPr>
            <w:tcW w:w="1291" w:type="dxa"/>
            <w:vAlign w:val="center"/>
          </w:tcPr>
          <w:p w:rsidR="001E33D0" w:rsidRDefault="00ED1CA9">
            <w:pPr>
              <w:jc w:val="right"/>
            </w:pPr>
            <w:r>
              <w:rPr>
                <w:rFonts w:eastAsiaTheme="minorEastAsia"/>
                <w:color w:val="000000" w:themeColor="text1"/>
                <w:szCs w:val="21"/>
              </w:rPr>
              <w:t>0.97%</w:t>
            </w:r>
          </w:p>
        </w:tc>
        <w:tc>
          <w:tcPr>
            <w:tcW w:w="1291" w:type="dxa"/>
            <w:vAlign w:val="center"/>
          </w:tcPr>
          <w:p w:rsidR="001E33D0" w:rsidRDefault="00ED1CA9">
            <w:pPr>
              <w:jc w:val="right"/>
            </w:pPr>
            <w:r>
              <w:rPr>
                <w:rFonts w:eastAsiaTheme="minorEastAsia"/>
                <w:color w:val="000000" w:themeColor="text1"/>
                <w:szCs w:val="21"/>
              </w:rPr>
              <w:t>19.61%</w:t>
            </w:r>
          </w:p>
        </w:tc>
        <w:tc>
          <w:tcPr>
            <w:tcW w:w="1291" w:type="dxa"/>
            <w:vAlign w:val="center"/>
          </w:tcPr>
          <w:p w:rsidR="001E33D0" w:rsidRDefault="00ED1CA9">
            <w:pPr>
              <w:jc w:val="right"/>
            </w:pPr>
            <w:r>
              <w:rPr>
                <w:rFonts w:eastAsiaTheme="minorEastAsia"/>
                <w:color w:val="000000" w:themeColor="text1"/>
                <w:szCs w:val="21"/>
              </w:rPr>
              <w:t>0.50%</w:t>
            </w:r>
          </w:p>
        </w:tc>
      </w:tr>
      <w:tr w:rsidR="001E33D0">
        <w:tc>
          <w:tcPr>
            <w:tcW w:w="1290" w:type="dxa"/>
            <w:vAlign w:val="center"/>
          </w:tcPr>
          <w:p w:rsidR="001E33D0" w:rsidRDefault="00ED1CA9">
            <w:pPr>
              <w:jc w:val="left"/>
            </w:pPr>
            <w:r>
              <w:rPr>
                <w:rFonts w:eastAsiaTheme="minorEastAsia"/>
                <w:color w:val="000000" w:themeColor="text1"/>
                <w:szCs w:val="21"/>
              </w:rPr>
              <w:t>过去三年</w:t>
            </w:r>
          </w:p>
        </w:tc>
        <w:tc>
          <w:tcPr>
            <w:tcW w:w="1291" w:type="dxa"/>
            <w:vAlign w:val="center"/>
          </w:tcPr>
          <w:p w:rsidR="001E33D0" w:rsidRDefault="00ED1CA9">
            <w:pPr>
              <w:jc w:val="right"/>
            </w:pPr>
            <w:r>
              <w:rPr>
                <w:rFonts w:eastAsiaTheme="minorEastAsia"/>
                <w:color w:val="000000" w:themeColor="text1"/>
                <w:szCs w:val="21"/>
              </w:rPr>
              <w:t>60.56%</w:t>
            </w:r>
          </w:p>
        </w:tc>
        <w:tc>
          <w:tcPr>
            <w:tcW w:w="1291" w:type="dxa"/>
            <w:vAlign w:val="center"/>
          </w:tcPr>
          <w:p w:rsidR="001E33D0" w:rsidRDefault="00ED1CA9">
            <w:pPr>
              <w:jc w:val="right"/>
            </w:pPr>
            <w:r>
              <w:rPr>
                <w:rFonts w:eastAsiaTheme="minorEastAsia"/>
                <w:color w:val="000000" w:themeColor="text1"/>
                <w:szCs w:val="21"/>
              </w:rPr>
              <w:t>1.58%</w:t>
            </w:r>
          </w:p>
        </w:tc>
        <w:tc>
          <w:tcPr>
            <w:tcW w:w="1291" w:type="dxa"/>
            <w:vAlign w:val="center"/>
          </w:tcPr>
          <w:p w:rsidR="001E33D0" w:rsidRDefault="00ED1CA9">
            <w:pPr>
              <w:jc w:val="right"/>
            </w:pPr>
            <w:r>
              <w:rPr>
                <w:rFonts w:eastAsiaTheme="minorEastAsia"/>
                <w:color w:val="000000" w:themeColor="text1"/>
                <w:szCs w:val="21"/>
              </w:rPr>
              <w:t>9.95%</w:t>
            </w:r>
          </w:p>
        </w:tc>
        <w:tc>
          <w:tcPr>
            <w:tcW w:w="1291" w:type="dxa"/>
            <w:vAlign w:val="center"/>
          </w:tcPr>
          <w:p w:rsidR="001E33D0" w:rsidRDefault="00ED1CA9">
            <w:pPr>
              <w:jc w:val="right"/>
            </w:pPr>
            <w:r>
              <w:rPr>
                <w:rFonts w:eastAsiaTheme="minorEastAsia"/>
                <w:color w:val="000000" w:themeColor="text1"/>
                <w:szCs w:val="21"/>
              </w:rPr>
              <w:t>1.02%</w:t>
            </w:r>
          </w:p>
        </w:tc>
        <w:tc>
          <w:tcPr>
            <w:tcW w:w="1291" w:type="dxa"/>
            <w:vAlign w:val="center"/>
          </w:tcPr>
          <w:p w:rsidR="001E33D0" w:rsidRDefault="00ED1CA9">
            <w:pPr>
              <w:jc w:val="right"/>
            </w:pPr>
            <w:r>
              <w:rPr>
                <w:rFonts w:eastAsiaTheme="minorEastAsia"/>
                <w:color w:val="000000" w:themeColor="text1"/>
                <w:szCs w:val="21"/>
              </w:rPr>
              <w:t>50.61%</w:t>
            </w:r>
          </w:p>
        </w:tc>
        <w:tc>
          <w:tcPr>
            <w:tcW w:w="1291" w:type="dxa"/>
            <w:vAlign w:val="center"/>
          </w:tcPr>
          <w:p w:rsidR="001E33D0" w:rsidRDefault="00ED1CA9">
            <w:pPr>
              <w:jc w:val="right"/>
            </w:pPr>
            <w:r>
              <w:rPr>
                <w:rFonts w:eastAsiaTheme="minorEastAsia"/>
                <w:color w:val="000000" w:themeColor="text1"/>
                <w:szCs w:val="21"/>
              </w:rPr>
              <w:t>0.56%</w:t>
            </w:r>
          </w:p>
        </w:tc>
      </w:tr>
      <w:tr w:rsidR="001E33D0">
        <w:tc>
          <w:tcPr>
            <w:tcW w:w="1290" w:type="dxa"/>
            <w:vAlign w:val="center"/>
          </w:tcPr>
          <w:p w:rsidR="001E33D0" w:rsidRDefault="00ED1CA9">
            <w:pPr>
              <w:jc w:val="left"/>
            </w:pPr>
            <w:r>
              <w:rPr>
                <w:rFonts w:eastAsiaTheme="minorEastAsia"/>
                <w:color w:val="000000" w:themeColor="text1"/>
                <w:szCs w:val="21"/>
              </w:rPr>
              <w:t>过去五年</w:t>
            </w:r>
          </w:p>
        </w:tc>
        <w:tc>
          <w:tcPr>
            <w:tcW w:w="1291" w:type="dxa"/>
            <w:vAlign w:val="center"/>
          </w:tcPr>
          <w:p w:rsidR="001E33D0" w:rsidRDefault="00ED1CA9">
            <w:pPr>
              <w:jc w:val="right"/>
            </w:pPr>
            <w:r>
              <w:rPr>
                <w:rFonts w:eastAsiaTheme="minorEastAsia"/>
                <w:color w:val="000000" w:themeColor="text1"/>
                <w:szCs w:val="21"/>
              </w:rPr>
              <w:t>78.34%</w:t>
            </w:r>
          </w:p>
        </w:tc>
        <w:tc>
          <w:tcPr>
            <w:tcW w:w="1291" w:type="dxa"/>
            <w:vAlign w:val="center"/>
          </w:tcPr>
          <w:p w:rsidR="001E33D0" w:rsidRDefault="00ED1CA9">
            <w:pPr>
              <w:jc w:val="right"/>
            </w:pPr>
            <w:r>
              <w:rPr>
                <w:rFonts w:eastAsiaTheme="minorEastAsia"/>
                <w:color w:val="000000" w:themeColor="text1"/>
                <w:szCs w:val="21"/>
              </w:rPr>
              <w:t>1.58%</w:t>
            </w:r>
          </w:p>
        </w:tc>
        <w:tc>
          <w:tcPr>
            <w:tcW w:w="1291" w:type="dxa"/>
            <w:vAlign w:val="center"/>
          </w:tcPr>
          <w:p w:rsidR="001E33D0" w:rsidRDefault="00ED1CA9">
            <w:pPr>
              <w:jc w:val="right"/>
            </w:pPr>
            <w:r>
              <w:rPr>
                <w:rFonts w:eastAsiaTheme="minorEastAsia"/>
                <w:color w:val="000000" w:themeColor="text1"/>
                <w:szCs w:val="21"/>
              </w:rPr>
              <w:t>6.73%</w:t>
            </w:r>
          </w:p>
        </w:tc>
        <w:tc>
          <w:tcPr>
            <w:tcW w:w="1291" w:type="dxa"/>
            <w:vAlign w:val="center"/>
          </w:tcPr>
          <w:p w:rsidR="001E33D0" w:rsidRDefault="00ED1CA9">
            <w:pPr>
              <w:jc w:val="right"/>
            </w:pPr>
            <w:r>
              <w:rPr>
                <w:rFonts w:eastAsiaTheme="minorEastAsia"/>
                <w:color w:val="000000" w:themeColor="text1"/>
                <w:szCs w:val="21"/>
              </w:rPr>
              <w:t>1.09%</w:t>
            </w:r>
          </w:p>
        </w:tc>
        <w:tc>
          <w:tcPr>
            <w:tcW w:w="1291" w:type="dxa"/>
            <w:vAlign w:val="center"/>
          </w:tcPr>
          <w:p w:rsidR="001E33D0" w:rsidRDefault="00ED1CA9">
            <w:pPr>
              <w:jc w:val="right"/>
            </w:pPr>
            <w:r>
              <w:rPr>
                <w:rFonts w:eastAsiaTheme="minorEastAsia"/>
                <w:color w:val="000000" w:themeColor="text1"/>
                <w:szCs w:val="21"/>
              </w:rPr>
              <w:t>71.61%</w:t>
            </w:r>
          </w:p>
        </w:tc>
        <w:tc>
          <w:tcPr>
            <w:tcW w:w="1291" w:type="dxa"/>
            <w:vAlign w:val="center"/>
          </w:tcPr>
          <w:p w:rsidR="001E33D0" w:rsidRDefault="00ED1CA9">
            <w:pPr>
              <w:jc w:val="right"/>
            </w:pPr>
            <w:r>
              <w:rPr>
                <w:rFonts w:eastAsiaTheme="minorEastAsia"/>
                <w:color w:val="000000" w:themeColor="text1"/>
                <w:szCs w:val="21"/>
              </w:rPr>
              <w:t>0.49%</w:t>
            </w:r>
          </w:p>
        </w:tc>
      </w:tr>
      <w:tr w:rsidR="001E33D0">
        <w:tc>
          <w:tcPr>
            <w:tcW w:w="1290" w:type="dxa"/>
            <w:vAlign w:val="center"/>
          </w:tcPr>
          <w:p w:rsidR="001E33D0" w:rsidRDefault="00ED1CA9">
            <w:pPr>
              <w:jc w:val="left"/>
            </w:pPr>
            <w:r>
              <w:rPr>
                <w:rFonts w:eastAsiaTheme="minorEastAsia"/>
                <w:color w:val="000000" w:themeColor="text1"/>
                <w:szCs w:val="21"/>
              </w:rPr>
              <w:t>自基金合同生效起至今</w:t>
            </w:r>
          </w:p>
        </w:tc>
        <w:tc>
          <w:tcPr>
            <w:tcW w:w="1291" w:type="dxa"/>
            <w:vAlign w:val="center"/>
          </w:tcPr>
          <w:p w:rsidR="001E33D0" w:rsidRDefault="00ED1CA9">
            <w:pPr>
              <w:jc w:val="right"/>
            </w:pPr>
            <w:r>
              <w:rPr>
                <w:rFonts w:eastAsiaTheme="minorEastAsia"/>
                <w:color w:val="000000" w:themeColor="text1"/>
                <w:szCs w:val="21"/>
              </w:rPr>
              <w:t>312.15%</w:t>
            </w:r>
          </w:p>
        </w:tc>
        <w:tc>
          <w:tcPr>
            <w:tcW w:w="1291" w:type="dxa"/>
            <w:vAlign w:val="center"/>
          </w:tcPr>
          <w:p w:rsidR="001E33D0" w:rsidRDefault="00ED1CA9">
            <w:pPr>
              <w:jc w:val="right"/>
            </w:pPr>
            <w:r>
              <w:rPr>
                <w:rFonts w:eastAsiaTheme="minorEastAsia"/>
                <w:color w:val="000000" w:themeColor="text1"/>
                <w:szCs w:val="21"/>
              </w:rPr>
              <w:t>1.67%</w:t>
            </w:r>
          </w:p>
        </w:tc>
        <w:tc>
          <w:tcPr>
            <w:tcW w:w="1291" w:type="dxa"/>
            <w:vAlign w:val="center"/>
          </w:tcPr>
          <w:p w:rsidR="001E33D0" w:rsidRDefault="00ED1CA9">
            <w:pPr>
              <w:jc w:val="right"/>
            </w:pPr>
            <w:r>
              <w:rPr>
                <w:rFonts w:eastAsiaTheme="minorEastAsia"/>
                <w:color w:val="000000" w:themeColor="text1"/>
                <w:szCs w:val="21"/>
              </w:rPr>
              <w:t>62.49%</w:t>
            </w:r>
          </w:p>
        </w:tc>
        <w:tc>
          <w:tcPr>
            <w:tcW w:w="1291" w:type="dxa"/>
            <w:vAlign w:val="center"/>
          </w:tcPr>
          <w:p w:rsidR="001E33D0" w:rsidRDefault="00ED1CA9">
            <w:pPr>
              <w:jc w:val="right"/>
            </w:pPr>
            <w:r>
              <w:rPr>
                <w:rFonts w:eastAsiaTheme="minorEastAsia"/>
                <w:color w:val="000000" w:themeColor="text1"/>
                <w:szCs w:val="21"/>
              </w:rPr>
              <w:t>1.19%</w:t>
            </w:r>
          </w:p>
        </w:tc>
        <w:tc>
          <w:tcPr>
            <w:tcW w:w="1291" w:type="dxa"/>
            <w:vAlign w:val="center"/>
          </w:tcPr>
          <w:p w:rsidR="001E33D0" w:rsidRDefault="00ED1CA9">
            <w:pPr>
              <w:jc w:val="right"/>
            </w:pPr>
            <w:r>
              <w:rPr>
                <w:rFonts w:eastAsiaTheme="minorEastAsia"/>
                <w:color w:val="000000" w:themeColor="text1"/>
                <w:szCs w:val="21"/>
              </w:rPr>
              <w:t>249.66%</w:t>
            </w:r>
          </w:p>
        </w:tc>
        <w:tc>
          <w:tcPr>
            <w:tcW w:w="1291" w:type="dxa"/>
            <w:vAlign w:val="center"/>
          </w:tcPr>
          <w:p w:rsidR="001E33D0" w:rsidRDefault="00ED1CA9">
            <w:pPr>
              <w:jc w:val="right"/>
            </w:pPr>
            <w:r>
              <w:rPr>
                <w:rFonts w:eastAsiaTheme="minorEastAsia"/>
                <w:color w:val="000000" w:themeColor="text1"/>
                <w:szCs w:val="21"/>
              </w:rPr>
              <w:t>0.48%</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摩根健康品质生活混合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E33D0">
        <w:tc>
          <w:tcPr>
            <w:tcW w:w="1290" w:type="dxa"/>
            <w:vAlign w:val="center"/>
          </w:tcPr>
          <w:p w:rsidR="001E33D0" w:rsidRDefault="00ED1CA9">
            <w:pPr>
              <w:jc w:val="left"/>
            </w:pPr>
            <w:r>
              <w:rPr>
                <w:rFonts w:eastAsiaTheme="minorEastAsia"/>
                <w:color w:val="000000" w:themeColor="text1"/>
                <w:szCs w:val="21"/>
              </w:rPr>
              <w:t>过去三个月</w:t>
            </w:r>
          </w:p>
        </w:tc>
        <w:tc>
          <w:tcPr>
            <w:tcW w:w="1291" w:type="dxa"/>
            <w:vAlign w:val="center"/>
          </w:tcPr>
          <w:p w:rsidR="001E33D0" w:rsidRDefault="00ED1CA9">
            <w:pPr>
              <w:jc w:val="right"/>
            </w:pPr>
            <w:r>
              <w:rPr>
                <w:rFonts w:eastAsiaTheme="minorEastAsia"/>
                <w:color w:val="000000" w:themeColor="text1"/>
                <w:szCs w:val="21"/>
              </w:rPr>
              <w:t>11.66%</w:t>
            </w:r>
          </w:p>
        </w:tc>
        <w:tc>
          <w:tcPr>
            <w:tcW w:w="1291" w:type="dxa"/>
            <w:vAlign w:val="center"/>
          </w:tcPr>
          <w:p w:rsidR="001E33D0" w:rsidRDefault="00ED1CA9">
            <w:pPr>
              <w:jc w:val="right"/>
            </w:pPr>
            <w:r>
              <w:rPr>
                <w:rFonts w:eastAsiaTheme="minorEastAsia"/>
                <w:color w:val="000000" w:themeColor="text1"/>
                <w:szCs w:val="21"/>
              </w:rPr>
              <w:t>1.37%</w:t>
            </w:r>
          </w:p>
        </w:tc>
        <w:tc>
          <w:tcPr>
            <w:tcW w:w="1291" w:type="dxa"/>
            <w:vAlign w:val="center"/>
          </w:tcPr>
          <w:p w:rsidR="001E33D0" w:rsidRDefault="00ED1CA9">
            <w:pPr>
              <w:jc w:val="right"/>
            </w:pPr>
            <w:r>
              <w:rPr>
                <w:rFonts w:eastAsiaTheme="minorEastAsia"/>
                <w:color w:val="000000" w:themeColor="text1"/>
                <w:szCs w:val="21"/>
              </w:rPr>
              <w:t>4.04%</w:t>
            </w:r>
          </w:p>
        </w:tc>
        <w:tc>
          <w:tcPr>
            <w:tcW w:w="1291" w:type="dxa"/>
            <w:vAlign w:val="center"/>
          </w:tcPr>
          <w:p w:rsidR="001E33D0" w:rsidRDefault="00ED1CA9">
            <w:pPr>
              <w:jc w:val="right"/>
            </w:pPr>
            <w:r>
              <w:rPr>
                <w:rFonts w:eastAsiaTheme="minorEastAsia"/>
                <w:color w:val="000000" w:themeColor="text1"/>
                <w:szCs w:val="21"/>
              </w:rPr>
              <w:t>0.73%</w:t>
            </w:r>
          </w:p>
        </w:tc>
        <w:tc>
          <w:tcPr>
            <w:tcW w:w="1291" w:type="dxa"/>
            <w:vAlign w:val="center"/>
          </w:tcPr>
          <w:p w:rsidR="001E33D0" w:rsidRDefault="00ED1CA9">
            <w:pPr>
              <w:jc w:val="right"/>
            </w:pPr>
            <w:r>
              <w:rPr>
                <w:rFonts w:eastAsiaTheme="minorEastAsia"/>
                <w:color w:val="000000" w:themeColor="text1"/>
                <w:szCs w:val="21"/>
              </w:rPr>
              <w:t>7.62%</w:t>
            </w:r>
          </w:p>
        </w:tc>
        <w:tc>
          <w:tcPr>
            <w:tcW w:w="1291" w:type="dxa"/>
            <w:vAlign w:val="center"/>
          </w:tcPr>
          <w:p w:rsidR="001E33D0" w:rsidRDefault="00ED1CA9">
            <w:pPr>
              <w:jc w:val="right"/>
            </w:pPr>
            <w:r>
              <w:rPr>
                <w:rFonts w:eastAsiaTheme="minorEastAsia"/>
                <w:color w:val="000000" w:themeColor="text1"/>
                <w:szCs w:val="21"/>
              </w:rPr>
              <w:t>0.64%</w:t>
            </w:r>
          </w:p>
        </w:tc>
      </w:tr>
      <w:tr w:rsidR="001E33D0">
        <w:tc>
          <w:tcPr>
            <w:tcW w:w="1290" w:type="dxa"/>
            <w:vAlign w:val="center"/>
          </w:tcPr>
          <w:p w:rsidR="001E33D0" w:rsidRDefault="00ED1CA9">
            <w:pPr>
              <w:jc w:val="left"/>
            </w:pPr>
            <w:r>
              <w:rPr>
                <w:rFonts w:eastAsiaTheme="minorEastAsia"/>
                <w:color w:val="000000" w:themeColor="text1"/>
                <w:szCs w:val="21"/>
              </w:rPr>
              <w:t>过去六个月</w:t>
            </w:r>
          </w:p>
        </w:tc>
        <w:tc>
          <w:tcPr>
            <w:tcW w:w="1291" w:type="dxa"/>
            <w:vAlign w:val="center"/>
          </w:tcPr>
          <w:p w:rsidR="001E33D0" w:rsidRDefault="00ED1CA9">
            <w:pPr>
              <w:jc w:val="right"/>
            </w:pPr>
            <w:r>
              <w:rPr>
                <w:rFonts w:eastAsiaTheme="minorEastAsia"/>
                <w:color w:val="000000" w:themeColor="text1"/>
                <w:szCs w:val="21"/>
              </w:rPr>
              <w:t>10.65%</w:t>
            </w:r>
          </w:p>
        </w:tc>
        <w:tc>
          <w:tcPr>
            <w:tcW w:w="1291" w:type="dxa"/>
            <w:vAlign w:val="center"/>
          </w:tcPr>
          <w:p w:rsidR="001E33D0" w:rsidRDefault="00ED1CA9">
            <w:pPr>
              <w:jc w:val="right"/>
            </w:pPr>
            <w:r>
              <w:rPr>
                <w:rFonts w:eastAsiaTheme="minorEastAsia"/>
                <w:color w:val="000000" w:themeColor="text1"/>
                <w:szCs w:val="21"/>
              </w:rPr>
              <w:t>1.52%</w:t>
            </w:r>
          </w:p>
        </w:tc>
        <w:tc>
          <w:tcPr>
            <w:tcW w:w="1291" w:type="dxa"/>
            <w:vAlign w:val="center"/>
          </w:tcPr>
          <w:p w:rsidR="001E33D0" w:rsidRDefault="00ED1CA9">
            <w:pPr>
              <w:jc w:val="right"/>
            </w:pPr>
            <w:r>
              <w:rPr>
                <w:rFonts w:eastAsiaTheme="minorEastAsia"/>
                <w:color w:val="000000" w:themeColor="text1"/>
                <w:szCs w:val="21"/>
              </w:rPr>
              <w:t>5.66%</w:t>
            </w:r>
          </w:p>
        </w:tc>
        <w:tc>
          <w:tcPr>
            <w:tcW w:w="1291" w:type="dxa"/>
            <w:vAlign w:val="center"/>
          </w:tcPr>
          <w:p w:rsidR="001E33D0" w:rsidRDefault="00ED1CA9">
            <w:pPr>
              <w:jc w:val="right"/>
            </w:pPr>
            <w:r>
              <w:rPr>
                <w:rFonts w:eastAsiaTheme="minorEastAsia"/>
                <w:color w:val="000000" w:themeColor="text1"/>
                <w:szCs w:val="21"/>
              </w:rPr>
              <w:t>0.93%</w:t>
            </w:r>
          </w:p>
        </w:tc>
        <w:tc>
          <w:tcPr>
            <w:tcW w:w="1291" w:type="dxa"/>
            <w:vAlign w:val="center"/>
          </w:tcPr>
          <w:p w:rsidR="001E33D0" w:rsidRDefault="00ED1CA9">
            <w:pPr>
              <w:jc w:val="right"/>
            </w:pPr>
            <w:r>
              <w:rPr>
                <w:rFonts w:eastAsiaTheme="minorEastAsia"/>
                <w:color w:val="000000" w:themeColor="text1"/>
                <w:szCs w:val="21"/>
              </w:rPr>
              <w:t>4.99%</w:t>
            </w:r>
          </w:p>
        </w:tc>
        <w:tc>
          <w:tcPr>
            <w:tcW w:w="1291" w:type="dxa"/>
            <w:vAlign w:val="center"/>
          </w:tcPr>
          <w:p w:rsidR="001E33D0" w:rsidRDefault="00ED1CA9">
            <w:pPr>
              <w:jc w:val="right"/>
            </w:pPr>
            <w:r>
              <w:rPr>
                <w:rFonts w:eastAsiaTheme="minorEastAsia"/>
                <w:color w:val="000000" w:themeColor="text1"/>
                <w:szCs w:val="21"/>
              </w:rPr>
              <w:t>0.59%</w:t>
            </w:r>
          </w:p>
        </w:tc>
      </w:tr>
      <w:tr w:rsidR="001E33D0">
        <w:tc>
          <w:tcPr>
            <w:tcW w:w="1290" w:type="dxa"/>
            <w:vAlign w:val="center"/>
          </w:tcPr>
          <w:p w:rsidR="001E33D0" w:rsidRDefault="00ED1CA9">
            <w:pPr>
              <w:jc w:val="left"/>
            </w:pPr>
            <w:r>
              <w:rPr>
                <w:rFonts w:eastAsiaTheme="minorEastAsia"/>
                <w:color w:val="000000" w:themeColor="text1"/>
                <w:szCs w:val="21"/>
              </w:rPr>
              <w:t>过去一年</w:t>
            </w:r>
          </w:p>
        </w:tc>
        <w:tc>
          <w:tcPr>
            <w:tcW w:w="1291" w:type="dxa"/>
            <w:vAlign w:val="center"/>
          </w:tcPr>
          <w:p w:rsidR="001E33D0" w:rsidRDefault="00ED1CA9">
            <w:pPr>
              <w:jc w:val="right"/>
            </w:pPr>
            <w:r>
              <w:rPr>
                <w:rFonts w:eastAsiaTheme="minorEastAsia"/>
                <w:color w:val="000000" w:themeColor="text1"/>
                <w:szCs w:val="21"/>
              </w:rPr>
              <w:t>16.09%</w:t>
            </w:r>
          </w:p>
        </w:tc>
        <w:tc>
          <w:tcPr>
            <w:tcW w:w="1291" w:type="dxa"/>
            <w:vAlign w:val="center"/>
          </w:tcPr>
          <w:p w:rsidR="001E33D0" w:rsidRDefault="00ED1CA9">
            <w:pPr>
              <w:jc w:val="right"/>
            </w:pPr>
            <w:r>
              <w:rPr>
                <w:rFonts w:eastAsiaTheme="minorEastAsia"/>
                <w:color w:val="000000" w:themeColor="text1"/>
                <w:szCs w:val="21"/>
              </w:rPr>
              <w:t>1.47%</w:t>
            </w:r>
          </w:p>
        </w:tc>
        <w:tc>
          <w:tcPr>
            <w:tcW w:w="1291" w:type="dxa"/>
            <w:vAlign w:val="center"/>
          </w:tcPr>
          <w:p w:rsidR="001E33D0" w:rsidRDefault="00ED1CA9">
            <w:pPr>
              <w:jc w:val="right"/>
            </w:pPr>
            <w:r>
              <w:rPr>
                <w:rFonts w:eastAsiaTheme="minorEastAsia"/>
                <w:color w:val="000000" w:themeColor="text1"/>
                <w:szCs w:val="21"/>
              </w:rPr>
              <w:t>-2.95%</w:t>
            </w:r>
          </w:p>
        </w:tc>
        <w:tc>
          <w:tcPr>
            <w:tcW w:w="1291" w:type="dxa"/>
            <w:vAlign w:val="center"/>
          </w:tcPr>
          <w:p w:rsidR="001E33D0" w:rsidRDefault="00ED1CA9">
            <w:pPr>
              <w:jc w:val="right"/>
            </w:pPr>
            <w:r>
              <w:rPr>
                <w:rFonts w:eastAsiaTheme="minorEastAsia"/>
                <w:color w:val="000000" w:themeColor="text1"/>
                <w:szCs w:val="21"/>
              </w:rPr>
              <w:t>0.97%</w:t>
            </w:r>
          </w:p>
        </w:tc>
        <w:tc>
          <w:tcPr>
            <w:tcW w:w="1291" w:type="dxa"/>
            <w:vAlign w:val="center"/>
          </w:tcPr>
          <w:p w:rsidR="001E33D0" w:rsidRDefault="00ED1CA9">
            <w:pPr>
              <w:jc w:val="right"/>
            </w:pPr>
            <w:r>
              <w:rPr>
                <w:rFonts w:eastAsiaTheme="minorEastAsia"/>
                <w:color w:val="000000" w:themeColor="text1"/>
                <w:szCs w:val="21"/>
              </w:rPr>
              <w:t>19.04%</w:t>
            </w:r>
          </w:p>
        </w:tc>
        <w:tc>
          <w:tcPr>
            <w:tcW w:w="1291" w:type="dxa"/>
            <w:vAlign w:val="center"/>
          </w:tcPr>
          <w:p w:rsidR="001E33D0" w:rsidRDefault="00ED1CA9">
            <w:pPr>
              <w:jc w:val="right"/>
            </w:pPr>
            <w:r>
              <w:rPr>
                <w:rFonts w:eastAsiaTheme="minorEastAsia"/>
                <w:color w:val="000000" w:themeColor="text1"/>
                <w:szCs w:val="21"/>
              </w:rPr>
              <w:t>0.50%</w:t>
            </w:r>
          </w:p>
        </w:tc>
      </w:tr>
      <w:tr w:rsidR="001E33D0">
        <w:tc>
          <w:tcPr>
            <w:tcW w:w="1290" w:type="dxa"/>
            <w:vAlign w:val="center"/>
          </w:tcPr>
          <w:p w:rsidR="001E33D0" w:rsidRDefault="00ED1CA9">
            <w:pPr>
              <w:jc w:val="left"/>
            </w:pPr>
            <w:r>
              <w:rPr>
                <w:rFonts w:eastAsiaTheme="minorEastAsia"/>
                <w:color w:val="000000" w:themeColor="text1"/>
                <w:szCs w:val="21"/>
              </w:rPr>
              <w:t>过去三年</w:t>
            </w:r>
          </w:p>
        </w:tc>
        <w:tc>
          <w:tcPr>
            <w:tcW w:w="1291" w:type="dxa"/>
            <w:vAlign w:val="center"/>
          </w:tcPr>
          <w:p w:rsidR="001E33D0" w:rsidRDefault="00ED1CA9">
            <w:pPr>
              <w:jc w:val="right"/>
            </w:pPr>
            <w:r>
              <w:rPr>
                <w:rFonts w:eastAsiaTheme="minorEastAsia"/>
                <w:color w:val="000000" w:themeColor="text1"/>
                <w:szCs w:val="21"/>
              </w:rPr>
              <w:t>-</w:t>
            </w:r>
          </w:p>
        </w:tc>
        <w:tc>
          <w:tcPr>
            <w:tcW w:w="1291" w:type="dxa"/>
            <w:vAlign w:val="center"/>
          </w:tcPr>
          <w:p w:rsidR="001E33D0" w:rsidRDefault="00ED1CA9">
            <w:pPr>
              <w:jc w:val="right"/>
            </w:pPr>
            <w:r>
              <w:rPr>
                <w:rFonts w:eastAsiaTheme="minorEastAsia"/>
                <w:color w:val="000000" w:themeColor="text1"/>
                <w:szCs w:val="21"/>
              </w:rPr>
              <w:t>-</w:t>
            </w:r>
          </w:p>
        </w:tc>
        <w:tc>
          <w:tcPr>
            <w:tcW w:w="1291" w:type="dxa"/>
            <w:vAlign w:val="center"/>
          </w:tcPr>
          <w:p w:rsidR="001E33D0" w:rsidRDefault="00ED1CA9">
            <w:pPr>
              <w:jc w:val="right"/>
            </w:pPr>
            <w:r>
              <w:rPr>
                <w:rFonts w:eastAsiaTheme="minorEastAsia"/>
                <w:color w:val="000000" w:themeColor="text1"/>
                <w:szCs w:val="21"/>
              </w:rPr>
              <w:t>-</w:t>
            </w:r>
          </w:p>
        </w:tc>
        <w:tc>
          <w:tcPr>
            <w:tcW w:w="1291" w:type="dxa"/>
            <w:vAlign w:val="center"/>
          </w:tcPr>
          <w:p w:rsidR="001E33D0" w:rsidRDefault="00ED1CA9">
            <w:pPr>
              <w:jc w:val="right"/>
            </w:pPr>
            <w:r>
              <w:rPr>
                <w:rFonts w:eastAsiaTheme="minorEastAsia"/>
                <w:color w:val="000000" w:themeColor="text1"/>
                <w:szCs w:val="21"/>
              </w:rPr>
              <w:t>-</w:t>
            </w:r>
          </w:p>
        </w:tc>
        <w:tc>
          <w:tcPr>
            <w:tcW w:w="1291" w:type="dxa"/>
            <w:vAlign w:val="center"/>
          </w:tcPr>
          <w:p w:rsidR="001E33D0" w:rsidRDefault="00ED1CA9">
            <w:pPr>
              <w:jc w:val="right"/>
            </w:pPr>
            <w:r>
              <w:rPr>
                <w:rFonts w:eastAsiaTheme="minorEastAsia"/>
                <w:color w:val="000000" w:themeColor="text1"/>
                <w:szCs w:val="21"/>
              </w:rPr>
              <w:t>-</w:t>
            </w:r>
          </w:p>
        </w:tc>
        <w:tc>
          <w:tcPr>
            <w:tcW w:w="1291" w:type="dxa"/>
            <w:vAlign w:val="center"/>
          </w:tcPr>
          <w:p w:rsidR="001E33D0" w:rsidRDefault="00ED1CA9">
            <w:pPr>
              <w:jc w:val="right"/>
            </w:pPr>
            <w:r>
              <w:rPr>
                <w:rFonts w:eastAsiaTheme="minorEastAsia"/>
                <w:color w:val="000000" w:themeColor="text1"/>
                <w:szCs w:val="21"/>
              </w:rPr>
              <w:t>-</w:t>
            </w:r>
          </w:p>
        </w:tc>
      </w:tr>
      <w:tr w:rsidR="001E33D0">
        <w:tc>
          <w:tcPr>
            <w:tcW w:w="1290" w:type="dxa"/>
            <w:vAlign w:val="center"/>
          </w:tcPr>
          <w:p w:rsidR="001E33D0" w:rsidRDefault="00ED1CA9">
            <w:pPr>
              <w:jc w:val="left"/>
            </w:pPr>
            <w:r>
              <w:rPr>
                <w:rFonts w:eastAsiaTheme="minorEastAsia"/>
                <w:color w:val="000000" w:themeColor="text1"/>
                <w:szCs w:val="21"/>
              </w:rPr>
              <w:t>过去五年</w:t>
            </w:r>
          </w:p>
        </w:tc>
        <w:tc>
          <w:tcPr>
            <w:tcW w:w="1291" w:type="dxa"/>
            <w:vAlign w:val="center"/>
          </w:tcPr>
          <w:p w:rsidR="001E33D0" w:rsidRDefault="00ED1CA9">
            <w:pPr>
              <w:jc w:val="right"/>
            </w:pPr>
            <w:r>
              <w:rPr>
                <w:rFonts w:eastAsiaTheme="minorEastAsia"/>
                <w:color w:val="000000" w:themeColor="text1"/>
                <w:szCs w:val="21"/>
              </w:rPr>
              <w:t>-</w:t>
            </w:r>
          </w:p>
        </w:tc>
        <w:tc>
          <w:tcPr>
            <w:tcW w:w="1291" w:type="dxa"/>
            <w:vAlign w:val="center"/>
          </w:tcPr>
          <w:p w:rsidR="001E33D0" w:rsidRDefault="00ED1CA9">
            <w:pPr>
              <w:jc w:val="right"/>
            </w:pPr>
            <w:r>
              <w:rPr>
                <w:rFonts w:eastAsiaTheme="minorEastAsia"/>
                <w:color w:val="000000" w:themeColor="text1"/>
                <w:szCs w:val="21"/>
              </w:rPr>
              <w:t>-</w:t>
            </w:r>
          </w:p>
        </w:tc>
        <w:tc>
          <w:tcPr>
            <w:tcW w:w="1291" w:type="dxa"/>
            <w:vAlign w:val="center"/>
          </w:tcPr>
          <w:p w:rsidR="001E33D0" w:rsidRDefault="00ED1CA9">
            <w:pPr>
              <w:jc w:val="right"/>
            </w:pPr>
            <w:r>
              <w:rPr>
                <w:rFonts w:eastAsiaTheme="minorEastAsia"/>
                <w:color w:val="000000" w:themeColor="text1"/>
                <w:szCs w:val="21"/>
              </w:rPr>
              <w:t>-</w:t>
            </w:r>
          </w:p>
        </w:tc>
        <w:tc>
          <w:tcPr>
            <w:tcW w:w="1291" w:type="dxa"/>
            <w:vAlign w:val="center"/>
          </w:tcPr>
          <w:p w:rsidR="001E33D0" w:rsidRDefault="00ED1CA9">
            <w:pPr>
              <w:jc w:val="right"/>
            </w:pPr>
            <w:r>
              <w:rPr>
                <w:rFonts w:eastAsiaTheme="minorEastAsia"/>
                <w:color w:val="000000" w:themeColor="text1"/>
                <w:szCs w:val="21"/>
              </w:rPr>
              <w:t>-</w:t>
            </w:r>
          </w:p>
        </w:tc>
        <w:tc>
          <w:tcPr>
            <w:tcW w:w="1291" w:type="dxa"/>
            <w:vAlign w:val="center"/>
          </w:tcPr>
          <w:p w:rsidR="001E33D0" w:rsidRDefault="00ED1CA9">
            <w:pPr>
              <w:jc w:val="right"/>
            </w:pPr>
            <w:r>
              <w:rPr>
                <w:rFonts w:eastAsiaTheme="minorEastAsia"/>
                <w:color w:val="000000" w:themeColor="text1"/>
                <w:szCs w:val="21"/>
              </w:rPr>
              <w:t>-</w:t>
            </w:r>
          </w:p>
        </w:tc>
        <w:tc>
          <w:tcPr>
            <w:tcW w:w="1291" w:type="dxa"/>
            <w:vAlign w:val="center"/>
          </w:tcPr>
          <w:p w:rsidR="001E33D0" w:rsidRDefault="00ED1CA9">
            <w:pPr>
              <w:jc w:val="right"/>
            </w:pPr>
            <w:r>
              <w:rPr>
                <w:rFonts w:eastAsiaTheme="minorEastAsia"/>
                <w:color w:val="000000" w:themeColor="text1"/>
                <w:szCs w:val="21"/>
              </w:rPr>
              <w:t>-</w:t>
            </w:r>
          </w:p>
        </w:tc>
      </w:tr>
      <w:tr w:rsidR="001E33D0">
        <w:tc>
          <w:tcPr>
            <w:tcW w:w="1290" w:type="dxa"/>
            <w:vAlign w:val="center"/>
          </w:tcPr>
          <w:p w:rsidR="001E33D0" w:rsidRDefault="00ED1CA9">
            <w:pPr>
              <w:jc w:val="left"/>
            </w:pPr>
            <w:r>
              <w:rPr>
                <w:rFonts w:eastAsiaTheme="minorEastAsia"/>
                <w:color w:val="000000" w:themeColor="text1"/>
                <w:szCs w:val="21"/>
              </w:rPr>
              <w:t>自基金合同生效起至今</w:t>
            </w:r>
          </w:p>
        </w:tc>
        <w:tc>
          <w:tcPr>
            <w:tcW w:w="1291" w:type="dxa"/>
            <w:vAlign w:val="center"/>
          </w:tcPr>
          <w:p w:rsidR="001E33D0" w:rsidRDefault="00ED1CA9">
            <w:pPr>
              <w:jc w:val="right"/>
            </w:pPr>
            <w:r>
              <w:rPr>
                <w:rFonts w:eastAsiaTheme="minorEastAsia"/>
                <w:color w:val="000000" w:themeColor="text1"/>
                <w:szCs w:val="21"/>
              </w:rPr>
              <w:t>11.03%</w:t>
            </w:r>
          </w:p>
        </w:tc>
        <w:tc>
          <w:tcPr>
            <w:tcW w:w="1291" w:type="dxa"/>
            <w:vAlign w:val="center"/>
          </w:tcPr>
          <w:p w:rsidR="001E33D0" w:rsidRDefault="00ED1CA9">
            <w:pPr>
              <w:jc w:val="right"/>
            </w:pPr>
            <w:r>
              <w:rPr>
                <w:rFonts w:eastAsiaTheme="minorEastAsia"/>
                <w:color w:val="000000" w:themeColor="text1"/>
                <w:szCs w:val="21"/>
              </w:rPr>
              <w:t>1.54%</w:t>
            </w:r>
          </w:p>
        </w:tc>
        <w:tc>
          <w:tcPr>
            <w:tcW w:w="1291" w:type="dxa"/>
            <w:vAlign w:val="center"/>
          </w:tcPr>
          <w:p w:rsidR="001E33D0" w:rsidRDefault="00ED1CA9">
            <w:pPr>
              <w:jc w:val="right"/>
            </w:pPr>
            <w:r>
              <w:rPr>
                <w:rFonts w:eastAsiaTheme="minorEastAsia"/>
                <w:color w:val="000000" w:themeColor="text1"/>
                <w:szCs w:val="21"/>
              </w:rPr>
              <w:t>-4.26%</w:t>
            </w:r>
          </w:p>
        </w:tc>
        <w:tc>
          <w:tcPr>
            <w:tcW w:w="1291" w:type="dxa"/>
            <w:vAlign w:val="center"/>
          </w:tcPr>
          <w:p w:rsidR="001E33D0" w:rsidRDefault="00ED1CA9">
            <w:pPr>
              <w:jc w:val="right"/>
            </w:pPr>
            <w:r>
              <w:rPr>
                <w:rFonts w:eastAsiaTheme="minorEastAsia"/>
                <w:color w:val="000000" w:themeColor="text1"/>
                <w:szCs w:val="21"/>
              </w:rPr>
              <w:t>1.04%</w:t>
            </w:r>
          </w:p>
        </w:tc>
        <w:tc>
          <w:tcPr>
            <w:tcW w:w="1291" w:type="dxa"/>
            <w:vAlign w:val="center"/>
          </w:tcPr>
          <w:p w:rsidR="001E33D0" w:rsidRDefault="00ED1CA9">
            <w:pPr>
              <w:jc w:val="right"/>
            </w:pPr>
            <w:r>
              <w:rPr>
                <w:rFonts w:eastAsiaTheme="minorEastAsia"/>
                <w:color w:val="000000" w:themeColor="text1"/>
                <w:szCs w:val="21"/>
              </w:rPr>
              <w:t>15.29%</w:t>
            </w:r>
          </w:p>
        </w:tc>
        <w:tc>
          <w:tcPr>
            <w:tcW w:w="1291" w:type="dxa"/>
            <w:vAlign w:val="center"/>
          </w:tcPr>
          <w:p w:rsidR="001E33D0" w:rsidRDefault="00ED1CA9">
            <w:pPr>
              <w:jc w:val="right"/>
            </w:pPr>
            <w:r>
              <w:rPr>
                <w:rFonts w:eastAsiaTheme="minorEastAsia"/>
                <w:color w:val="000000" w:themeColor="text1"/>
                <w:szCs w:val="21"/>
              </w:rPr>
              <w:t>0.50%</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lastRenderedPageBreak/>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摩根健康品质生活混合型证券投资基金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．摩根健康品质生活混合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E33D0" w:rsidRDefault="00ED1CA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 xml:space="preserve"> </w:t>
      </w:r>
      <w:r>
        <w:rPr>
          <w:rFonts w:eastAsiaTheme="minorEastAsia"/>
          <w:color w:val="000000" w:themeColor="text1"/>
          <w:szCs w:val="21"/>
        </w:rPr>
        <w:t>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．摩根健康品质生活混合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E33D0" w:rsidRDefault="00ED1CA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1E33D0">
        <w:tc>
          <w:tcPr>
            <w:tcW w:w="952" w:type="dxa"/>
            <w:vAlign w:val="center"/>
          </w:tcPr>
          <w:p w:rsidR="001E33D0" w:rsidRDefault="00ED1CA9">
            <w:pPr>
              <w:jc w:val="center"/>
            </w:pPr>
            <w:r>
              <w:rPr>
                <w:rFonts w:eastAsiaTheme="minorEastAsia"/>
                <w:color w:val="000000" w:themeColor="text1"/>
                <w:szCs w:val="21"/>
              </w:rPr>
              <w:t>周战海</w:t>
            </w:r>
          </w:p>
        </w:tc>
        <w:tc>
          <w:tcPr>
            <w:tcW w:w="930" w:type="dxa"/>
            <w:vAlign w:val="center"/>
          </w:tcPr>
          <w:p w:rsidR="001E33D0" w:rsidRDefault="00ED1CA9">
            <w:pPr>
              <w:jc w:val="center"/>
            </w:pPr>
            <w:r>
              <w:rPr>
                <w:rFonts w:eastAsiaTheme="minorEastAsia"/>
                <w:color w:val="000000" w:themeColor="text1"/>
                <w:szCs w:val="21"/>
              </w:rPr>
              <w:t>本基金基金经理</w:t>
            </w:r>
          </w:p>
        </w:tc>
        <w:tc>
          <w:tcPr>
            <w:tcW w:w="1210" w:type="dxa"/>
            <w:vAlign w:val="center"/>
          </w:tcPr>
          <w:p w:rsidR="001E33D0" w:rsidRDefault="00ED1CA9">
            <w:pPr>
              <w:jc w:val="center"/>
            </w:pPr>
            <w:r>
              <w:rPr>
                <w:rFonts w:eastAsiaTheme="minorEastAsia"/>
                <w:color w:val="000000" w:themeColor="text1"/>
                <w:szCs w:val="21"/>
              </w:rPr>
              <w:t>2018-02-09</w:t>
            </w:r>
          </w:p>
        </w:tc>
        <w:tc>
          <w:tcPr>
            <w:tcW w:w="1309" w:type="dxa"/>
            <w:vAlign w:val="center"/>
          </w:tcPr>
          <w:p w:rsidR="001E33D0" w:rsidRDefault="00ED1CA9">
            <w:pPr>
              <w:jc w:val="center"/>
            </w:pPr>
            <w:r>
              <w:rPr>
                <w:rFonts w:eastAsiaTheme="minorEastAsia"/>
                <w:color w:val="000000" w:themeColor="text1"/>
                <w:szCs w:val="21"/>
              </w:rPr>
              <w:t>-</w:t>
            </w:r>
          </w:p>
        </w:tc>
        <w:tc>
          <w:tcPr>
            <w:tcW w:w="1254" w:type="dxa"/>
            <w:vAlign w:val="center"/>
          </w:tcPr>
          <w:p w:rsidR="001E33D0" w:rsidRDefault="00ED1CA9">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1E33D0" w:rsidRDefault="00ED1CA9">
            <w:r>
              <w:rPr>
                <w:rFonts w:eastAsiaTheme="minorEastAsia"/>
                <w:color w:val="000000" w:themeColor="text1"/>
                <w:szCs w:val="21"/>
              </w:rPr>
              <w:t>周战海先生曾任国金证券研究所资深分析师，太平洋资产管理有限责任公司高级研究员。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r w:rsidR="001E33D0">
        <w:tc>
          <w:tcPr>
            <w:tcW w:w="952" w:type="dxa"/>
            <w:vAlign w:val="center"/>
          </w:tcPr>
          <w:p w:rsidR="001E33D0" w:rsidRDefault="00ED1CA9">
            <w:pPr>
              <w:jc w:val="center"/>
            </w:pPr>
            <w:r>
              <w:rPr>
                <w:rFonts w:eastAsiaTheme="minorEastAsia"/>
                <w:color w:val="000000" w:themeColor="text1"/>
                <w:szCs w:val="21"/>
              </w:rPr>
              <w:t>徐项楠</w:t>
            </w:r>
          </w:p>
        </w:tc>
        <w:tc>
          <w:tcPr>
            <w:tcW w:w="930" w:type="dxa"/>
            <w:vAlign w:val="center"/>
          </w:tcPr>
          <w:p w:rsidR="001E33D0" w:rsidRDefault="00ED1CA9">
            <w:pPr>
              <w:jc w:val="center"/>
            </w:pPr>
            <w:r>
              <w:rPr>
                <w:rFonts w:eastAsiaTheme="minorEastAsia"/>
                <w:color w:val="000000" w:themeColor="text1"/>
                <w:szCs w:val="21"/>
              </w:rPr>
              <w:t>本基金基金经理</w:t>
            </w:r>
          </w:p>
        </w:tc>
        <w:tc>
          <w:tcPr>
            <w:tcW w:w="1210" w:type="dxa"/>
            <w:vAlign w:val="center"/>
          </w:tcPr>
          <w:p w:rsidR="001E33D0" w:rsidRDefault="00ED1CA9">
            <w:pPr>
              <w:jc w:val="center"/>
            </w:pPr>
            <w:r>
              <w:rPr>
                <w:rFonts w:eastAsiaTheme="minorEastAsia"/>
                <w:color w:val="000000" w:themeColor="text1"/>
                <w:szCs w:val="21"/>
              </w:rPr>
              <w:t>2021-11-12</w:t>
            </w:r>
          </w:p>
        </w:tc>
        <w:tc>
          <w:tcPr>
            <w:tcW w:w="1309" w:type="dxa"/>
            <w:vAlign w:val="center"/>
          </w:tcPr>
          <w:p w:rsidR="001E33D0" w:rsidRDefault="00ED1CA9">
            <w:pPr>
              <w:jc w:val="center"/>
            </w:pPr>
            <w:r>
              <w:rPr>
                <w:rFonts w:eastAsiaTheme="minorEastAsia"/>
                <w:color w:val="000000" w:themeColor="text1"/>
                <w:szCs w:val="21"/>
              </w:rPr>
              <w:t>-</w:t>
            </w:r>
          </w:p>
        </w:tc>
        <w:tc>
          <w:tcPr>
            <w:tcW w:w="1254" w:type="dxa"/>
            <w:vAlign w:val="center"/>
          </w:tcPr>
          <w:p w:rsidR="001E33D0" w:rsidRDefault="00ED1CA9">
            <w:pPr>
              <w:jc w:val="center"/>
            </w:pPr>
            <w:r>
              <w:rPr>
                <w:rFonts w:eastAsiaTheme="minorEastAsia"/>
                <w:color w:val="000000" w:themeColor="text1"/>
                <w:szCs w:val="21"/>
              </w:rPr>
              <w:t>9</w:t>
            </w:r>
            <w:r>
              <w:rPr>
                <w:rFonts w:eastAsiaTheme="minorEastAsia"/>
                <w:color w:val="000000" w:themeColor="text1"/>
                <w:szCs w:val="21"/>
              </w:rPr>
              <w:t>年</w:t>
            </w:r>
          </w:p>
        </w:tc>
        <w:tc>
          <w:tcPr>
            <w:tcW w:w="3276" w:type="dxa"/>
            <w:vAlign w:val="center"/>
          </w:tcPr>
          <w:p w:rsidR="001E33D0" w:rsidRDefault="00ED1CA9">
            <w:r>
              <w:rPr>
                <w:rFonts w:eastAsiaTheme="minorEastAsia"/>
                <w:color w:val="000000" w:themeColor="text1"/>
                <w:szCs w:val="21"/>
              </w:rPr>
              <w:t>徐项楠先生曾任中海基金管理有限公司行业分析师，中银基金管理有限公司高级分析师。</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w:t>
            </w:r>
            <w:r>
              <w:rPr>
                <w:rFonts w:eastAsiaTheme="minorEastAsia"/>
                <w:color w:val="000000" w:themeColor="text1"/>
                <w:szCs w:val="21"/>
              </w:rPr>
              <w:lastRenderedPageBreak/>
              <w:t>司），历任研究员、行业专家、行业专家</w:t>
            </w:r>
            <w:r>
              <w:rPr>
                <w:rFonts w:eastAsiaTheme="minorEastAsia"/>
                <w:color w:val="000000" w:themeColor="text1"/>
                <w:szCs w:val="21"/>
              </w:rPr>
              <w:t>/</w:t>
            </w:r>
            <w:r>
              <w:rPr>
                <w:rFonts w:eastAsiaTheme="minorEastAsia"/>
                <w:color w:val="000000" w:themeColor="text1"/>
                <w:szCs w:val="21"/>
              </w:rPr>
              <w:t>基金经理助理，现任基金经理。</w:t>
            </w:r>
          </w:p>
        </w:tc>
      </w:tr>
    </w:tbl>
    <w:p w:rsidR="001E33D0" w:rsidRDefault="00ED1CA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1E33D0" w:rsidRDefault="00ED1CA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10</w:t>
      </w:r>
      <w:r w:rsidRPr="00B27A29">
        <w:rPr>
          <w:rFonts w:eastAsiaTheme="minorEastAsia"/>
          <w:color w:val="000000" w:themeColor="text1"/>
          <w:szCs w:val="21"/>
        </w:rPr>
        <w:t>日起，周战海先生不再担任本基金基金经理。</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1E33D0" w:rsidRDefault="00ED1CA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w:t>
      </w:r>
      <w:r>
        <w:rPr>
          <w:rFonts w:eastAsiaTheme="minorEastAsia"/>
          <w:color w:val="000000" w:themeColor="text1"/>
          <w:szCs w:val="21"/>
        </w:rPr>
        <w:t>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1E33D0" w:rsidRDefault="00ED1CA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w:t>
      </w:r>
      <w:r>
        <w:rPr>
          <w:rFonts w:eastAsiaTheme="minorEastAsia"/>
          <w:color w:val="000000" w:themeColor="text1"/>
          <w:szCs w:val="21"/>
        </w:rPr>
        <w:t>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1E33D0" w:rsidRDefault="00ED1CA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1E33D0" w:rsidRDefault="00ED1CA9">
      <w:pPr>
        <w:spacing w:line="360" w:lineRule="auto"/>
        <w:ind w:firstLineChars="200" w:firstLine="420"/>
        <w:rPr>
          <w:rFonts w:eastAsiaTheme="minorEastAsia"/>
          <w:color w:val="000000" w:themeColor="text1"/>
          <w:szCs w:val="21"/>
        </w:rPr>
      </w:pPr>
      <w:r>
        <w:rPr>
          <w:rFonts w:eastAsiaTheme="minorEastAsia"/>
          <w:color w:val="000000" w:themeColor="text1"/>
          <w:szCs w:val="21"/>
        </w:rPr>
        <w:t>如果说始于</w:t>
      </w:r>
      <w:r>
        <w:rPr>
          <w:rFonts w:eastAsiaTheme="minorEastAsia"/>
          <w:color w:val="000000" w:themeColor="text1"/>
          <w:szCs w:val="21"/>
        </w:rPr>
        <w:t>2016</w:t>
      </w:r>
      <w:r>
        <w:rPr>
          <w:rFonts w:eastAsiaTheme="minorEastAsia"/>
          <w:color w:val="000000" w:themeColor="text1"/>
          <w:szCs w:val="21"/>
        </w:rPr>
        <w:t>年前后的消费升级大趋势是消费投资的黄金时代，我们认为</w:t>
      </w:r>
      <w:r>
        <w:rPr>
          <w:rFonts w:eastAsiaTheme="minorEastAsia"/>
          <w:color w:val="000000" w:themeColor="text1"/>
          <w:szCs w:val="21"/>
        </w:rPr>
        <w:t>2023</w:t>
      </w:r>
      <w:r>
        <w:rPr>
          <w:rFonts w:eastAsiaTheme="minorEastAsia"/>
          <w:color w:val="000000" w:themeColor="text1"/>
          <w:szCs w:val="21"/>
        </w:rPr>
        <w:t>年则是新一轮的消费行业步入白银时代的起点。</w:t>
      </w:r>
      <w:r>
        <w:rPr>
          <w:rFonts w:eastAsiaTheme="minorEastAsia"/>
          <w:color w:val="000000" w:themeColor="text1"/>
          <w:szCs w:val="21"/>
        </w:rPr>
        <w:t>2023</w:t>
      </w:r>
      <w:r>
        <w:rPr>
          <w:rFonts w:eastAsiaTheme="minorEastAsia"/>
          <w:color w:val="000000" w:themeColor="text1"/>
          <w:szCs w:val="21"/>
        </w:rPr>
        <w:t>年一季度经济是稳步恢复，疫情防控较快平稳转段，对经济的供给端限制逐步消除，生产活动稳步较快恢复，</w:t>
      </w:r>
      <w:r>
        <w:rPr>
          <w:rFonts w:eastAsiaTheme="minorEastAsia"/>
          <w:color w:val="000000" w:themeColor="text1"/>
          <w:szCs w:val="21"/>
        </w:rPr>
        <w:t>1-2</w:t>
      </w:r>
      <w:r>
        <w:rPr>
          <w:rFonts w:eastAsiaTheme="minorEastAsia"/>
          <w:color w:val="000000" w:themeColor="text1"/>
          <w:szCs w:val="21"/>
        </w:rPr>
        <w:t>月工业增加值和服务业生产指数分别同比上升</w:t>
      </w:r>
      <w:r>
        <w:rPr>
          <w:rFonts w:eastAsiaTheme="minorEastAsia"/>
          <w:color w:val="000000" w:themeColor="text1"/>
          <w:szCs w:val="21"/>
        </w:rPr>
        <w:t>2.4%</w:t>
      </w:r>
      <w:r>
        <w:rPr>
          <w:rFonts w:eastAsiaTheme="minorEastAsia"/>
          <w:color w:val="000000" w:themeColor="text1"/>
          <w:szCs w:val="21"/>
        </w:rPr>
        <w:t>和</w:t>
      </w:r>
      <w:r>
        <w:rPr>
          <w:rFonts w:eastAsiaTheme="minorEastAsia"/>
          <w:color w:val="000000" w:themeColor="text1"/>
          <w:szCs w:val="21"/>
        </w:rPr>
        <w:t>5.5%</w:t>
      </w:r>
      <w:r>
        <w:rPr>
          <w:rFonts w:eastAsiaTheme="minorEastAsia"/>
          <w:color w:val="000000" w:themeColor="text1"/>
          <w:szCs w:val="21"/>
        </w:rPr>
        <w:t>，且呈现服务业好于工业的疫后修复特征。</w:t>
      </w:r>
      <w:r>
        <w:rPr>
          <w:rFonts w:eastAsiaTheme="minorEastAsia"/>
          <w:color w:val="000000" w:themeColor="text1"/>
          <w:szCs w:val="21"/>
        </w:rPr>
        <w:t>3</w:t>
      </w:r>
      <w:r>
        <w:rPr>
          <w:rFonts w:eastAsiaTheme="minorEastAsia"/>
          <w:color w:val="000000" w:themeColor="text1"/>
          <w:szCs w:val="21"/>
        </w:rPr>
        <w:t>月综合</w:t>
      </w:r>
      <w:r>
        <w:rPr>
          <w:rFonts w:eastAsiaTheme="minorEastAsia"/>
          <w:color w:val="000000" w:themeColor="text1"/>
          <w:szCs w:val="21"/>
        </w:rPr>
        <w:t>PMI</w:t>
      </w:r>
      <w:r>
        <w:rPr>
          <w:rFonts w:eastAsiaTheme="minorEastAsia"/>
          <w:color w:val="000000" w:themeColor="text1"/>
          <w:szCs w:val="21"/>
        </w:rPr>
        <w:t>产出指数进一步上升至</w:t>
      </w:r>
      <w:r>
        <w:rPr>
          <w:rFonts w:eastAsiaTheme="minorEastAsia"/>
          <w:color w:val="000000" w:themeColor="text1"/>
          <w:szCs w:val="21"/>
        </w:rPr>
        <w:t>57.0%</w:t>
      </w: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月为</w:t>
      </w:r>
      <w:r>
        <w:rPr>
          <w:rFonts w:eastAsiaTheme="minorEastAsia"/>
          <w:color w:val="000000" w:themeColor="text1"/>
          <w:szCs w:val="21"/>
        </w:rPr>
        <w:t>56.4%</w:t>
      </w:r>
      <w:r>
        <w:rPr>
          <w:rFonts w:eastAsiaTheme="minorEastAsia"/>
          <w:color w:val="000000" w:themeColor="text1"/>
          <w:szCs w:val="21"/>
        </w:rPr>
        <w:t>），显示经济增长动能仍较强。而</w:t>
      </w:r>
      <w:r>
        <w:rPr>
          <w:rFonts w:eastAsiaTheme="minorEastAsia"/>
          <w:color w:val="000000" w:themeColor="text1"/>
          <w:szCs w:val="21"/>
        </w:rPr>
        <w:t>从需求层面的三驾马车拉动来看，虽然海外经济仍有韧性，叠加基数效应和疫情压制消退，出口降幅缩窄，但是整体仍然偏弱，一季度经济恢复的主要驱动力仍是内需。疫情影响消退，</w:t>
      </w:r>
      <w:r>
        <w:rPr>
          <w:rFonts w:eastAsiaTheme="minorEastAsia"/>
          <w:color w:val="000000" w:themeColor="text1"/>
          <w:szCs w:val="21"/>
        </w:rPr>
        <w:t>1-2</w:t>
      </w:r>
      <w:r>
        <w:rPr>
          <w:rFonts w:eastAsiaTheme="minorEastAsia"/>
          <w:color w:val="000000" w:themeColor="text1"/>
          <w:szCs w:val="21"/>
        </w:rPr>
        <w:t>月社会消费品零售总额同比增长</w:t>
      </w:r>
      <w:r>
        <w:rPr>
          <w:rFonts w:eastAsiaTheme="minorEastAsia"/>
          <w:color w:val="000000" w:themeColor="text1"/>
          <w:szCs w:val="21"/>
        </w:rPr>
        <w:t>3.5%</w:t>
      </w:r>
      <w:r>
        <w:rPr>
          <w:rFonts w:eastAsiaTheme="minorEastAsia"/>
          <w:color w:val="000000" w:themeColor="text1"/>
          <w:szCs w:val="21"/>
        </w:rPr>
        <w:t>，其中餐饮收入增长</w:t>
      </w:r>
      <w:r>
        <w:rPr>
          <w:rFonts w:eastAsiaTheme="minorEastAsia"/>
          <w:color w:val="000000" w:themeColor="text1"/>
          <w:szCs w:val="21"/>
        </w:rPr>
        <w:t>9.2%</w:t>
      </w:r>
      <w:r>
        <w:rPr>
          <w:rFonts w:eastAsiaTheme="minorEastAsia"/>
          <w:color w:val="000000" w:themeColor="text1"/>
          <w:szCs w:val="21"/>
        </w:rPr>
        <w:t>，较去年</w:t>
      </w:r>
      <w:r>
        <w:rPr>
          <w:rFonts w:eastAsiaTheme="minorEastAsia"/>
          <w:color w:val="000000" w:themeColor="text1"/>
          <w:szCs w:val="21"/>
        </w:rPr>
        <w:t>12</w:t>
      </w:r>
      <w:r>
        <w:rPr>
          <w:rFonts w:eastAsiaTheme="minorEastAsia"/>
          <w:color w:val="000000" w:themeColor="text1"/>
          <w:szCs w:val="21"/>
        </w:rPr>
        <w:t>月皆有大幅改善；固定资产投资中基建和制造业仍然保持较高增速，而边际贡献最大的是地产，主要受到房地产支持政策的支撑。政策方面，</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GDP</w:t>
      </w:r>
      <w:r>
        <w:rPr>
          <w:rFonts w:eastAsiaTheme="minorEastAsia"/>
          <w:color w:val="000000" w:themeColor="text1"/>
          <w:szCs w:val="21"/>
        </w:rPr>
        <w:t>增速目标被设定为</w:t>
      </w:r>
      <w:r>
        <w:rPr>
          <w:rFonts w:eastAsiaTheme="minorEastAsia"/>
          <w:color w:val="000000" w:themeColor="text1"/>
          <w:szCs w:val="21"/>
        </w:rPr>
        <w:t>5%</w:t>
      </w:r>
      <w:r>
        <w:rPr>
          <w:rFonts w:eastAsiaTheme="minorEastAsia"/>
          <w:color w:val="000000" w:themeColor="text1"/>
          <w:szCs w:val="21"/>
        </w:rPr>
        <w:t>左右，兼顾了短期与长远，整体仍然保持相对积极。年初信贷积极投放后，央行也超预期降准</w:t>
      </w:r>
      <w:r>
        <w:rPr>
          <w:rFonts w:eastAsiaTheme="minorEastAsia"/>
          <w:color w:val="000000" w:themeColor="text1"/>
          <w:szCs w:val="21"/>
        </w:rPr>
        <w:t>25bp</w:t>
      </w:r>
      <w:r>
        <w:rPr>
          <w:rFonts w:eastAsiaTheme="minorEastAsia"/>
          <w:color w:val="000000" w:themeColor="text1"/>
          <w:szCs w:val="21"/>
        </w:rPr>
        <w:t>，进一步支撑流动性和</w:t>
      </w:r>
      <w:r>
        <w:rPr>
          <w:rFonts w:eastAsiaTheme="minorEastAsia"/>
          <w:color w:val="000000" w:themeColor="text1"/>
          <w:szCs w:val="21"/>
        </w:rPr>
        <w:t>信贷投放；</w:t>
      </w:r>
      <w:r>
        <w:rPr>
          <w:rFonts w:eastAsiaTheme="minorEastAsia"/>
          <w:color w:val="000000" w:themeColor="text1"/>
          <w:szCs w:val="21"/>
        </w:rPr>
        <w:t>3%</w:t>
      </w:r>
      <w:r>
        <w:rPr>
          <w:rFonts w:eastAsiaTheme="minorEastAsia"/>
          <w:color w:val="000000" w:themeColor="text1"/>
          <w:szCs w:val="21"/>
        </w:rPr>
        <w:t>的赤字率目标和</w:t>
      </w:r>
      <w:r>
        <w:rPr>
          <w:rFonts w:eastAsiaTheme="minorEastAsia"/>
          <w:color w:val="000000" w:themeColor="text1"/>
          <w:szCs w:val="21"/>
        </w:rPr>
        <w:t>3.8</w:t>
      </w:r>
      <w:r>
        <w:rPr>
          <w:rFonts w:eastAsiaTheme="minorEastAsia"/>
          <w:color w:val="000000" w:themeColor="text1"/>
          <w:szCs w:val="21"/>
        </w:rPr>
        <w:t>万亿新增专项债则体现了财政政策的加力提效。从市场表现来看，一季度市场上涨后震荡，沪深</w:t>
      </w:r>
      <w:r>
        <w:rPr>
          <w:rFonts w:eastAsiaTheme="minorEastAsia"/>
          <w:color w:val="000000" w:themeColor="text1"/>
          <w:szCs w:val="21"/>
        </w:rPr>
        <w:t>300</w:t>
      </w:r>
      <w:r>
        <w:rPr>
          <w:rFonts w:eastAsiaTheme="minorEastAsia"/>
          <w:color w:val="000000" w:themeColor="text1"/>
          <w:szCs w:val="21"/>
        </w:rPr>
        <w:t>指数上涨</w:t>
      </w:r>
      <w:r>
        <w:rPr>
          <w:rFonts w:eastAsiaTheme="minorEastAsia"/>
          <w:color w:val="000000" w:themeColor="text1"/>
          <w:szCs w:val="21"/>
        </w:rPr>
        <w:t>4.63%</w:t>
      </w:r>
      <w:r>
        <w:rPr>
          <w:rFonts w:eastAsiaTheme="minorEastAsia"/>
          <w:color w:val="000000" w:themeColor="text1"/>
          <w:szCs w:val="21"/>
        </w:rPr>
        <w:t>，创业板指数上涨</w:t>
      </w:r>
      <w:r>
        <w:rPr>
          <w:rFonts w:eastAsiaTheme="minorEastAsia"/>
          <w:color w:val="000000" w:themeColor="text1"/>
          <w:szCs w:val="21"/>
        </w:rPr>
        <w:t>2.25%</w:t>
      </w:r>
      <w:r>
        <w:rPr>
          <w:rFonts w:eastAsiaTheme="minorEastAsia"/>
          <w:color w:val="000000" w:themeColor="text1"/>
          <w:szCs w:val="21"/>
        </w:rPr>
        <w:t>。从行业表现来看，一季度计算机、传媒、通信等行业表现排名靠前，房地产、消费者服务、综合等行业表现较为靠后。</w:t>
      </w:r>
    </w:p>
    <w:p w:rsidR="001E33D0" w:rsidRDefault="00ED1CA9">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2023</w:t>
      </w:r>
      <w:r>
        <w:rPr>
          <w:rFonts w:eastAsiaTheme="minorEastAsia"/>
          <w:color w:val="000000" w:themeColor="text1"/>
          <w:szCs w:val="21"/>
        </w:rPr>
        <w:t>年二季度，我们较为乐观。从内部来看，经济内生恢复空间和动力仍在，政策也将保持积极，但是政策边际进一步宽松的空间有所下降，使得国内经济活动整体呈现稳步恢复而非强复苏的特征，通胀整体比较温和。结构上，消费将是经济恢复的主要驱动力</w:t>
      </w:r>
      <w:r>
        <w:rPr>
          <w:rFonts w:eastAsiaTheme="minorEastAsia"/>
          <w:color w:val="000000" w:themeColor="text1"/>
          <w:szCs w:val="21"/>
        </w:rPr>
        <w:t>。从外部看，海外仍有众多不确定性，美联储或于</w:t>
      </w:r>
      <w:r>
        <w:rPr>
          <w:rFonts w:eastAsiaTheme="minorEastAsia"/>
          <w:color w:val="000000" w:themeColor="text1"/>
          <w:szCs w:val="21"/>
        </w:rPr>
        <w:t>5</w:t>
      </w:r>
      <w:r>
        <w:rPr>
          <w:rFonts w:eastAsiaTheme="minorEastAsia"/>
          <w:color w:val="000000" w:themeColor="text1"/>
          <w:szCs w:val="21"/>
        </w:rPr>
        <w:t>月开始停止加息，但美国劳动力市场紧张造成的通胀韧性仍高使美联储不至于过快降息。然而，加息末期造成的海外金融风险的演变、美联储应对以及对实体经济的传导都具有较大的不确定性，造成了市场与美联储对于未来联邦基金利率走势的较大分歧。这一方面对于中国出口未来的走势也造成了一定不确定性，另一方面或也容易使得金融市场波动性加大，从资本流动和情绪层面影响国内资本市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行业上，我们继续坚定看好消费和科技这两条投资主线，重点关注受益消费升级的细分板块龙头公司。未来，我们将继续严格按照基金契约的要求重点投资消费相关行业中具有相对估值优势、增长前景确定的高成长龙头公司。我们将加强对上市公司基本面的研究力度，筛选出具有长</w:t>
      </w:r>
      <w:r w:rsidRPr="00B27A29">
        <w:rPr>
          <w:rFonts w:eastAsiaTheme="minorEastAsia"/>
          <w:color w:val="000000" w:themeColor="text1"/>
          <w:szCs w:val="21"/>
        </w:rPr>
        <w:lastRenderedPageBreak/>
        <w:t>期竞争力的优秀公司，力争为持有人创造较好回报。</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1E33D0" w:rsidRDefault="00ED1CA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:11.80%</w:t>
      </w:r>
      <w:r>
        <w:rPr>
          <w:rFonts w:eastAsiaTheme="minorEastAsia"/>
          <w:color w:val="000000" w:themeColor="text1"/>
          <w:szCs w:val="21"/>
        </w:rPr>
        <w:t>，同期业绩比较基准收益率为</w:t>
      </w:r>
      <w:r>
        <w:rPr>
          <w:rFonts w:eastAsiaTheme="minorEastAsia"/>
          <w:color w:val="000000" w:themeColor="text1"/>
          <w:szCs w:val="21"/>
        </w:rPr>
        <w:t>:4.04%</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:11.66%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:4.04%</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1,045,903,153.41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90.95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1,045,903,153.41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90.95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73,062,100.35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30,950,288.35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1,149,915,542.11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233,880,929.11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21.19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812,022,224.30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73.59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1,045,903,153.41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94.78</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1E33D0">
        <w:tc>
          <w:tcPr>
            <w:tcW w:w="817" w:type="dxa"/>
            <w:vAlign w:val="center"/>
          </w:tcPr>
          <w:p w:rsidR="001E33D0" w:rsidRDefault="00ED1CA9">
            <w:pPr>
              <w:jc w:val="center"/>
            </w:pPr>
            <w:r>
              <w:rPr>
                <w:rFonts w:eastAsiaTheme="minorEastAsia"/>
                <w:kern w:val="0"/>
                <w:szCs w:val="21"/>
              </w:rPr>
              <w:t>1</w:t>
            </w:r>
          </w:p>
        </w:tc>
        <w:tc>
          <w:tcPr>
            <w:tcW w:w="1276" w:type="dxa"/>
            <w:vAlign w:val="center"/>
          </w:tcPr>
          <w:p w:rsidR="001E33D0" w:rsidRDefault="00ED1CA9">
            <w:pPr>
              <w:jc w:val="center"/>
            </w:pPr>
            <w:r>
              <w:rPr>
                <w:rFonts w:eastAsiaTheme="minorEastAsia"/>
                <w:kern w:val="0"/>
                <w:szCs w:val="21"/>
              </w:rPr>
              <w:t>000858</w:t>
            </w:r>
          </w:p>
        </w:tc>
        <w:tc>
          <w:tcPr>
            <w:tcW w:w="1701" w:type="dxa"/>
            <w:vAlign w:val="center"/>
          </w:tcPr>
          <w:p w:rsidR="001E33D0" w:rsidRDefault="00ED1CA9">
            <w:pPr>
              <w:jc w:val="center"/>
            </w:pPr>
            <w:r>
              <w:rPr>
                <w:rFonts w:eastAsiaTheme="minorEastAsia"/>
                <w:kern w:val="0"/>
                <w:szCs w:val="21"/>
              </w:rPr>
              <w:t>五粮液</w:t>
            </w:r>
          </w:p>
        </w:tc>
        <w:tc>
          <w:tcPr>
            <w:tcW w:w="1276" w:type="dxa"/>
            <w:vAlign w:val="center"/>
          </w:tcPr>
          <w:p w:rsidR="001E33D0" w:rsidRDefault="00ED1CA9">
            <w:pPr>
              <w:jc w:val="right"/>
            </w:pPr>
            <w:r>
              <w:rPr>
                <w:rFonts w:eastAsiaTheme="minorEastAsia"/>
                <w:kern w:val="0"/>
                <w:szCs w:val="21"/>
              </w:rPr>
              <w:t>529,791</w:t>
            </w:r>
          </w:p>
        </w:tc>
        <w:tc>
          <w:tcPr>
            <w:tcW w:w="1842" w:type="dxa"/>
            <w:vAlign w:val="center"/>
          </w:tcPr>
          <w:p w:rsidR="001E33D0" w:rsidRDefault="00ED1CA9">
            <w:pPr>
              <w:jc w:val="right"/>
            </w:pPr>
            <w:r>
              <w:rPr>
                <w:rFonts w:eastAsiaTheme="minorEastAsia"/>
                <w:kern w:val="0"/>
                <w:szCs w:val="21"/>
              </w:rPr>
              <w:t>104,368,827.00</w:t>
            </w:r>
          </w:p>
        </w:tc>
        <w:tc>
          <w:tcPr>
            <w:tcW w:w="1616" w:type="dxa"/>
            <w:vAlign w:val="center"/>
          </w:tcPr>
          <w:p w:rsidR="001E33D0" w:rsidRDefault="00ED1CA9">
            <w:pPr>
              <w:jc w:val="right"/>
            </w:pPr>
            <w:r>
              <w:rPr>
                <w:rFonts w:eastAsiaTheme="minorEastAsia"/>
                <w:kern w:val="0"/>
                <w:szCs w:val="21"/>
              </w:rPr>
              <w:t>9.46</w:t>
            </w:r>
          </w:p>
        </w:tc>
      </w:tr>
      <w:tr w:rsidR="001E33D0">
        <w:tc>
          <w:tcPr>
            <w:tcW w:w="817" w:type="dxa"/>
            <w:vAlign w:val="center"/>
          </w:tcPr>
          <w:p w:rsidR="001E33D0" w:rsidRDefault="00ED1CA9">
            <w:pPr>
              <w:jc w:val="center"/>
            </w:pPr>
            <w:r>
              <w:rPr>
                <w:rFonts w:eastAsiaTheme="minorEastAsia"/>
                <w:kern w:val="0"/>
                <w:szCs w:val="21"/>
              </w:rPr>
              <w:t>2</w:t>
            </w:r>
          </w:p>
        </w:tc>
        <w:tc>
          <w:tcPr>
            <w:tcW w:w="1276" w:type="dxa"/>
            <w:vAlign w:val="center"/>
          </w:tcPr>
          <w:p w:rsidR="001E33D0" w:rsidRDefault="00ED1CA9">
            <w:pPr>
              <w:jc w:val="center"/>
            </w:pPr>
            <w:r>
              <w:rPr>
                <w:rFonts w:eastAsiaTheme="minorEastAsia"/>
                <w:kern w:val="0"/>
                <w:szCs w:val="21"/>
              </w:rPr>
              <w:t>603477</w:t>
            </w:r>
          </w:p>
        </w:tc>
        <w:tc>
          <w:tcPr>
            <w:tcW w:w="1701" w:type="dxa"/>
            <w:vAlign w:val="center"/>
          </w:tcPr>
          <w:p w:rsidR="001E33D0" w:rsidRDefault="00ED1CA9">
            <w:pPr>
              <w:jc w:val="center"/>
            </w:pPr>
            <w:r>
              <w:rPr>
                <w:rFonts w:eastAsiaTheme="minorEastAsia"/>
                <w:kern w:val="0"/>
                <w:szCs w:val="21"/>
              </w:rPr>
              <w:t>巨星农牧</w:t>
            </w:r>
          </w:p>
        </w:tc>
        <w:tc>
          <w:tcPr>
            <w:tcW w:w="1276" w:type="dxa"/>
            <w:vAlign w:val="center"/>
          </w:tcPr>
          <w:p w:rsidR="001E33D0" w:rsidRDefault="00ED1CA9">
            <w:pPr>
              <w:jc w:val="right"/>
            </w:pPr>
            <w:r>
              <w:rPr>
                <w:rFonts w:eastAsiaTheme="minorEastAsia"/>
                <w:kern w:val="0"/>
                <w:szCs w:val="21"/>
              </w:rPr>
              <w:t>3,419,251</w:t>
            </w:r>
          </w:p>
        </w:tc>
        <w:tc>
          <w:tcPr>
            <w:tcW w:w="1842" w:type="dxa"/>
            <w:vAlign w:val="center"/>
          </w:tcPr>
          <w:p w:rsidR="001E33D0" w:rsidRDefault="00ED1CA9">
            <w:pPr>
              <w:jc w:val="right"/>
            </w:pPr>
            <w:r>
              <w:rPr>
                <w:rFonts w:eastAsiaTheme="minorEastAsia"/>
                <w:kern w:val="0"/>
                <w:szCs w:val="21"/>
              </w:rPr>
              <w:t>103,705,882.83</w:t>
            </w:r>
          </w:p>
        </w:tc>
        <w:tc>
          <w:tcPr>
            <w:tcW w:w="1616" w:type="dxa"/>
            <w:vAlign w:val="center"/>
          </w:tcPr>
          <w:p w:rsidR="001E33D0" w:rsidRDefault="00ED1CA9">
            <w:pPr>
              <w:jc w:val="right"/>
            </w:pPr>
            <w:r>
              <w:rPr>
                <w:rFonts w:eastAsiaTheme="minorEastAsia"/>
                <w:kern w:val="0"/>
                <w:szCs w:val="21"/>
              </w:rPr>
              <w:t>9.40</w:t>
            </w:r>
          </w:p>
        </w:tc>
      </w:tr>
      <w:tr w:rsidR="001E33D0">
        <w:tc>
          <w:tcPr>
            <w:tcW w:w="817" w:type="dxa"/>
            <w:vAlign w:val="center"/>
          </w:tcPr>
          <w:p w:rsidR="001E33D0" w:rsidRDefault="00ED1CA9">
            <w:pPr>
              <w:jc w:val="center"/>
            </w:pPr>
            <w:r>
              <w:rPr>
                <w:rFonts w:eastAsiaTheme="minorEastAsia"/>
                <w:kern w:val="0"/>
                <w:szCs w:val="21"/>
              </w:rPr>
              <w:t>3</w:t>
            </w:r>
          </w:p>
        </w:tc>
        <w:tc>
          <w:tcPr>
            <w:tcW w:w="1276" w:type="dxa"/>
            <w:vAlign w:val="center"/>
          </w:tcPr>
          <w:p w:rsidR="001E33D0" w:rsidRDefault="00ED1CA9">
            <w:pPr>
              <w:jc w:val="center"/>
            </w:pPr>
            <w:r>
              <w:rPr>
                <w:rFonts w:eastAsiaTheme="minorEastAsia"/>
                <w:kern w:val="0"/>
                <w:szCs w:val="21"/>
              </w:rPr>
              <w:t>600872</w:t>
            </w:r>
          </w:p>
        </w:tc>
        <w:tc>
          <w:tcPr>
            <w:tcW w:w="1701" w:type="dxa"/>
            <w:vAlign w:val="center"/>
          </w:tcPr>
          <w:p w:rsidR="001E33D0" w:rsidRDefault="00ED1CA9">
            <w:pPr>
              <w:jc w:val="center"/>
            </w:pPr>
            <w:r>
              <w:rPr>
                <w:rFonts w:eastAsiaTheme="minorEastAsia"/>
                <w:kern w:val="0"/>
                <w:szCs w:val="21"/>
              </w:rPr>
              <w:t>中炬高新</w:t>
            </w:r>
          </w:p>
        </w:tc>
        <w:tc>
          <w:tcPr>
            <w:tcW w:w="1276" w:type="dxa"/>
            <w:vAlign w:val="center"/>
          </w:tcPr>
          <w:p w:rsidR="001E33D0" w:rsidRDefault="00ED1CA9">
            <w:pPr>
              <w:jc w:val="right"/>
            </w:pPr>
            <w:r>
              <w:rPr>
                <w:rFonts w:eastAsiaTheme="minorEastAsia"/>
                <w:kern w:val="0"/>
                <w:szCs w:val="21"/>
              </w:rPr>
              <w:t>2,738,180</w:t>
            </w:r>
          </w:p>
        </w:tc>
        <w:tc>
          <w:tcPr>
            <w:tcW w:w="1842" w:type="dxa"/>
            <w:vAlign w:val="center"/>
          </w:tcPr>
          <w:p w:rsidR="001E33D0" w:rsidRDefault="00ED1CA9">
            <w:pPr>
              <w:jc w:val="right"/>
            </w:pPr>
            <w:r>
              <w:rPr>
                <w:rFonts w:eastAsiaTheme="minorEastAsia"/>
                <w:kern w:val="0"/>
                <w:szCs w:val="21"/>
              </w:rPr>
              <w:t>101,586,478.00</w:t>
            </w:r>
          </w:p>
        </w:tc>
        <w:tc>
          <w:tcPr>
            <w:tcW w:w="1616" w:type="dxa"/>
            <w:vAlign w:val="center"/>
          </w:tcPr>
          <w:p w:rsidR="001E33D0" w:rsidRDefault="00ED1CA9">
            <w:pPr>
              <w:jc w:val="right"/>
            </w:pPr>
            <w:r>
              <w:rPr>
                <w:rFonts w:eastAsiaTheme="minorEastAsia"/>
                <w:kern w:val="0"/>
                <w:szCs w:val="21"/>
              </w:rPr>
              <w:t>9.21</w:t>
            </w:r>
          </w:p>
        </w:tc>
      </w:tr>
      <w:tr w:rsidR="001E33D0">
        <w:tc>
          <w:tcPr>
            <w:tcW w:w="817" w:type="dxa"/>
            <w:vAlign w:val="center"/>
          </w:tcPr>
          <w:p w:rsidR="001E33D0" w:rsidRDefault="00ED1CA9">
            <w:pPr>
              <w:jc w:val="center"/>
            </w:pPr>
            <w:r>
              <w:rPr>
                <w:rFonts w:eastAsiaTheme="minorEastAsia"/>
                <w:kern w:val="0"/>
                <w:szCs w:val="21"/>
              </w:rPr>
              <w:t>4</w:t>
            </w:r>
          </w:p>
        </w:tc>
        <w:tc>
          <w:tcPr>
            <w:tcW w:w="1276" w:type="dxa"/>
            <w:vAlign w:val="center"/>
          </w:tcPr>
          <w:p w:rsidR="001E33D0" w:rsidRDefault="00ED1CA9">
            <w:pPr>
              <w:jc w:val="center"/>
            </w:pPr>
            <w:r>
              <w:rPr>
                <w:rFonts w:eastAsiaTheme="minorEastAsia"/>
                <w:kern w:val="0"/>
                <w:szCs w:val="21"/>
              </w:rPr>
              <w:t>600779</w:t>
            </w:r>
          </w:p>
        </w:tc>
        <w:tc>
          <w:tcPr>
            <w:tcW w:w="1701" w:type="dxa"/>
            <w:vAlign w:val="center"/>
          </w:tcPr>
          <w:p w:rsidR="001E33D0" w:rsidRDefault="00ED1CA9">
            <w:pPr>
              <w:jc w:val="center"/>
            </w:pPr>
            <w:r>
              <w:rPr>
                <w:rFonts w:eastAsiaTheme="minorEastAsia"/>
                <w:kern w:val="0"/>
                <w:szCs w:val="21"/>
              </w:rPr>
              <w:t>水井坊</w:t>
            </w:r>
          </w:p>
        </w:tc>
        <w:tc>
          <w:tcPr>
            <w:tcW w:w="1276" w:type="dxa"/>
            <w:vAlign w:val="center"/>
          </w:tcPr>
          <w:p w:rsidR="001E33D0" w:rsidRDefault="00ED1CA9">
            <w:pPr>
              <w:jc w:val="right"/>
            </w:pPr>
            <w:r>
              <w:rPr>
                <w:rFonts w:eastAsiaTheme="minorEastAsia"/>
                <w:kern w:val="0"/>
                <w:szCs w:val="21"/>
              </w:rPr>
              <w:t>1,333,419</w:t>
            </w:r>
          </w:p>
        </w:tc>
        <w:tc>
          <w:tcPr>
            <w:tcW w:w="1842" w:type="dxa"/>
            <w:vAlign w:val="center"/>
          </w:tcPr>
          <w:p w:rsidR="001E33D0" w:rsidRDefault="00ED1CA9">
            <w:pPr>
              <w:jc w:val="right"/>
            </w:pPr>
            <w:r>
              <w:rPr>
                <w:rFonts w:eastAsiaTheme="minorEastAsia"/>
                <w:kern w:val="0"/>
                <w:szCs w:val="21"/>
              </w:rPr>
              <w:t>100,446,453.27</w:t>
            </w:r>
          </w:p>
        </w:tc>
        <w:tc>
          <w:tcPr>
            <w:tcW w:w="1616" w:type="dxa"/>
            <w:vAlign w:val="center"/>
          </w:tcPr>
          <w:p w:rsidR="001E33D0" w:rsidRDefault="00ED1CA9">
            <w:pPr>
              <w:jc w:val="right"/>
            </w:pPr>
            <w:r>
              <w:rPr>
                <w:rFonts w:eastAsiaTheme="minorEastAsia"/>
                <w:kern w:val="0"/>
                <w:szCs w:val="21"/>
              </w:rPr>
              <w:t>9.10</w:t>
            </w:r>
          </w:p>
        </w:tc>
      </w:tr>
      <w:tr w:rsidR="001E33D0">
        <w:tc>
          <w:tcPr>
            <w:tcW w:w="817" w:type="dxa"/>
            <w:vAlign w:val="center"/>
          </w:tcPr>
          <w:p w:rsidR="001E33D0" w:rsidRDefault="00ED1CA9">
            <w:pPr>
              <w:jc w:val="center"/>
            </w:pPr>
            <w:r>
              <w:rPr>
                <w:rFonts w:eastAsiaTheme="minorEastAsia"/>
                <w:kern w:val="0"/>
                <w:szCs w:val="21"/>
              </w:rPr>
              <w:t>5</w:t>
            </w:r>
          </w:p>
        </w:tc>
        <w:tc>
          <w:tcPr>
            <w:tcW w:w="1276" w:type="dxa"/>
            <w:vAlign w:val="center"/>
          </w:tcPr>
          <w:p w:rsidR="001E33D0" w:rsidRDefault="00ED1CA9">
            <w:pPr>
              <w:jc w:val="center"/>
            </w:pPr>
            <w:r>
              <w:rPr>
                <w:rFonts w:eastAsiaTheme="minorEastAsia"/>
                <w:kern w:val="0"/>
                <w:szCs w:val="21"/>
              </w:rPr>
              <w:t>002271</w:t>
            </w:r>
          </w:p>
        </w:tc>
        <w:tc>
          <w:tcPr>
            <w:tcW w:w="1701" w:type="dxa"/>
            <w:vAlign w:val="center"/>
          </w:tcPr>
          <w:p w:rsidR="001E33D0" w:rsidRDefault="00ED1CA9">
            <w:pPr>
              <w:jc w:val="center"/>
            </w:pPr>
            <w:r>
              <w:rPr>
                <w:rFonts w:eastAsiaTheme="minorEastAsia"/>
                <w:kern w:val="0"/>
                <w:szCs w:val="21"/>
              </w:rPr>
              <w:t>东方雨虹</w:t>
            </w:r>
          </w:p>
        </w:tc>
        <w:tc>
          <w:tcPr>
            <w:tcW w:w="1276" w:type="dxa"/>
            <w:vAlign w:val="center"/>
          </w:tcPr>
          <w:p w:rsidR="001E33D0" w:rsidRDefault="00ED1CA9">
            <w:pPr>
              <w:jc w:val="right"/>
            </w:pPr>
            <w:r>
              <w:rPr>
                <w:rFonts w:eastAsiaTheme="minorEastAsia"/>
                <w:kern w:val="0"/>
                <w:szCs w:val="21"/>
              </w:rPr>
              <w:t>2,906,100</w:t>
            </w:r>
          </w:p>
        </w:tc>
        <w:tc>
          <w:tcPr>
            <w:tcW w:w="1842" w:type="dxa"/>
            <w:vAlign w:val="center"/>
          </w:tcPr>
          <w:p w:rsidR="001E33D0" w:rsidRDefault="00ED1CA9">
            <w:pPr>
              <w:jc w:val="right"/>
            </w:pPr>
            <w:r>
              <w:rPr>
                <w:rFonts w:eastAsiaTheme="minorEastAsia"/>
                <w:kern w:val="0"/>
                <w:szCs w:val="21"/>
              </w:rPr>
              <w:t>97,296,228.00</w:t>
            </w:r>
          </w:p>
        </w:tc>
        <w:tc>
          <w:tcPr>
            <w:tcW w:w="1616" w:type="dxa"/>
            <w:vAlign w:val="center"/>
          </w:tcPr>
          <w:p w:rsidR="001E33D0" w:rsidRDefault="00ED1CA9">
            <w:pPr>
              <w:jc w:val="right"/>
            </w:pPr>
            <w:r>
              <w:rPr>
                <w:rFonts w:eastAsiaTheme="minorEastAsia"/>
                <w:kern w:val="0"/>
                <w:szCs w:val="21"/>
              </w:rPr>
              <w:t>8.82</w:t>
            </w:r>
          </w:p>
        </w:tc>
      </w:tr>
      <w:tr w:rsidR="001E33D0">
        <w:tc>
          <w:tcPr>
            <w:tcW w:w="817" w:type="dxa"/>
            <w:vAlign w:val="center"/>
          </w:tcPr>
          <w:p w:rsidR="001E33D0" w:rsidRDefault="00ED1CA9">
            <w:pPr>
              <w:jc w:val="center"/>
            </w:pPr>
            <w:r>
              <w:rPr>
                <w:rFonts w:eastAsiaTheme="minorEastAsia"/>
                <w:kern w:val="0"/>
                <w:szCs w:val="21"/>
              </w:rPr>
              <w:t>6</w:t>
            </w:r>
          </w:p>
        </w:tc>
        <w:tc>
          <w:tcPr>
            <w:tcW w:w="1276" w:type="dxa"/>
            <w:vAlign w:val="center"/>
          </w:tcPr>
          <w:p w:rsidR="001E33D0" w:rsidRDefault="00ED1CA9">
            <w:pPr>
              <w:jc w:val="center"/>
            </w:pPr>
            <w:r>
              <w:rPr>
                <w:rFonts w:eastAsiaTheme="minorEastAsia"/>
                <w:kern w:val="0"/>
                <w:szCs w:val="21"/>
              </w:rPr>
              <w:t>000568</w:t>
            </w:r>
          </w:p>
        </w:tc>
        <w:tc>
          <w:tcPr>
            <w:tcW w:w="1701" w:type="dxa"/>
            <w:vAlign w:val="center"/>
          </w:tcPr>
          <w:p w:rsidR="001E33D0" w:rsidRDefault="00ED1CA9">
            <w:pPr>
              <w:jc w:val="center"/>
            </w:pPr>
            <w:r>
              <w:rPr>
                <w:rFonts w:eastAsiaTheme="minorEastAsia"/>
                <w:kern w:val="0"/>
                <w:szCs w:val="21"/>
              </w:rPr>
              <w:t>泸州老窖</w:t>
            </w:r>
          </w:p>
        </w:tc>
        <w:tc>
          <w:tcPr>
            <w:tcW w:w="1276" w:type="dxa"/>
            <w:vAlign w:val="center"/>
          </w:tcPr>
          <w:p w:rsidR="001E33D0" w:rsidRDefault="00ED1CA9">
            <w:pPr>
              <w:jc w:val="right"/>
            </w:pPr>
            <w:r>
              <w:rPr>
                <w:rFonts w:eastAsiaTheme="minorEastAsia"/>
                <w:kern w:val="0"/>
                <w:szCs w:val="21"/>
              </w:rPr>
              <w:t>365,949</w:t>
            </w:r>
          </w:p>
        </w:tc>
        <w:tc>
          <w:tcPr>
            <w:tcW w:w="1842" w:type="dxa"/>
            <w:vAlign w:val="center"/>
          </w:tcPr>
          <w:p w:rsidR="001E33D0" w:rsidRDefault="00ED1CA9">
            <w:pPr>
              <w:jc w:val="right"/>
            </w:pPr>
            <w:r>
              <w:rPr>
                <w:rFonts w:eastAsiaTheme="minorEastAsia"/>
                <w:kern w:val="0"/>
                <w:szCs w:val="21"/>
              </w:rPr>
              <w:t>93,240,145.71</w:t>
            </w:r>
          </w:p>
        </w:tc>
        <w:tc>
          <w:tcPr>
            <w:tcW w:w="1616" w:type="dxa"/>
            <w:vAlign w:val="center"/>
          </w:tcPr>
          <w:p w:rsidR="001E33D0" w:rsidRDefault="00ED1CA9">
            <w:pPr>
              <w:jc w:val="right"/>
            </w:pPr>
            <w:r>
              <w:rPr>
                <w:rFonts w:eastAsiaTheme="minorEastAsia"/>
                <w:kern w:val="0"/>
                <w:szCs w:val="21"/>
              </w:rPr>
              <w:t>8.45</w:t>
            </w:r>
          </w:p>
        </w:tc>
      </w:tr>
      <w:tr w:rsidR="001E33D0">
        <w:tc>
          <w:tcPr>
            <w:tcW w:w="817" w:type="dxa"/>
            <w:vAlign w:val="center"/>
          </w:tcPr>
          <w:p w:rsidR="001E33D0" w:rsidRDefault="00ED1CA9">
            <w:pPr>
              <w:jc w:val="center"/>
            </w:pPr>
            <w:r>
              <w:rPr>
                <w:rFonts w:eastAsiaTheme="minorEastAsia"/>
                <w:kern w:val="0"/>
                <w:szCs w:val="21"/>
              </w:rPr>
              <w:t>7</w:t>
            </w:r>
          </w:p>
        </w:tc>
        <w:tc>
          <w:tcPr>
            <w:tcW w:w="1276" w:type="dxa"/>
            <w:vAlign w:val="center"/>
          </w:tcPr>
          <w:p w:rsidR="001E33D0" w:rsidRDefault="00ED1CA9">
            <w:pPr>
              <w:jc w:val="center"/>
            </w:pPr>
            <w:r>
              <w:rPr>
                <w:rFonts w:eastAsiaTheme="minorEastAsia"/>
                <w:kern w:val="0"/>
                <w:szCs w:val="21"/>
              </w:rPr>
              <w:t>600975</w:t>
            </w:r>
          </w:p>
        </w:tc>
        <w:tc>
          <w:tcPr>
            <w:tcW w:w="1701" w:type="dxa"/>
            <w:vAlign w:val="center"/>
          </w:tcPr>
          <w:p w:rsidR="001E33D0" w:rsidRDefault="00ED1CA9">
            <w:pPr>
              <w:jc w:val="center"/>
            </w:pPr>
            <w:r>
              <w:rPr>
                <w:rFonts w:eastAsiaTheme="minorEastAsia"/>
                <w:kern w:val="0"/>
                <w:szCs w:val="21"/>
              </w:rPr>
              <w:t>新五丰</w:t>
            </w:r>
          </w:p>
        </w:tc>
        <w:tc>
          <w:tcPr>
            <w:tcW w:w="1276" w:type="dxa"/>
            <w:vAlign w:val="center"/>
          </w:tcPr>
          <w:p w:rsidR="001E33D0" w:rsidRDefault="00ED1CA9">
            <w:pPr>
              <w:jc w:val="right"/>
            </w:pPr>
            <w:r>
              <w:rPr>
                <w:rFonts w:eastAsiaTheme="minorEastAsia"/>
                <w:kern w:val="0"/>
                <w:szCs w:val="21"/>
              </w:rPr>
              <w:t>8,017,900</w:t>
            </w:r>
          </w:p>
        </w:tc>
        <w:tc>
          <w:tcPr>
            <w:tcW w:w="1842" w:type="dxa"/>
            <w:vAlign w:val="center"/>
          </w:tcPr>
          <w:p w:rsidR="001E33D0" w:rsidRDefault="00ED1CA9">
            <w:pPr>
              <w:jc w:val="right"/>
            </w:pPr>
            <w:r>
              <w:rPr>
                <w:rFonts w:eastAsiaTheme="minorEastAsia"/>
                <w:kern w:val="0"/>
                <w:szCs w:val="21"/>
              </w:rPr>
              <w:t>85,310,456.00</w:t>
            </w:r>
          </w:p>
        </w:tc>
        <w:tc>
          <w:tcPr>
            <w:tcW w:w="1616" w:type="dxa"/>
            <w:vAlign w:val="center"/>
          </w:tcPr>
          <w:p w:rsidR="001E33D0" w:rsidRDefault="00ED1CA9">
            <w:pPr>
              <w:jc w:val="right"/>
            </w:pPr>
            <w:r>
              <w:rPr>
                <w:rFonts w:eastAsiaTheme="minorEastAsia"/>
                <w:kern w:val="0"/>
                <w:szCs w:val="21"/>
              </w:rPr>
              <w:t>7.73</w:t>
            </w:r>
          </w:p>
        </w:tc>
      </w:tr>
      <w:tr w:rsidR="001E33D0">
        <w:tc>
          <w:tcPr>
            <w:tcW w:w="817" w:type="dxa"/>
            <w:vAlign w:val="center"/>
          </w:tcPr>
          <w:p w:rsidR="001E33D0" w:rsidRDefault="00ED1CA9">
            <w:pPr>
              <w:jc w:val="center"/>
            </w:pPr>
            <w:r>
              <w:rPr>
                <w:rFonts w:eastAsiaTheme="minorEastAsia"/>
                <w:kern w:val="0"/>
                <w:szCs w:val="21"/>
              </w:rPr>
              <w:lastRenderedPageBreak/>
              <w:t>8</w:t>
            </w:r>
          </w:p>
        </w:tc>
        <w:tc>
          <w:tcPr>
            <w:tcW w:w="1276" w:type="dxa"/>
            <w:vAlign w:val="center"/>
          </w:tcPr>
          <w:p w:rsidR="001E33D0" w:rsidRDefault="00ED1CA9">
            <w:pPr>
              <w:jc w:val="center"/>
            </w:pPr>
            <w:r>
              <w:rPr>
                <w:rFonts w:eastAsiaTheme="minorEastAsia"/>
                <w:kern w:val="0"/>
                <w:szCs w:val="21"/>
              </w:rPr>
              <w:t>002567</w:t>
            </w:r>
          </w:p>
        </w:tc>
        <w:tc>
          <w:tcPr>
            <w:tcW w:w="1701" w:type="dxa"/>
            <w:vAlign w:val="center"/>
          </w:tcPr>
          <w:p w:rsidR="001E33D0" w:rsidRDefault="00ED1CA9">
            <w:pPr>
              <w:jc w:val="center"/>
            </w:pPr>
            <w:r>
              <w:rPr>
                <w:rFonts w:eastAsiaTheme="minorEastAsia"/>
                <w:kern w:val="0"/>
                <w:szCs w:val="21"/>
              </w:rPr>
              <w:t>唐人神</w:t>
            </w:r>
          </w:p>
        </w:tc>
        <w:tc>
          <w:tcPr>
            <w:tcW w:w="1276" w:type="dxa"/>
            <w:vAlign w:val="center"/>
          </w:tcPr>
          <w:p w:rsidR="001E33D0" w:rsidRDefault="00ED1CA9">
            <w:pPr>
              <w:jc w:val="right"/>
            </w:pPr>
            <w:r>
              <w:rPr>
                <w:rFonts w:eastAsiaTheme="minorEastAsia"/>
                <w:kern w:val="0"/>
                <w:szCs w:val="21"/>
              </w:rPr>
              <w:t>10,411,789</w:t>
            </w:r>
          </w:p>
        </w:tc>
        <w:tc>
          <w:tcPr>
            <w:tcW w:w="1842" w:type="dxa"/>
            <w:vAlign w:val="center"/>
          </w:tcPr>
          <w:p w:rsidR="001E33D0" w:rsidRDefault="00ED1CA9">
            <w:pPr>
              <w:jc w:val="right"/>
            </w:pPr>
            <w:r>
              <w:rPr>
                <w:rFonts w:eastAsiaTheme="minorEastAsia"/>
                <w:kern w:val="0"/>
                <w:szCs w:val="21"/>
              </w:rPr>
              <w:t>84,960,198.24</w:t>
            </w:r>
          </w:p>
        </w:tc>
        <w:tc>
          <w:tcPr>
            <w:tcW w:w="1616" w:type="dxa"/>
            <w:vAlign w:val="center"/>
          </w:tcPr>
          <w:p w:rsidR="001E33D0" w:rsidRDefault="00ED1CA9">
            <w:pPr>
              <w:jc w:val="right"/>
            </w:pPr>
            <w:r>
              <w:rPr>
                <w:rFonts w:eastAsiaTheme="minorEastAsia"/>
                <w:kern w:val="0"/>
                <w:szCs w:val="21"/>
              </w:rPr>
              <w:t>7.70</w:t>
            </w:r>
          </w:p>
        </w:tc>
      </w:tr>
      <w:tr w:rsidR="001E33D0">
        <w:tc>
          <w:tcPr>
            <w:tcW w:w="817" w:type="dxa"/>
            <w:vAlign w:val="center"/>
          </w:tcPr>
          <w:p w:rsidR="001E33D0" w:rsidRDefault="00ED1CA9">
            <w:pPr>
              <w:jc w:val="center"/>
            </w:pPr>
            <w:r>
              <w:rPr>
                <w:rFonts w:eastAsiaTheme="minorEastAsia"/>
                <w:kern w:val="0"/>
                <w:szCs w:val="21"/>
              </w:rPr>
              <w:t>9</w:t>
            </w:r>
          </w:p>
        </w:tc>
        <w:tc>
          <w:tcPr>
            <w:tcW w:w="1276" w:type="dxa"/>
            <w:vAlign w:val="center"/>
          </w:tcPr>
          <w:p w:rsidR="001E33D0" w:rsidRDefault="00ED1CA9">
            <w:pPr>
              <w:jc w:val="center"/>
            </w:pPr>
            <w:r>
              <w:rPr>
                <w:rFonts w:eastAsiaTheme="minorEastAsia"/>
                <w:kern w:val="0"/>
                <w:szCs w:val="21"/>
              </w:rPr>
              <w:t>600519</w:t>
            </w:r>
          </w:p>
        </w:tc>
        <w:tc>
          <w:tcPr>
            <w:tcW w:w="1701" w:type="dxa"/>
            <w:vAlign w:val="center"/>
          </w:tcPr>
          <w:p w:rsidR="001E33D0" w:rsidRDefault="00ED1CA9">
            <w:pPr>
              <w:jc w:val="center"/>
            </w:pPr>
            <w:r>
              <w:rPr>
                <w:rFonts w:eastAsiaTheme="minorEastAsia"/>
                <w:kern w:val="0"/>
                <w:szCs w:val="21"/>
              </w:rPr>
              <w:t>贵州茅台</w:t>
            </w:r>
          </w:p>
        </w:tc>
        <w:tc>
          <w:tcPr>
            <w:tcW w:w="1276" w:type="dxa"/>
            <w:vAlign w:val="center"/>
          </w:tcPr>
          <w:p w:rsidR="001E33D0" w:rsidRDefault="00ED1CA9">
            <w:pPr>
              <w:jc w:val="right"/>
            </w:pPr>
            <w:r>
              <w:rPr>
                <w:rFonts w:eastAsiaTheme="minorEastAsia"/>
                <w:kern w:val="0"/>
                <w:szCs w:val="21"/>
              </w:rPr>
              <w:t>43,073</w:t>
            </w:r>
          </w:p>
        </w:tc>
        <w:tc>
          <w:tcPr>
            <w:tcW w:w="1842" w:type="dxa"/>
            <w:vAlign w:val="center"/>
          </w:tcPr>
          <w:p w:rsidR="001E33D0" w:rsidRDefault="00ED1CA9">
            <w:pPr>
              <w:jc w:val="right"/>
            </w:pPr>
            <w:r>
              <w:rPr>
                <w:rFonts w:eastAsiaTheme="minorEastAsia"/>
                <w:kern w:val="0"/>
                <w:szCs w:val="21"/>
              </w:rPr>
              <w:t>78,392,860.00</w:t>
            </w:r>
          </w:p>
        </w:tc>
        <w:tc>
          <w:tcPr>
            <w:tcW w:w="1616" w:type="dxa"/>
            <w:vAlign w:val="center"/>
          </w:tcPr>
          <w:p w:rsidR="001E33D0" w:rsidRDefault="00ED1CA9">
            <w:pPr>
              <w:jc w:val="right"/>
            </w:pPr>
            <w:r>
              <w:rPr>
                <w:rFonts w:eastAsiaTheme="minorEastAsia"/>
                <w:kern w:val="0"/>
                <w:szCs w:val="21"/>
              </w:rPr>
              <w:t>7.10</w:t>
            </w:r>
          </w:p>
        </w:tc>
      </w:tr>
      <w:tr w:rsidR="001E33D0">
        <w:tc>
          <w:tcPr>
            <w:tcW w:w="817" w:type="dxa"/>
            <w:vAlign w:val="center"/>
          </w:tcPr>
          <w:p w:rsidR="001E33D0" w:rsidRDefault="00ED1CA9">
            <w:pPr>
              <w:jc w:val="center"/>
            </w:pPr>
            <w:r>
              <w:rPr>
                <w:rFonts w:eastAsiaTheme="minorEastAsia"/>
                <w:kern w:val="0"/>
                <w:szCs w:val="21"/>
              </w:rPr>
              <w:t>10</w:t>
            </w:r>
          </w:p>
        </w:tc>
        <w:tc>
          <w:tcPr>
            <w:tcW w:w="1276" w:type="dxa"/>
            <w:vAlign w:val="center"/>
          </w:tcPr>
          <w:p w:rsidR="001E33D0" w:rsidRDefault="00ED1CA9">
            <w:pPr>
              <w:jc w:val="center"/>
            </w:pPr>
            <w:r>
              <w:rPr>
                <w:rFonts w:eastAsiaTheme="minorEastAsia"/>
                <w:kern w:val="0"/>
                <w:szCs w:val="21"/>
              </w:rPr>
              <w:t>603027</w:t>
            </w:r>
          </w:p>
        </w:tc>
        <w:tc>
          <w:tcPr>
            <w:tcW w:w="1701" w:type="dxa"/>
            <w:vAlign w:val="center"/>
          </w:tcPr>
          <w:p w:rsidR="001E33D0" w:rsidRDefault="00ED1CA9">
            <w:pPr>
              <w:jc w:val="center"/>
            </w:pPr>
            <w:r>
              <w:rPr>
                <w:rFonts w:eastAsiaTheme="minorEastAsia"/>
                <w:kern w:val="0"/>
                <w:szCs w:val="21"/>
              </w:rPr>
              <w:t>千禾味业</w:t>
            </w:r>
          </w:p>
        </w:tc>
        <w:tc>
          <w:tcPr>
            <w:tcW w:w="1276" w:type="dxa"/>
            <w:vAlign w:val="center"/>
          </w:tcPr>
          <w:p w:rsidR="001E33D0" w:rsidRDefault="00ED1CA9">
            <w:pPr>
              <w:jc w:val="right"/>
            </w:pPr>
            <w:r>
              <w:rPr>
                <w:rFonts w:eastAsiaTheme="minorEastAsia"/>
                <w:kern w:val="0"/>
                <w:szCs w:val="21"/>
              </w:rPr>
              <w:t>3,171,919</w:t>
            </w:r>
          </w:p>
        </w:tc>
        <w:tc>
          <w:tcPr>
            <w:tcW w:w="1842" w:type="dxa"/>
            <w:vAlign w:val="center"/>
          </w:tcPr>
          <w:p w:rsidR="001E33D0" w:rsidRDefault="00ED1CA9">
            <w:pPr>
              <w:jc w:val="right"/>
            </w:pPr>
            <w:r>
              <w:rPr>
                <w:rFonts w:eastAsiaTheme="minorEastAsia"/>
                <w:kern w:val="0"/>
                <w:szCs w:val="21"/>
              </w:rPr>
              <w:t>75,935,740.86</w:t>
            </w:r>
          </w:p>
        </w:tc>
        <w:tc>
          <w:tcPr>
            <w:tcW w:w="1616" w:type="dxa"/>
            <w:vAlign w:val="center"/>
          </w:tcPr>
          <w:p w:rsidR="001E33D0" w:rsidRDefault="00ED1CA9">
            <w:pPr>
              <w:jc w:val="right"/>
            </w:pPr>
            <w:r>
              <w:rPr>
                <w:rFonts w:eastAsiaTheme="minorEastAsia"/>
                <w:kern w:val="0"/>
                <w:szCs w:val="21"/>
              </w:rPr>
              <w:t>6.88</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247,550.72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28,713,530.73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1,989,206.90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30,950,288.35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87,948,702.01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75,561,123.79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82,752,728.15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93,447,437.80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9,348,681.57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62,080,581.55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161,352,748.59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106,927,980.04</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1E33D0">
        <w:tc>
          <w:tcPr>
            <w:tcW w:w="993" w:type="dxa"/>
            <w:vMerge w:val="restart"/>
            <w:vAlign w:val="center"/>
          </w:tcPr>
          <w:p w:rsidR="001E33D0" w:rsidRDefault="00ED1CA9">
            <w:r>
              <w:rPr>
                <w:bCs/>
                <w:color w:val="000000"/>
                <w:kern w:val="0"/>
                <w:szCs w:val="21"/>
              </w:rPr>
              <w:t>机构</w:t>
            </w:r>
          </w:p>
        </w:tc>
        <w:tc>
          <w:tcPr>
            <w:tcW w:w="992" w:type="dxa"/>
            <w:vAlign w:val="center"/>
          </w:tcPr>
          <w:p w:rsidR="001E33D0" w:rsidRDefault="00ED1CA9">
            <w:pPr>
              <w:jc w:val="center"/>
            </w:pPr>
            <w:r>
              <w:rPr>
                <w:color w:val="000000"/>
                <w:kern w:val="0"/>
                <w:szCs w:val="21"/>
              </w:rPr>
              <w:t>1</w:t>
            </w:r>
          </w:p>
        </w:tc>
        <w:tc>
          <w:tcPr>
            <w:tcW w:w="1843" w:type="dxa"/>
            <w:vAlign w:val="center"/>
          </w:tcPr>
          <w:p w:rsidR="001E33D0" w:rsidRDefault="00ED1CA9">
            <w:pPr>
              <w:jc w:val="center"/>
            </w:pPr>
            <w:r>
              <w:rPr>
                <w:color w:val="000000"/>
                <w:kern w:val="0"/>
                <w:szCs w:val="21"/>
              </w:rPr>
              <w:t>20230101-20230331</w:t>
            </w:r>
          </w:p>
        </w:tc>
        <w:tc>
          <w:tcPr>
            <w:tcW w:w="851" w:type="dxa"/>
            <w:vAlign w:val="center"/>
          </w:tcPr>
          <w:p w:rsidR="001E33D0" w:rsidRDefault="00ED1CA9">
            <w:pPr>
              <w:jc w:val="center"/>
            </w:pPr>
            <w:r>
              <w:rPr>
                <w:color w:val="000000"/>
                <w:kern w:val="0"/>
                <w:szCs w:val="21"/>
              </w:rPr>
              <w:t>38,630,264.99</w:t>
            </w:r>
          </w:p>
        </w:tc>
        <w:tc>
          <w:tcPr>
            <w:tcW w:w="850" w:type="dxa"/>
            <w:vAlign w:val="center"/>
          </w:tcPr>
          <w:p w:rsidR="001E33D0" w:rsidRDefault="00ED1CA9">
            <w:pPr>
              <w:jc w:val="center"/>
            </w:pPr>
            <w:r>
              <w:rPr>
                <w:color w:val="000000"/>
                <w:kern w:val="0"/>
                <w:szCs w:val="21"/>
              </w:rPr>
              <w:t>43,404,228.97</w:t>
            </w:r>
          </w:p>
        </w:tc>
        <w:tc>
          <w:tcPr>
            <w:tcW w:w="1134" w:type="dxa"/>
            <w:vAlign w:val="center"/>
          </w:tcPr>
          <w:p w:rsidR="001E33D0" w:rsidRDefault="00ED1CA9">
            <w:pPr>
              <w:jc w:val="center"/>
            </w:pPr>
            <w:r>
              <w:rPr>
                <w:color w:val="000000"/>
                <w:kern w:val="0"/>
                <w:szCs w:val="21"/>
              </w:rPr>
              <w:t>27,416,741.17</w:t>
            </w:r>
          </w:p>
        </w:tc>
        <w:tc>
          <w:tcPr>
            <w:tcW w:w="1419" w:type="dxa"/>
            <w:vAlign w:val="center"/>
          </w:tcPr>
          <w:p w:rsidR="001E33D0" w:rsidRDefault="00ED1CA9">
            <w:pPr>
              <w:jc w:val="center"/>
            </w:pPr>
            <w:r>
              <w:rPr>
                <w:color w:val="000000"/>
                <w:kern w:val="0"/>
                <w:szCs w:val="21"/>
              </w:rPr>
              <w:t>54,617,752.79</w:t>
            </w:r>
          </w:p>
        </w:tc>
        <w:tc>
          <w:tcPr>
            <w:tcW w:w="1130" w:type="dxa"/>
            <w:vAlign w:val="center"/>
          </w:tcPr>
          <w:p w:rsidR="001E33D0" w:rsidRDefault="00ED1CA9">
            <w:pPr>
              <w:jc w:val="center"/>
            </w:pPr>
            <w:r>
              <w:rPr>
                <w:color w:val="000000"/>
                <w:kern w:val="0"/>
                <w:szCs w:val="21"/>
              </w:rPr>
              <w:t>20.36%</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1E33D0" w:rsidRDefault="00ED1CA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rsidR="001E33D0" w:rsidRDefault="00ED1CA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摩根健康品质生活混合型证券投资基金基金合同</w:t>
      </w:r>
    </w:p>
    <w:p w:rsidR="001E33D0" w:rsidRDefault="00ED1CA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摩根健康品质生活混合型证券投资基金托管协议</w:t>
      </w:r>
    </w:p>
    <w:p w:rsidR="001E33D0" w:rsidRDefault="00ED1CA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rsidR="001E33D0" w:rsidRDefault="00ED1CA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rsidR="001E33D0" w:rsidRDefault="00ED1CA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rsidR="001E33D0" w:rsidRDefault="00ED1CA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 xml:space="preserve">) </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lastRenderedPageBreak/>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二〇二三年四月二十一日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D1CA9">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D1CA9">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ED1CA9">
      <w:rPr>
        <w:rStyle w:val="af6"/>
        <w:noProof/>
      </w:rPr>
      <w:t>5</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摩根健康品质生活混合型证券投资基金</w:t>
    </w:r>
    <w:r>
      <w:t>2023</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E33D0"/>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1CA9"/>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33580F-398E-401D-B6A2-F97BF8F6C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15</Pages>
  <Words>1306</Words>
  <Characters>7449</Characters>
  <Application>Microsoft Office Word</Application>
  <DocSecurity>0</DocSecurity>
  <Lines>62</Lines>
  <Paragraphs>17</Paragraphs>
  <ScaleCrop>false</ScaleCrop>
  <Company>TRT. Ltd. Co.</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219</cp:revision>
  <cp:lastPrinted>2007-07-19T00:46:00Z</cp:lastPrinted>
  <dcterms:created xsi:type="dcterms:W3CDTF">2013-06-21T06:56:00Z</dcterms:created>
  <dcterms:modified xsi:type="dcterms:W3CDTF">2023-04-20T05:32:00Z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