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摩根健康品质生活混合型证券投资基金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5A71B6" w:rsidRDefault="003B5D9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A71B6" w:rsidRDefault="003B5D9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A71B6" w:rsidRDefault="003B5D9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A71B6" w:rsidRDefault="003B5D9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A71B6" w:rsidRDefault="003B5D9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摩根健康品质生活混合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377150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2012</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397,737,418.71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本基金主要投资于有利于提升居民健康水平和生活品质的行业及公司，力争把握经济结构调整和消费升级所带来的投资机会。在严格控制风险的前提下，追求基金资产的长期稳定增值。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5A71B6" w:rsidRDefault="003B5D9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5A71B6" w:rsidRDefault="003B5D9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rsidR="005A71B6" w:rsidRDefault="003B5D9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影响资产收益的关键驱动因素主要包括基本面和流动性。基本面驱动，主要指在经济周期和通胀周期影响下，业绩增长、利率环境、通胀预期等因素的变动；流动性驱动主要体现为货币市场环境变动的影响，具体包括汇率变动、流动性结构变动等。随着各类资产风险收益特征的相对变化，本基金将适时动态地调整股票、债券和货币市场工具的投资比例。</w:t>
            </w:r>
          </w:p>
          <w:p w:rsidR="005A71B6" w:rsidRDefault="003B5D9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5A71B6" w:rsidRDefault="003B5D9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人类的需求主要来自于两方面：一是延长生命长度，提升健康水平；二是拓展生命宽度，提高生活品质。随着居民收入水平的提升、城镇化进程的推进以及社会保障体制的完善，居民的各方面需求将逐步释放，尤其是对于身体健康和生活品质的要求会逐步提高，由此带来对相关产品和服务的需求的增加，并推动提供此类产品和服务的上市公司的快速成长。本基金将围绕健康生活与品质生活这两大主题，重点关注有利于提升民众健康水平以及物质生活和精神生活质量的行业和个股。</w:t>
            </w:r>
          </w:p>
          <w:p w:rsidR="005A71B6" w:rsidRDefault="003B5D9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5A71B6" w:rsidRDefault="003B5D9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在类属配置层次，结合对宏观经济、市场利率、债券供求等因素的综合分析，根据交易所市场与银行间市场类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、其他投资策略</w:t>
            </w: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包括可转换债券投资策略、权证投资策略、存托凭证投资策略。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A71B6" w:rsidRDefault="003B5D9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主动投资的混合型基金，主要投资于有利于提升居民健康水平和生活品质的行业和公司，属于主题类混合型基金，预期风险和收益高于债券型基金和货币市场基金，低于股票型基金，属于较高风险、较高预期收益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377150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015346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251,751,455.45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145,985,963.26</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-12,394,920.37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-8,390,452.17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-36,047,716.29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-16,263,220.72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-0.1542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-0.1024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861,697,427.42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495,909,405.85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3.4228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3.3970</w:t>
            </w:r>
          </w:p>
        </w:tc>
      </w:tr>
    </w:tbl>
    <w:p w:rsidR="005A71B6" w:rsidRDefault="003B5D9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摩根健康品质生活混合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A71B6">
        <w:tc>
          <w:tcPr>
            <w:tcW w:w="1290" w:type="dxa"/>
            <w:vAlign w:val="center"/>
          </w:tcPr>
          <w:p w:rsidR="005A71B6" w:rsidRDefault="003B5D91">
            <w:pPr>
              <w:jc w:val="left"/>
            </w:pPr>
            <w:r>
              <w:rPr>
                <w:rFonts w:eastAsiaTheme="minorEastAsia"/>
                <w:color w:val="000000" w:themeColor="text1"/>
                <w:szCs w:val="21"/>
              </w:rPr>
              <w:t>过去三个月</w:t>
            </w:r>
          </w:p>
        </w:tc>
        <w:tc>
          <w:tcPr>
            <w:tcW w:w="1291" w:type="dxa"/>
            <w:vAlign w:val="center"/>
          </w:tcPr>
          <w:p w:rsidR="005A71B6" w:rsidRDefault="003B5D91">
            <w:pPr>
              <w:jc w:val="right"/>
            </w:pPr>
            <w:r>
              <w:rPr>
                <w:rFonts w:eastAsiaTheme="minorEastAsia"/>
                <w:color w:val="000000" w:themeColor="text1"/>
                <w:szCs w:val="21"/>
              </w:rPr>
              <w:t>-3.36%</w:t>
            </w:r>
          </w:p>
        </w:tc>
        <w:tc>
          <w:tcPr>
            <w:tcW w:w="1291" w:type="dxa"/>
            <w:vAlign w:val="center"/>
          </w:tcPr>
          <w:p w:rsidR="005A71B6" w:rsidRDefault="003B5D91">
            <w:pPr>
              <w:jc w:val="right"/>
            </w:pPr>
            <w:r>
              <w:rPr>
                <w:rFonts w:eastAsiaTheme="minorEastAsia"/>
                <w:color w:val="000000" w:themeColor="text1"/>
                <w:szCs w:val="21"/>
              </w:rPr>
              <w:t>1.28%</w:t>
            </w:r>
          </w:p>
        </w:tc>
        <w:tc>
          <w:tcPr>
            <w:tcW w:w="1291" w:type="dxa"/>
            <w:vAlign w:val="center"/>
          </w:tcPr>
          <w:p w:rsidR="005A71B6" w:rsidRDefault="003B5D91">
            <w:pPr>
              <w:jc w:val="right"/>
            </w:pPr>
            <w:r>
              <w:rPr>
                <w:rFonts w:eastAsiaTheme="minorEastAsia"/>
                <w:color w:val="000000" w:themeColor="text1"/>
                <w:szCs w:val="21"/>
              </w:rPr>
              <w:t>-3.26%</w:t>
            </w:r>
          </w:p>
        </w:tc>
        <w:tc>
          <w:tcPr>
            <w:tcW w:w="1291" w:type="dxa"/>
            <w:vAlign w:val="center"/>
          </w:tcPr>
          <w:p w:rsidR="005A71B6" w:rsidRDefault="003B5D91">
            <w:pPr>
              <w:jc w:val="right"/>
            </w:pPr>
            <w:r>
              <w:rPr>
                <w:rFonts w:eastAsiaTheme="minorEastAsia"/>
                <w:color w:val="000000" w:themeColor="text1"/>
                <w:szCs w:val="21"/>
              </w:rPr>
              <w:t>0.77%</w:t>
            </w:r>
          </w:p>
        </w:tc>
        <w:tc>
          <w:tcPr>
            <w:tcW w:w="1291" w:type="dxa"/>
            <w:vAlign w:val="center"/>
          </w:tcPr>
          <w:p w:rsidR="005A71B6" w:rsidRDefault="003B5D91">
            <w:pPr>
              <w:jc w:val="right"/>
            </w:pPr>
            <w:r>
              <w:rPr>
                <w:rFonts w:eastAsiaTheme="minorEastAsia"/>
                <w:color w:val="000000" w:themeColor="text1"/>
                <w:szCs w:val="21"/>
              </w:rPr>
              <w:t>-0.10%</w:t>
            </w:r>
          </w:p>
        </w:tc>
        <w:tc>
          <w:tcPr>
            <w:tcW w:w="1291" w:type="dxa"/>
            <w:vAlign w:val="center"/>
          </w:tcPr>
          <w:p w:rsidR="005A71B6" w:rsidRDefault="003B5D91">
            <w:pPr>
              <w:jc w:val="right"/>
            </w:pPr>
            <w:r>
              <w:rPr>
                <w:rFonts w:eastAsiaTheme="minorEastAsia"/>
                <w:color w:val="000000" w:themeColor="text1"/>
                <w:szCs w:val="21"/>
              </w:rPr>
              <w:t>0.51%</w:t>
            </w:r>
          </w:p>
        </w:tc>
      </w:tr>
      <w:tr w:rsidR="005A71B6">
        <w:tc>
          <w:tcPr>
            <w:tcW w:w="1290" w:type="dxa"/>
            <w:vAlign w:val="center"/>
          </w:tcPr>
          <w:p w:rsidR="005A71B6" w:rsidRDefault="003B5D91">
            <w:pPr>
              <w:jc w:val="left"/>
            </w:pPr>
            <w:r>
              <w:rPr>
                <w:rFonts w:eastAsiaTheme="minorEastAsia"/>
                <w:color w:val="000000" w:themeColor="text1"/>
                <w:szCs w:val="21"/>
              </w:rPr>
              <w:t>过去六个月</w:t>
            </w:r>
          </w:p>
        </w:tc>
        <w:tc>
          <w:tcPr>
            <w:tcW w:w="1291" w:type="dxa"/>
            <w:vAlign w:val="center"/>
          </w:tcPr>
          <w:p w:rsidR="005A71B6" w:rsidRDefault="003B5D91">
            <w:pPr>
              <w:jc w:val="right"/>
            </w:pPr>
            <w:r>
              <w:rPr>
                <w:rFonts w:eastAsiaTheme="minorEastAsia"/>
                <w:color w:val="000000" w:themeColor="text1"/>
                <w:szCs w:val="21"/>
              </w:rPr>
              <w:t>-16.95%</w:t>
            </w:r>
          </w:p>
        </w:tc>
        <w:tc>
          <w:tcPr>
            <w:tcW w:w="1291" w:type="dxa"/>
            <w:vAlign w:val="center"/>
          </w:tcPr>
          <w:p w:rsidR="005A71B6" w:rsidRDefault="003B5D91">
            <w:pPr>
              <w:jc w:val="right"/>
            </w:pPr>
            <w:r>
              <w:rPr>
                <w:rFonts w:eastAsiaTheme="minorEastAsia"/>
                <w:color w:val="000000" w:themeColor="text1"/>
                <w:szCs w:val="21"/>
              </w:rPr>
              <w:t>1.25%</w:t>
            </w:r>
          </w:p>
        </w:tc>
        <w:tc>
          <w:tcPr>
            <w:tcW w:w="1291" w:type="dxa"/>
            <w:vAlign w:val="center"/>
          </w:tcPr>
          <w:p w:rsidR="005A71B6" w:rsidRDefault="003B5D91">
            <w:pPr>
              <w:jc w:val="right"/>
            </w:pPr>
            <w:r>
              <w:rPr>
                <w:rFonts w:eastAsiaTheme="minorEastAsia"/>
                <w:color w:val="000000" w:themeColor="text1"/>
                <w:szCs w:val="21"/>
              </w:rPr>
              <w:t>-7.25%</w:t>
            </w:r>
          </w:p>
        </w:tc>
        <w:tc>
          <w:tcPr>
            <w:tcW w:w="1291" w:type="dxa"/>
            <w:vAlign w:val="center"/>
          </w:tcPr>
          <w:p w:rsidR="005A71B6" w:rsidRDefault="003B5D91">
            <w:pPr>
              <w:jc w:val="right"/>
            </w:pPr>
            <w:r>
              <w:rPr>
                <w:rFonts w:eastAsiaTheme="minorEastAsia"/>
                <w:color w:val="000000" w:themeColor="text1"/>
                <w:szCs w:val="21"/>
              </w:rPr>
              <w:t>0.74%</w:t>
            </w:r>
          </w:p>
        </w:tc>
        <w:tc>
          <w:tcPr>
            <w:tcW w:w="1291" w:type="dxa"/>
            <w:vAlign w:val="center"/>
          </w:tcPr>
          <w:p w:rsidR="005A71B6" w:rsidRDefault="003B5D91">
            <w:pPr>
              <w:jc w:val="right"/>
            </w:pPr>
            <w:r>
              <w:rPr>
                <w:rFonts w:eastAsiaTheme="minorEastAsia"/>
                <w:color w:val="000000" w:themeColor="text1"/>
                <w:szCs w:val="21"/>
              </w:rPr>
              <w:t>-9.70%</w:t>
            </w:r>
          </w:p>
        </w:tc>
        <w:tc>
          <w:tcPr>
            <w:tcW w:w="1291" w:type="dxa"/>
            <w:vAlign w:val="center"/>
          </w:tcPr>
          <w:p w:rsidR="005A71B6" w:rsidRDefault="003B5D91">
            <w:pPr>
              <w:jc w:val="right"/>
            </w:pPr>
            <w:r>
              <w:rPr>
                <w:rFonts w:eastAsiaTheme="minorEastAsia"/>
                <w:color w:val="000000" w:themeColor="text1"/>
                <w:szCs w:val="21"/>
              </w:rPr>
              <w:t>0.51%</w:t>
            </w:r>
          </w:p>
        </w:tc>
      </w:tr>
      <w:tr w:rsidR="005A71B6">
        <w:tc>
          <w:tcPr>
            <w:tcW w:w="1290" w:type="dxa"/>
            <w:vAlign w:val="center"/>
          </w:tcPr>
          <w:p w:rsidR="005A71B6" w:rsidRDefault="003B5D91">
            <w:pPr>
              <w:jc w:val="left"/>
            </w:pPr>
            <w:r>
              <w:rPr>
                <w:rFonts w:eastAsiaTheme="minorEastAsia"/>
                <w:color w:val="000000" w:themeColor="text1"/>
                <w:szCs w:val="21"/>
              </w:rPr>
              <w:t>过去一年</w:t>
            </w:r>
          </w:p>
        </w:tc>
        <w:tc>
          <w:tcPr>
            <w:tcW w:w="1291" w:type="dxa"/>
            <w:vAlign w:val="center"/>
          </w:tcPr>
          <w:p w:rsidR="005A71B6" w:rsidRDefault="003B5D91">
            <w:pPr>
              <w:jc w:val="right"/>
            </w:pPr>
            <w:r>
              <w:rPr>
                <w:rFonts w:eastAsiaTheme="minorEastAsia"/>
                <w:color w:val="000000" w:themeColor="text1"/>
                <w:szCs w:val="21"/>
              </w:rPr>
              <w:t>-7.88%</w:t>
            </w:r>
          </w:p>
        </w:tc>
        <w:tc>
          <w:tcPr>
            <w:tcW w:w="1291" w:type="dxa"/>
            <w:vAlign w:val="center"/>
          </w:tcPr>
          <w:p w:rsidR="005A71B6" w:rsidRDefault="003B5D91">
            <w:pPr>
              <w:jc w:val="right"/>
            </w:pPr>
            <w:r>
              <w:rPr>
                <w:rFonts w:eastAsiaTheme="minorEastAsia"/>
                <w:color w:val="000000" w:themeColor="text1"/>
                <w:szCs w:val="21"/>
              </w:rPr>
              <w:t>1.39%</w:t>
            </w:r>
          </w:p>
        </w:tc>
        <w:tc>
          <w:tcPr>
            <w:tcW w:w="1291" w:type="dxa"/>
            <w:vAlign w:val="center"/>
          </w:tcPr>
          <w:p w:rsidR="005A71B6" w:rsidRDefault="003B5D91">
            <w:pPr>
              <w:jc w:val="right"/>
            </w:pPr>
            <w:r>
              <w:rPr>
                <w:rFonts w:eastAsiaTheme="minorEastAsia"/>
                <w:color w:val="000000" w:themeColor="text1"/>
                <w:szCs w:val="21"/>
              </w:rPr>
              <w:t>-2.08%</w:t>
            </w:r>
          </w:p>
        </w:tc>
        <w:tc>
          <w:tcPr>
            <w:tcW w:w="1291" w:type="dxa"/>
            <w:vAlign w:val="center"/>
          </w:tcPr>
          <w:p w:rsidR="005A71B6" w:rsidRDefault="003B5D91">
            <w:pPr>
              <w:jc w:val="right"/>
            </w:pPr>
            <w:r>
              <w:rPr>
                <w:rFonts w:eastAsiaTheme="minorEastAsia"/>
                <w:color w:val="000000" w:themeColor="text1"/>
                <w:szCs w:val="21"/>
              </w:rPr>
              <w:t>0.84%</w:t>
            </w:r>
          </w:p>
        </w:tc>
        <w:tc>
          <w:tcPr>
            <w:tcW w:w="1291" w:type="dxa"/>
            <w:vAlign w:val="center"/>
          </w:tcPr>
          <w:p w:rsidR="005A71B6" w:rsidRDefault="003B5D91">
            <w:pPr>
              <w:jc w:val="right"/>
            </w:pPr>
            <w:r>
              <w:rPr>
                <w:rFonts w:eastAsiaTheme="minorEastAsia"/>
                <w:color w:val="000000" w:themeColor="text1"/>
                <w:szCs w:val="21"/>
              </w:rPr>
              <w:t>-5.80%</w:t>
            </w:r>
          </w:p>
        </w:tc>
        <w:tc>
          <w:tcPr>
            <w:tcW w:w="1291" w:type="dxa"/>
            <w:vAlign w:val="center"/>
          </w:tcPr>
          <w:p w:rsidR="005A71B6" w:rsidRDefault="003B5D91">
            <w:pPr>
              <w:jc w:val="right"/>
            </w:pPr>
            <w:r>
              <w:rPr>
                <w:rFonts w:eastAsiaTheme="minorEastAsia"/>
                <w:color w:val="000000" w:themeColor="text1"/>
                <w:szCs w:val="21"/>
              </w:rPr>
              <w:t>0.55%</w:t>
            </w:r>
          </w:p>
        </w:tc>
      </w:tr>
      <w:tr w:rsidR="005A71B6">
        <w:tc>
          <w:tcPr>
            <w:tcW w:w="1290" w:type="dxa"/>
            <w:vAlign w:val="center"/>
          </w:tcPr>
          <w:p w:rsidR="005A71B6" w:rsidRDefault="003B5D91">
            <w:pPr>
              <w:jc w:val="left"/>
            </w:pPr>
            <w:r>
              <w:rPr>
                <w:rFonts w:eastAsiaTheme="minorEastAsia"/>
                <w:color w:val="000000" w:themeColor="text1"/>
                <w:szCs w:val="21"/>
              </w:rPr>
              <w:t>过去三年</w:t>
            </w:r>
          </w:p>
        </w:tc>
        <w:tc>
          <w:tcPr>
            <w:tcW w:w="1291" w:type="dxa"/>
            <w:vAlign w:val="center"/>
          </w:tcPr>
          <w:p w:rsidR="005A71B6" w:rsidRDefault="003B5D91">
            <w:pPr>
              <w:jc w:val="right"/>
            </w:pPr>
            <w:r>
              <w:rPr>
                <w:rFonts w:eastAsiaTheme="minorEastAsia"/>
                <w:color w:val="000000" w:themeColor="text1"/>
                <w:szCs w:val="21"/>
              </w:rPr>
              <w:t>-2.49%</w:t>
            </w:r>
          </w:p>
        </w:tc>
        <w:tc>
          <w:tcPr>
            <w:tcW w:w="1291" w:type="dxa"/>
            <w:vAlign w:val="center"/>
          </w:tcPr>
          <w:p w:rsidR="005A71B6" w:rsidRDefault="003B5D91">
            <w:pPr>
              <w:jc w:val="right"/>
            </w:pPr>
            <w:r>
              <w:rPr>
                <w:rFonts w:eastAsiaTheme="minorEastAsia"/>
                <w:color w:val="000000" w:themeColor="text1"/>
                <w:szCs w:val="21"/>
              </w:rPr>
              <w:t>1.51%</w:t>
            </w:r>
          </w:p>
        </w:tc>
        <w:tc>
          <w:tcPr>
            <w:tcW w:w="1291" w:type="dxa"/>
            <w:vAlign w:val="center"/>
          </w:tcPr>
          <w:p w:rsidR="005A71B6" w:rsidRDefault="003B5D91">
            <w:pPr>
              <w:jc w:val="right"/>
            </w:pPr>
            <w:r>
              <w:rPr>
                <w:rFonts w:eastAsiaTheme="minorEastAsia"/>
                <w:color w:val="000000" w:themeColor="text1"/>
                <w:szCs w:val="21"/>
              </w:rPr>
              <w:t>-14.88%</w:t>
            </w:r>
          </w:p>
        </w:tc>
        <w:tc>
          <w:tcPr>
            <w:tcW w:w="1291" w:type="dxa"/>
            <w:vAlign w:val="center"/>
          </w:tcPr>
          <w:p w:rsidR="005A71B6" w:rsidRDefault="003B5D91">
            <w:pPr>
              <w:jc w:val="right"/>
            </w:pPr>
            <w:r>
              <w:rPr>
                <w:rFonts w:eastAsiaTheme="minorEastAsia"/>
                <w:color w:val="000000" w:themeColor="text1"/>
                <w:szCs w:val="21"/>
              </w:rPr>
              <w:t>0.96%</w:t>
            </w:r>
          </w:p>
        </w:tc>
        <w:tc>
          <w:tcPr>
            <w:tcW w:w="1291" w:type="dxa"/>
            <w:vAlign w:val="center"/>
          </w:tcPr>
          <w:p w:rsidR="005A71B6" w:rsidRDefault="003B5D91">
            <w:pPr>
              <w:jc w:val="right"/>
            </w:pPr>
            <w:r>
              <w:rPr>
                <w:rFonts w:eastAsiaTheme="minorEastAsia"/>
                <w:color w:val="000000" w:themeColor="text1"/>
                <w:szCs w:val="21"/>
              </w:rPr>
              <w:t>12.39%</w:t>
            </w:r>
          </w:p>
        </w:tc>
        <w:tc>
          <w:tcPr>
            <w:tcW w:w="1291" w:type="dxa"/>
            <w:vAlign w:val="center"/>
          </w:tcPr>
          <w:p w:rsidR="005A71B6" w:rsidRDefault="003B5D91">
            <w:pPr>
              <w:jc w:val="right"/>
            </w:pPr>
            <w:r>
              <w:rPr>
                <w:rFonts w:eastAsiaTheme="minorEastAsia"/>
                <w:color w:val="000000" w:themeColor="text1"/>
                <w:szCs w:val="21"/>
              </w:rPr>
              <w:t>0.55%</w:t>
            </w:r>
          </w:p>
        </w:tc>
      </w:tr>
      <w:tr w:rsidR="005A71B6">
        <w:tc>
          <w:tcPr>
            <w:tcW w:w="1290" w:type="dxa"/>
            <w:vAlign w:val="center"/>
          </w:tcPr>
          <w:p w:rsidR="005A71B6" w:rsidRDefault="003B5D91">
            <w:pPr>
              <w:jc w:val="left"/>
            </w:pPr>
            <w:r>
              <w:rPr>
                <w:rFonts w:eastAsiaTheme="minorEastAsia"/>
                <w:color w:val="000000" w:themeColor="text1"/>
                <w:szCs w:val="21"/>
              </w:rPr>
              <w:t>过去五年</w:t>
            </w:r>
          </w:p>
        </w:tc>
        <w:tc>
          <w:tcPr>
            <w:tcW w:w="1291" w:type="dxa"/>
            <w:vAlign w:val="center"/>
          </w:tcPr>
          <w:p w:rsidR="005A71B6" w:rsidRDefault="003B5D91">
            <w:pPr>
              <w:jc w:val="right"/>
            </w:pPr>
            <w:r>
              <w:rPr>
                <w:rFonts w:eastAsiaTheme="minorEastAsia"/>
                <w:color w:val="000000" w:themeColor="text1"/>
                <w:szCs w:val="21"/>
              </w:rPr>
              <w:t>88.90%</w:t>
            </w:r>
          </w:p>
        </w:tc>
        <w:tc>
          <w:tcPr>
            <w:tcW w:w="1291" w:type="dxa"/>
            <w:vAlign w:val="center"/>
          </w:tcPr>
          <w:p w:rsidR="005A71B6" w:rsidRDefault="003B5D91">
            <w:pPr>
              <w:jc w:val="right"/>
            </w:pPr>
            <w:r>
              <w:rPr>
                <w:rFonts w:eastAsiaTheme="minorEastAsia"/>
                <w:color w:val="000000" w:themeColor="text1"/>
                <w:szCs w:val="21"/>
              </w:rPr>
              <w:t>1.54%</w:t>
            </w:r>
          </w:p>
        </w:tc>
        <w:tc>
          <w:tcPr>
            <w:tcW w:w="1291" w:type="dxa"/>
            <w:vAlign w:val="center"/>
          </w:tcPr>
          <w:p w:rsidR="005A71B6" w:rsidRDefault="003B5D91">
            <w:pPr>
              <w:jc w:val="right"/>
            </w:pPr>
            <w:r>
              <w:rPr>
                <w:rFonts w:eastAsiaTheme="minorEastAsia"/>
                <w:color w:val="000000" w:themeColor="text1"/>
                <w:szCs w:val="21"/>
              </w:rPr>
              <w:t>9.57%</w:t>
            </w:r>
          </w:p>
        </w:tc>
        <w:tc>
          <w:tcPr>
            <w:tcW w:w="1291" w:type="dxa"/>
            <w:vAlign w:val="center"/>
          </w:tcPr>
          <w:p w:rsidR="005A71B6" w:rsidRDefault="003B5D91">
            <w:pPr>
              <w:jc w:val="right"/>
            </w:pPr>
            <w:r>
              <w:rPr>
                <w:rFonts w:eastAsiaTheme="minorEastAsia"/>
                <w:color w:val="000000" w:themeColor="text1"/>
                <w:szCs w:val="21"/>
              </w:rPr>
              <w:t>1.07%</w:t>
            </w:r>
          </w:p>
        </w:tc>
        <w:tc>
          <w:tcPr>
            <w:tcW w:w="1291" w:type="dxa"/>
            <w:vAlign w:val="center"/>
          </w:tcPr>
          <w:p w:rsidR="005A71B6" w:rsidRDefault="003B5D91">
            <w:pPr>
              <w:jc w:val="right"/>
            </w:pPr>
            <w:r>
              <w:rPr>
                <w:rFonts w:eastAsiaTheme="minorEastAsia"/>
                <w:color w:val="000000" w:themeColor="text1"/>
                <w:szCs w:val="21"/>
              </w:rPr>
              <w:t>79.33%</w:t>
            </w:r>
          </w:p>
        </w:tc>
        <w:tc>
          <w:tcPr>
            <w:tcW w:w="1291" w:type="dxa"/>
            <w:vAlign w:val="center"/>
          </w:tcPr>
          <w:p w:rsidR="005A71B6" w:rsidRDefault="003B5D91">
            <w:pPr>
              <w:jc w:val="right"/>
            </w:pPr>
            <w:r>
              <w:rPr>
                <w:rFonts w:eastAsiaTheme="minorEastAsia"/>
                <w:color w:val="000000" w:themeColor="text1"/>
                <w:szCs w:val="21"/>
              </w:rPr>
              <w:t>0.47%</w:t>
            </w:r>
          </w:p>
        </w:tc>
      </w:tr>
      <w:tr w:rsidR="005A71B6">
        <w:tc>
          <w:tcPr>
            <w:tcW w:w="1290" w:type="dxa"/>
            <w:vAlign w:val="center"/>
          </w:tcPr>
          <w:p w:rsidR="005A71B6" w:rsidRDefault="003B5D91">
            <w:pPr>
              <w:jc w:val="left"/>
            </w:pPr>
            <w:r>
              <w:rPr>
                <w:rFonts w:eastAsiaTheme="minorEastAsia"/>
                <w:color w:val="000000" w:themeColor="text1"/>
                <w:szCs w:val="21"/>
              </w:rPr>
              <w:t>自基金合同生效起至今</w:t>
            </w:r>
          </w:p>
        </w:tc>
        <w:tc>
          <w:tcPr>
            <w:tcW w:w="1291" w:type="dxa"/>
            <w:vAlign w:val="center"/>
          </w:tcPr>
          <w:p w:rsidR="005A71B6" w:rsidRDefault="003B5D91">
            <w:pPr>
              <w:jc w:val="right"/>
            </w:pPr>
            <w:r>
              <w:rPr>
                <w:rFonts w:eastAsiaTheme="minorEastAsia"/>
                <w:color w:val="000000" w:themeColor="text1"/>
                <w:szCs w:val="21"/>
              </w:rPr>
              <w:t>242.28%</w:t>
            </w:r>
          </w:p>
        </w:tc>
        <w:tc>
          <w:tcPr>
            <w:tcW w:w="1291" w:type="dxa"/>
            <w:vAlign w:val="center"/>
          </w:tcPr>
          <w:p w:rsidR="005A71B6" w:rsidRDefault="003B5D91">
            <w:pPr>
              <w:jc w:val="right"/>
            </w:pPr>
            <w:r>
              <w:rPr>
                <w:rFonts w:eastAsiaTheme="minorEastAsia"/>
                <w:color w:val="000000" w:themeColor="text1"/>
                <w:szCs w:val="21"/>
              </w:rPr>
              <w:t>1.65%</w:t>
            </w:r>
          </w:p>
        </w:tc>
        <w:tc>
          <w:tcPr>
            <w:tcW w:w="1291" w:type="dxa"/>
            <w:vAlign w:val="center"/>
          </w:tcPr>
          <w:p w:rsidR="005A71B6" w:rsidRDefault="003B5D91">
            <w:pPr>
              <w:jc w:val="right"/>
            </w:pPr>
            <w:r>
              <w:rPr>
                <w:rFonts w:eastAsiaTheme="minorEastAsia"/>
                <w:color w:val="000000" w:themeColor="text1"/>
                <w:szCs w:val="21"/>
              </w:rPr>
              <w:t>50.53%</w:t>
            </w:r>
          </w:p>
        </w:tc>
        <w:tc>
          <w:tcPr>
            <w:tcW w:w="1291" w:type="dxa"/>
            <w:vAlign w:val="center"/>
          </w:tcPr>
          <w:p w:rsidR="005A71B6" w:rsidRDefault="003B5D91">
            <w:pPr>
              <w:jc w:val="right"/>
            </w:pPr>
            <w:r>
              <w:rPr>
                <w:rFonts w:eastAsiaTheme="minorEastAsia"/>
                <w:color w:val="000000" w:themeColor="text1"/>
                <w:szCs w:val="21"/>
              </w:rPr>
              <w:t>1.17%</w:t>
            </w:r>
          </w:p>
        </w:tc>
        <w:tc>
          <w:tcPr>
            <w:tcW w:w="1291" w:type="dxa"/>
            <w:vAlign w:val="center"/>
          </w:tcPr>
          <w:p w:rsidR="005A71B6" w:rsidRDefault="003B5D91">
            <w:pPr>
              <w:jc w:val="right"/>
            </w:pPr>
            <w:r>
              <w:rPr>
                <w:rFonts w:eastAsiaTheme="minorEastAsia"/>
                <w:color w:val="000000" w:themeColor="text1"/>
                <w:szCs w:val="21"/>
              </w:rPr>
              <w:t>191.75%</w:t>
            </w:r>
          </w:p>
        </w:tc>
        <w:tc>
          <w:tcPr>
            <w:tcW w:w="1291" w:type="dxa"/>
            <w:vAlign w:val="center"/>
          </w:tcPr>
          <w:p w:rsidR="005A71B6" w:rsidRDefault="003B5D91">
            <w:pPr>
              <w:jc w:val="right"/>
            </w:pPr>
            <w:r>
              <w:rPr>
                <w:rFonts w:eastAsiaTheme="minorEastAsia"/>
                <w:color w:val="000000" w:themeColor="text1"/>
                <w:szCs w:val="21"/>
              </w:rPr>
              <w:t>0.48%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摩根健康品质生活混合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5A71B6">
        <w:tc>
          <w:tcPr>
            <w:tcW w:w="1290" w:type="dxa"/>
            <w:vAlign w:val="center"/>
          </w:tcPr>
          <w:p w:rsidR="005A71B6" w:rsidRDefault="003B5D91">
            <w:pPr>
              <w:jc w:val="left"/>
            </w:pPr>
            <w:r>
              <w:rPr>
                <w:rFonts w:eastAsiaTheme="minorEastAsia"/>
                <w:color w:val="000000" w:themeColor="text1"/>
                <w:szCs w:val="21"/>
              </w:rPr>
              <w:t>过去三个月</w:t>
            </w:r>
          </w:p>
        </w:tc>
        <w:tc>
          <w:tcPr>
            <w:tcW w:w="1291" w:type="dxa"/>
            <w:vAlign w:val="center"/>
          </w:tcPr>
          <w:p w:rsidR="005A71B6" w:rsidRDefault="003B5D91">
            <w:pPr>
              <w:jc w:val="right"/>
            </w:pPr>
            <w:r>
              <w:rPr>
                <w:rFonts w:eastAsiaTheme="minorEastAsia"/>
                <w:color w:val="000000" w:themeColor="text1"/>
                <w:szCs w:val="21"/>
              </w:rPr>
              <w:t>-3.48%</w:t>
            </w:r>
          </w:p>
        </w:tc>
        <w:tc>
          <w:tcPr>
            <w:tcW w:w="1291" w:type="dxa"/>
            <w:vAlign w:val="center"/>
          </w:tcPr>
          <w:p w:rsidR="005A71B6" w:rsidRDefault="003B5D91">
            <w:pPr>
              <w:jc w:val="right"/>
            </w:pPr>
            <w:r>
              <w:rPr>
                <w:rFonts w:eastAsiaTheme="minorEastAsia"/>
                <w:color w:val="000000" w:themeColor="text1"/>
                <w:szCs w:val="21"/>
              </w:rPr>
              <w:t>1.28%</w:t>
            </w:r>
          </w:p>
        </w:tc>
        <w:tc>
          <w:tcPr>
            <w:tcW w:w="1291" w:type="dxa"/>
            <w:vAlign w:val="center"/>
          </w:tcPr>
          <w:p w:rsidR="005A71B6" w:rsidRDefault="003B5D91">
            <w:pPr>
              <w:jc w:val="right"/>
            </w:pPr>
            <w:r>
              <w:rPr>
                <w:rFonts w:eastAsiaTheme="minorEastAsia"/>
                <w:color w:val="000000" w:themeColor="text1"/>
                <w:szCs w:val="21"/>
              </w:rPr>
              <w:t>-3.26%</w:t>
            </w:r>
          </w:p>
        </w:tc>
        <w:tc>
          <w:tcPr>
            <w:tcW w:w="1291" w:type="dxa"/>
            <w:vAlign w:val="center"/>
          </w:tcPr>
          <w:p w:rsidR="005A71B6" w:rsidRDefault="003B5D91">
            <w:pPr>
              <w:jc w:val="right"/>
            </w:pPr>
            <w:r>
              <w:rPr>
                <w:rFonts w:eastAsiaTheme="minorEastAsia"/>
                <w:color w:val="000000" w:themeColor="text1"/>
                <w:szCs w:val="21"/>
              </w:rPr>
              <w:t>0.77%</w:t>
            </w:r>
          </w:p>
        </w:tc>
        <w:tc>
          <w:tcPr>
            <w:tcW w:w="1291" w:type="dxa"/>
            <w:vAlign w:val="center"/>
          </w:tcPr>
          <w:p w:rsidR="005A71B6" w:rsidRDefault="003B5D91">
            <w:pPr>
              <w:jc w:val="right"/>
            </w:pPr>
            <w:r>
              <w:rPr>
                <w:rFonts w:eastAsiaTheme="minorEastAsia"/>
                <w:color w:val="000000" w:themeColor="text1"/>
                <w:szCs w:val="21"/>
              </w:rPr>
              <w:t>-0.22%</w:t>
            </w:r>
          </w:p>
        </w:tc>
        <w:tc>
          <w:tcPr>
            <w:tcW w:w="1291" w:type="dxa"/>
            <w:vAlign w:val="center"/>
          </w:tcPr>
          <w:p w:rsidR="005A71B6" w:rsidRDefault="003B5D91">
            <w:pPr>
              <w:jc w:val="right"/>
            </w:pPr>
            <w:r>
              <w:rPr>
                <w:rFonts w:eastAsiaTheme="minorEastAsia"/>
                <w:color w:val="000000" w:themeColor="text1"/>
                <w:szCs w:val="21"/>
              </w:rPr>
              <w:t>0.51%</w:t>
            </w:r>
          </w:p>
        </w:tc>
      </w:tr>
      <w:tr w:rsidR="005A71B6">
        <w:tc>
          <w:tcPr>
            <w:tcW w:w="1290" w:type="dxa"/>
            <w:vAlign w:val="center"/>
          </w:tcPr>
          <w:p w:rsidR="005A71B6" w:rsidRDefault="003B5D91">
            <w:pPr>
              <w:jc w:val="left"/>
            </w:pPr>
            <w:r>
              <w:rPr>
                <w:rFonts w:eastAsiaTheme="minorEastAsia"/>
                <w:color w:val="000000" w:themeColor="text1"/>
                <w:szCs w:val="21"/>
              </w:rPr>
              <w:t>过去六个月</w:t>
            </w:r>
          </w:p>
        </w:tc>
        <w:tc>
          <w:tcPr>
            <w:tcW w:w="1291" w:type="dxa"/>
            <w:vAlign w:val="center"/>
          </w:tcPr>
          <w:p w:rsidR="005A71B6" w:rsidRDefault="003B5D91">
            <w:pPr>
              <w:jc w:val="right"/>
            </w:pPr>
            <w:r>
              <w:rPr>
                <w:rFonts w:eastAsiaTheme="minorEastAsia"/>
                <w:color w:val="000000" w:themeColor="text1"/>
                <w:szCs w:val="21"/>
              </w:rPr>
              <w:t>-17.16%</w:t>
            </w:r>
          </w:p>
        </w:tc>
        <w:tc>
          <w:tcPr>
            <w:tcW w:w="1291" w:type="dxa"/>
            <w:vAlign w:val="center"/>
          </w:tcPr>
          <w:p w:rsidR="005A71B6" w:rsidRDefault="003B5D91">
            <w:pPr>
              <w:jc w:val="right"/>
            </w:pPr>
            <w:r>
              <w:rPr>
                <w:rFonts w:eastAsiaTheme="minorEastAsia"/>
                <w:color w:val="000000" w:themeColor="text1"/>
                <w:szCs w:val="21"/>
              </w:rPr>
              <w:t>1.25%</w:t>
            </w:r>
          </w:p>
        </w:tc>
        <w:tc>
          <w:tcPr>
            <w:tcW w:w="1291" w:type="dxa"/>
            <w:vAlign w:val="center"/>
          </w:tcPr>
          <w:p w:rsidR="005A71B6" w:rsidRDefault="003B5D91">
            <w:pPr>
              <w:jc w:val="right"/>
            </w:pPr>
            <w:r>
              <w:rPr>
                <w:rFonts w:eastAsiaTheme="minorEastAsia"/>
                <w:color w:val="000000" w:themeColor="text1"/>
                <w:szCs w:val="21"/>
              </w:rPr>
              <w:t>-7.25%</w:t>
            </w:r>
          </w:p>
        </w:tc>
        <w:tc>
          <w:tcPr>
            <w:tcW w:w="1291" w:type="dxa"/>
            <w:vAlign w:val="center"/>
          </w:tcPr>
          <w:p w:rsidR="005A71B6" w:rsidRDefault="003B5D91">
            <w:pPr>
              <w:jc w:val="right"/>
            </w:pPr>
            <w:r>
              <w:rPr>
                <w:rFonts w:eastAsiaTheme="minorEastAsia"/>
                <w:color w:val="000000" w:themeColor="text1"/>
                <w:szCs w:val="21"/>
              </w:rPr>
              <w:t>0.74%</w:t>
            </w:r>
          </w:p>
        </w:tc>
        <w:tc>
          <w:tcPr>
            <w:tcW w:w="1291" w:type="dxa"/>
            <w:vAlign w:val="center"/>
          </w:tcPr>
          <w:p w:rsidR="005A71B6" w:rsidRDefault="003B5D91">
            <w:pPr>
              <w:jc w:val="right"/>
            </w:pPr>
            <w:r>
              <w:rPr>
                <w:rFonts w:eastAsiaTheme="minorEastAsia"/>
                <w:color w:val="000000" w:themeColor="text1"/>
                <w:szCs w:val="21"/>
              </w:rPr>
              <w:t>-9.91%</w:t>
            </w:r>
          </w:p>
        </w:tc>
        <w:tc>
          <w:tcPr>
            <w:tcW w:w="1291" w:type="dxa"/>
            <w:vAlign w:val="center"/>
          </w:tcPr>
          <w:p w:rsidR="005A71B6" w:rsidRDefault="003B5D91">
            <w:pPr>
              <w:jc w:val="right"/>
            </w:pPr>
            <w:r>
              <w:rPr>
                <w:rFonts w:eastAsiaTheme="minorEastAsia"/>
                <w:color w:val="000000" w:themeColor="text1"/>
                <w:szCs w:val="21"/>
              </w:rPr>
              <w:t>0.51%</w:t>
            </w:r>
          </w:p>
        </w:tc>
      </w:tr>
      <w:tr w:rsidR="005A71B6">
        <w:tc>
          <w:tcPr>
            <w:tcW w:w="1290" w:type="dxa"/>
            <w:vAlign w:val="center"/>
          </w:tcPr>
          <w:p w:rsidR="005A71B6" w:rsidRDefault="003B5D91">
            <w:pPr>
              <w:jc w:val="left"/>
            </w:pPr>
            <w:r>
              <w:rPr>
                <w:rFonts w:eastAsiaTheme="minorEastAsia"/>
                <w:color w:val="000000" w:themeColor="text1"/>
                <w:szCs w:val="21"/>
              </w:rPr>
              <w:t>过去一年</w:t>
            </w:r>
          </w:p>
        </w:tc>
        <w:tc>
          <w:tcPr>
            <w:tcW w:w="1291" w:type="dxa"/>
            <w:vAlign w:val="center"/>
          </w:tcPr>
          <w:p w:rsidR="005A71B6" w:rsidRDefault="003B5D91">
            <w:pPr>
              <w:jc w:val="right"/>
            </w:pPr>
            <w:r>
              <w:rPr>
                <w:rFonts w:eastAsiaTheme="minorEastAsia"/>
                <w:color w:val="000000" w:themeColor="text1"/>
                <w:szCs w:val="21"/>
              </w:rPr>
              <w:t>-8.34%</w:t>
            </w:r>
          </w:p>
        </w:tc>
        <w:tc>
          <w:tcPr>
            <w:tcW w:w="1291" w:type="dxa"/>
            <w:vAlign w:val="center"/>
          </w:tcPr>
          <w:p w:rsidR="005A71B6" w:rsidRDefault="003B5D91">
            <w:pPr>
              <w:jc w:val="right"/>
            </w:pPr>
            <w:r>
              <w:rPr>
                <w:rFonts w:eastAsiaTheme="minorEastAsia"/>
                <w:color w:val="000000" w:themeColor="text1"/>
                <w:szCs w:val="21"/>
              </w:rPr>
              <w:t>1.39%</w:t>
            </w:r>
          </w:p>
        </w:tc>
        <w:tc>
          <w:tcPr>
            <w:tcW w:w="1291" w:type="dxa"/>
            <w:vAlign w:val="center"/>
          </w:tcPr>
          <w:p w:rsidR="005A71B6" w:rsidRDefault="003B5D91">
            <w:pPr>
              <w:jc w:val="right"/>
            </w:pPr>
            <w:r>
              <w:rPr>
                <w:rFonts w:eastAsiaTheme="minorEastAsia"/>
                <w:color w:val="000000" w:themeColor="text1"/>
                <w:szCs w:val="21"/>
              </w:rPr>
              <w:t>-2.08%</w:t>
            </w:r>
          </w:p>
        </w:tc>
        <w:tc>
          <w:tcPr>
            <w:tcW w:w="1291" w:type="dxa"/>
            <w:vAlign w:val="center"/>
          </w:tcPr>
          <w:p w:rsidR="005A71B6" w:rsidRDefault="003B5D91">
            <w:pPr>
              <w:jc w:val="right"/>
            </w:pPr>
            <w:r>
              <w:rPr>
                <w:rFonts w:eastAsiaTheme="minorEastAsia"/>
                <w:color w:val="000000" w:themeColor="text1"/>
                <w:szCs w:val="21"/>
              </w:rPr>
              <w:t>0.84%</w:t>
            </w:r>
          </w:p>
        </w:tc>
        <w:tc>
          <w:tcPr>
            <w:tcW w:w="1291" w:type="dxa"/>
            <w:vAlign w:val="center"/>
          </w:tcPr>
          <w:p w:rsidR="005A71B6" w:rsidRDefault="003B5D91">
            <w:pPr>
              <w:jc w:val="right"/>
            </w:pPr>
            <w:r>
              <w:rPr>
                <w:rFonts w:eastAsiaTheme="minorEastAsia"/>
                <w:color w:val="000000" w:themeColor="text1"/>
                <w:szCs w:val="21"/>
              </w:rPr>
              <w:t>-6.26%</w:t>
            </w:r>
          </w:p>
        </w:tc>
        <w:tc>
          <w:tcPr>
            <w:tcW w:w="1291" w:type="dxa"/>
            <w:vAlign w:val="center"/>
          </w:tcPr>
          <w:p w:rsidR="005A71B6" w:rsidRDefault="003B5D91">
            <w:pPr>
              <w:jc w:val="right"/>
            </w:pPr>
            <w:r>
              <w:rPr>
                <w:rFonts w:eastAsiaTheme="minorEastAsia"/>
                <w:color w:val="000000" w:themeColor="text1"/>
                <w:szCs w:val="21"/>
              </w:rPr>
              <w:t>0.55%</w:t>
            </w:r>
          </w:p>
        </w:tc>
      </w:tr>
      <w:tr w:rsidR="005A71B6">
        <w:tc>
          <w:tcPr>
            <w:tcW w:w="1290" w:type="dxa"/>
            <w:vAlign w:val="center"/>
          </w:tcPr>
          <w:p w:rsidR="005A71B6" w:rsidRDefault="003B5D91">
            <w:pPr>
              <w:jc w:val="left"/>
            </w:pPr>
            <w:r>
              <w:rPr>
                <w:rFonts w:eastAsiaTheme="minorEastAsia"/>
                <w:color w:val="000000" w:themeColor="text1"/>
                <w:szCs w:val="21"/>
              </w:rPr>
              <w:t>过去三年</w:t>
            </w:r>
          </w:p>
        </w:tc>
        <w:tc>
          <w:tcPr>
            <w:tcW w:w="1291" w:type="dxa"/>
            <w:vAlign w:val="center"/>
          </w:tcPr>
          <w:p w:rsidR="005A71B6" w:rsidRDefault="003B5D91">
            <w:pPr>
              <w:jc w:val="right"/>
            </w:pPr>
            <w:r>
              <w:rPr>
                <w:rFonts w:eastAsiaTheme="minorEastAsia"/>
                <w:color w:val="000000" w:themeColor="text1"/>
                <w:szCs w:val="21"/>
              </w:rPr>
              <w:t>-</w:t>
            </w:r>
          </w:p>
        </w:tc>
        <w:tc>
          <w:tcPr>
            <w:tcW w:w="1291" w:type="dxa"/>
            <w:vAlign w:val="center"/>
          </w:tcPr>
          <w:p w:rsidR="005A71B6" w:rsidRDefault="003B5D91">
            <w:pPr>
              <w:jc w:val="right"/>
            </w:pPr>
            <w:r>
              <w:rPr>
                <w:rFonts w:eastAsiaTheme="minorEastAsia"/>
                <w:color w:val="000000" w:themeColor="text1"/>
                <w:szCs w:val="21"/>
              </w:rPr>
              <w:t>-</w:t>
            </w:r>
          </w:p>
        </w:tc>
        <w:tc>
          <w:tcPr>
            <w:tcW w:w="1291" w:type="dxa"/>
            <w:vAlign w:val="center"/>
          </w:tcPr>
          <w:p w:rsidR="005A71B6" w:rsidRDefault="003B5D91">
            <w:pPr>
              <w:jc w:val="right"/>
            </w:pPr>
            <w:r>
              <w:rPr>
                <w:rFonts w:eastAsiaTheme="minorEastAsia"/>
                <w:color w:val="000000" w:themeColor="text1"/>
                <w:szCs w:val="21"/>
              </w:rPr>
              <w:t>-</w:t>
            </w:r>
          </w:p>
        </w:tc>
        <w:tc>
          <w:tcPr>
            <w:tcW w:w="1291" w:type="dxa"/>
            <w:vAlign w:val="center"/>
          </w:tcPr>
          <w:p w:rsidR="005A71B6" w:rsidRDefault="003B5D91">
            <w:pPr>
              <w:jc w:val="right"/>
            </w:pPr>
            <w:r>
              <w:rPr>
                <w:rFonts w:eastAsiaTheme="minorEastAsia"/>
                <w:color w:val="000000" w:themeColor="text1"/>
                <w:szCs w:val="21"/>
              </w:rPr>
              <w:t>-</w:t>
            </w:r>
          </w:p>
        </w:tc>
        <w:tc>
          <w:tcPr>
            <w:tcW w:w="1291" w:type="dxa"/>
            <w:vAlign w:val="center"/>
          </w:tcPr>
          <w:p w:rsidR="005A71B6" w:rsidRDefault="003B5D91">
            <w:pPr>
              <w:jc w:val="right"/>
            </w:pPr>
            <w:r>
              <w:rPr>
                <w:rFonts w:eastAsiaTheme="minorEastAsia"/>
                <w:color w:val="000000" w:themeColor="text1"/>
                <w:szCs w:val="21"/>
              </w:rPr>
              <w:t>-</w:t>
            </w:r>
          </w:p>
        </w:tc>
        <w:tc>
          <w:tcPr>
            <w:tcW w:w="1291" w:type="dxa"/>
            <w:vAlign w:val="center"/>
          </w:tcPr>
          <w:p w:rsidR="005A71B6" w:rsidRDefault="003B5D91">
            <w:pPr>
              <w:jc w:val="right"/>
            </w:pPr>
            <w:r>
              <w:rPr>
                <w:rFonts w:eastAsiaTheme="minorEastAsia"/>
                <w:color w:val="000000" w:themeColor="text1"/>
                <w:szCs w:val="21"/>
              </w:rPr>
              <w:t>-</w:t>
            </w:r>
          </w:p>
        </w:tc>
      </w:tr>
      <w:tr w:rsidR="005A71B6">
        <w:tc>
          <w:tcPr>
            <w:tcW w:w="1290" w:type="dxa"/>
            <w:vAlign w:val="center"/>
          </w:tcPr>
          <w:p w:rsidR="005A71B6" w:rsidRDefault="003B5D91">
            <w:pPr>
              <w:jc w:val="left"/>
            </w:pPr>
            <w:r>
              <w:rPr>
                <w:rFonts w:eastAsiaTheme="minorEastAsia"/>
                <w:color w:val="000000" w:themeColor="text1"/>
                <w:szCs w:val="21"/>
              </w:rPr>
              <w:t>过去五年</w:t>
            </w:r>
          </w:p>
        </w:tc>
        <w:tc>
          <w:tcPr>
            <w:tcW w:w="1291" w:type="dxa"/>
            <w:vAlign w:val="center"/>
          </w:tcPr>
          <w:p w:rsidR="005A71B6" w:rsidRDefault="003B5D91">
            <w:pPr>
              <w:jc w:val="right"/>
            </w:pPr>
            <w:r>
              <w:rPr>
                <w:rFonts w:eastAsiaTheme="minorEastAsia"/>
                <w:color w:val="000000" w:themeColor="text1"/>
                <w:szCs w:val="21"/>
              </w:rPr>
              <w:t>-</w:t>
            </w:r>
          </w:p>
        </w:tc>
        <w:tc>
          <w:tcPr>
            <w:tcW w:w="1291" w:type="dxa"/>
            <w:vAlign w:val="center"/>
          </w:tcPr>
          <w:p w:rsidR="005A71B6" w:rsidRDefault="003B5D91">
            <w:pPr>
              <w:jc w:val="right"/>
            </w:pPr>
            <w:r>
              <w:rPr>
                <w:rFonts w:eastAsiaTheme="minorEastAsia"/>
                <w:color w:val="000000" w:themeColor="text1"/>
                <w:szCs w:val="21"/>
              </w:rPr>
              <w:t>-</w:t>
            </w:r>
          </w:p>
        </w:tc>
        <w:tc>
          <w:tcPr>
            <w:tcW w:w="1291" w:type="dxa"/>
            <w:vAlign w:val="center"/>
          </w:tcPr>
          <w:p w:rsidR="005A71B6" w:rsidRDefault="003B5D91">
            <w:pPr>
              <w:jc w:val="right"/>
            </w:pPr>
            <w:r>
              <w:rPr>
                <w:rFonts w:eastAsiaTheme="minorEastAsia"/>
                <w:color w:val="000000" w:themeColor="text1"/>
                <w:szCs w:val="21"/>
              </w:rPr>
              <w:t>-</w:t>
            </w:r>
          </w:p>
        </w:tc>
        <w:tc>
          <w:tcPr>
            <w:tcW w:w="1291" w:type="dxa"/>
            <w:vAlign w:val="center"/>
          </w:tcPr>
          <w:p w:rsidR="005A71B6" w:rsidRDefault="003B5D91">
            <w:pPr>
              <w:jc w:val="right"/>
            </w:pPr>
            <w:r>
              <w:rPr>
                <w:rFonts w:eastAsiaTheme="minorEastAsia"/>
                <w:color w:val="000000" w:themeColor="text1"/>
                <w:szCs w:val="21"/>
              </w:rPr>
              <w:t>-</w:t>
            </w:r>
          </w:p>
        </w:tc>
        <w:tc>
          <w:tcPr>
            <w:tcW w:w="1291" w:type="dxa"/>
            <w:vAlign w:val="center"/>
          </w:tcPr>
          <w:p w:rsidR="005A71B6" w:rsidRDefault="003B5D91">
            <w:pPr>
              <w:jc w:val="right"/>
            </w:pPr>
            <w:r>
              <w:rPr>
                <w:rFonts w:eastAsiaTheme="minorEastAsia"/>
                <w:color w:val="000000" w:themeColor="text1"/>
                <w:szCs w:val="21"/>
              </w:rPr>
              <w:t>-</w:t>
            </w:r>
          </w:p>
        </w:tc>
        <w:tc>
          <w:tcPr>
            <w:tcW w:w="1291" w:type="dxa"/>
            <w:vAlign w:val="center"/>
          </w:tcPr>
          <w:p w:rsidR="005A71B6" w:rsidRDefault="003B5D91">
            <w:pPr>
              <w:jc w:val="right"/>
            </w:pPr>
            <w:r>
              <w:rPr>
                <w:rFonts w:eastAsiaTheme="minorEastAsia"/>
                <w:color w:val="000000" w:themeColor="text1"/>
                <w:szCs w:val="21"/>
              </w:rPr>
              <w:t>-</w:t>
            </w:r>
          </w:p>
        </w:tc>
      </w:tr>
      <w:tr w:rsidR="005A71B6">
        <w:tc>
          <w:tcPr>
            <w:tcW w:w="1290" w:type="dxa"/>
            <w:vAlign w:val="center"/>
          </w:tcPr>
          <w:p w:rsidR="005A71B6" w:rsidRDefault="003B5D91">
            <w:pPr>
              <w:jc w:val="left"/>
            </w:pPr>
            <w:r>
              <w:rPr>
                <w:rFonts w:eastAsiaTheme="minorEastAsia"/>
                <w:color w:val="000000" w:themeColor="text1"/>
                <w:szCs w:val="21"/>
              </w:rPr>
              <w:t>自基金合同生效起至今</w:t>
            </w:r>
          </w:p>
        </w:tc>
        <w:tc>
          <w:tcPr>
            <w:tcW w:w="1291" w:type="dxa"/>
            <w:vAlign w:val="center"/>
          </w:tcPr>
          <w:p w:rsidR="005A71B6" w:rsidRDefault="003B5D91">
            <w:pPr>
              <w:jc w:val="right"/>
            </w:pPr>
            <w:r>
              <w:rPr>
                <w:rFonts w:eastAsiaTheme="minorEastAsia"/>
                <w:color w:val="000000" w:themeColor="text1"/>
                <w:szCs w:val="21"/>
              </w:rPr>
              <w:t>-8.02%</w:t>
            </w:r>
          </w:p>
        </w:tc>
        <w:tc>
          <w:tcPr>
            <w:tcW w:w="1291" w:type="dxa"/>
            <w:vAlign w:val="center"/>
          </w:tcPr>
          <w:p w:rsidR="005A71B6" w:rsidRDefault="003B5D91">
            <w:pPr>
              <w:jc w:val="right"/>
            </w:pPr>
            <w:r>
              <w:rPr>
                <w:rFonts w:eastAsiaTheme="minorEastAsia"/>
                <w:color w:val="000000" w:themeColor="text1"/>
                <w:szCs w:val="21"/>
              </w:rPr>
              <w:t>1.45%</w:t>
            </w:r>
          </w:p>
        </w:tc>
        <w:tc>
          <w:tcPr>
            <w:tcW w:w="1291" w:type="dxa"/>
            <w:vAlign w:val="center"/>
          </w:tcPr>
          <w:p w:rsidR="005A71B6" w:rsidRDefault="003B5D91">
            <w:pPr>
              <w:jc w:val="right"/>
            </w:pPr>
            <w:r>
              <w:rPr>
                <w:rFonts w:eastAsiaTheme="minorEastAsia"/>
                <w:color w:val="000000" w:themeColor="text1"/>
                <w:szCs w:val="21"/>
              </w:rPr>
              <w:t>-11.07%</w:t>
            </w:r>
          </w:p>
        </w:tc>
        <w:tc>
          <w:tcPr>
            <w:tcW w:w="1291" w:type="dxa"/>
            <w:vAlign w:val="center"/>
          </w:tcPr>
          <w:p w:rsidR="005A71B6" w:rsidRDefault="003B5D91">
            <w:pPr>
              <w:jc w:val="right"/>
            </w:pPr>
            <w:r>
              <w:rPr>
                <w:rFonts w:eastAsiaTheme="minorEastAsia"/>
                <w:color w:val="000000" w:themeColor="text1"/>
                <w:szCs w:val="21"/>
              </w:rPr>
              <w:t>0.95%</w:t>
            </w:r>
          </w:p>
        </w:tc>
        <w:tc>
          <w:tcPr>
            <w:tcW w:w="1291" w:type="dxa"/>
            <w:vAlign w:val="center"/>
          </w:tcPr>
          <w:p w:rsidR="005A71B6" w:rsidRDefault="003B5D91">
            <w:pPr>
              <w:jc w:val="right"/>
            </w:pPr>
            <w:r>
              <w:rPr>
                <w:rFonts w:eastAsiaTheme="minorEastAsia"/>
                <w:color w:val="000000" w:themeColor="text1"/>
                <w:szCs w:val="21"/>
              </w:rPr>
              <w:t>3.05%</w:t>
            </w:r>
          </w:p>
        </w:tc>
        <w:tc>
          <w:tcPr>
            <w:tcW w:w="1291" w:type="dxa"/>
            <w:vAlign w:val="center"/>
          </w:tcPr>
          <w:p w:rsidR="005A71B6" w:rsidRDefault="003B5D91">
            <w:pPr>
              <w:jc w:val="right"/>
            </w:pPr>
            <w:r>
              <w:rPr>
                <w:rFonts w:eastAsiaTheme="minorEastAsia"/>
                <w:color w:val="000000" w:themeColor="text1"/>
                <w:szCs w:val="21"/>
              </w:rPr>
              <w:t>0.50%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摩根健康品质生活混合型证券投资基金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．摩根健康品质生活混合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A71B6" w:rsidRDefault="003B5D9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．摩根健康品质生活混合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A71B6" w:rsidRDefault="003B5D9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A71B6">
        <w:tc>
          <w:tcPr>
            <w:tcW w:w="952" w:type="dxa"/>
            <w:vAlign w:val="center"/>
          </w:tcPr>
          <w:p w:rsidR="005A71B6" w:rsidRDefault="003B5D91">
            <w:pPr>
              <w:jc w:val="center"/>
            </w:pPr>
            <w:r>
              <w:rPr>
                <w:rFonts w:eastAsiaTheme="minorEastAsia"/>
                <w:color w:val="000000" w:themeColor="text1"/>
                <w:szCs w:val="21"/>
              </w:rPr>
              <w:t>徐项楠</w:t>
            </w:r>
          </w:p>
        </w:tc>
        <w:tc>
          <w:tcPr>
            <w:tcW w:w="930" w:type="dxa"/>
            <w:vAlign w:val="center"/>
          </w:tcPr>
          <w:p w:rsidR="005A71B6" w:rsidRDefault="003B5D91">
            <w:pPr>
              <w:jc w:val="center"/>
            </w:pPr>
            <w:r>
              <w:rPr>
                <w:rFonts w:eastAsiaTheme="minorEastAsia"/>
                <w:color w:val="000000" w:themeColor="text1"/>
                <w:szCs w:val="21"/>
              </w:rPr>
              <w:t>本基金基金经理</w:t>
            </w:r>
          </w:p>
        </w:tc>
        <w:tc>
          <w:tcPr>
            <w:tcW w:w="1210" w:type="dxa"/>
            <w:vAlign w:val="center"/>
          </w:tcPr>
          <w:p w:rsidR="005A71B6" w:rsidRDefault="003B5D91">
            <w:pPr>
              <w:jc w:val="center"/>
            </w:pPr>
            <w:r>
              <w:rPr>
                <w:rFonts w:eastAsiaTheme="minorEastAsia"/>
                <w:color w:val="000000" w:themeColor="text1"/>
                <w:szCs w:val="21"/>
              </w:rPr>
              <w:t>2021-11-12</w:t>
            </w:r>
          </w:p>
        </w:tc>
        <w:tc>
          <w:tcPr>
            <w:tcW w:w="1309" w:type="dxa"/>
            <w:vAlign w:val="center"/>
          </w:tcPr>
          <w:p w:rsidR="005A71B6" w:rsidRDefault="003B5D91">
            <w:pPr>
              <w:jc w:val="center"/>
            </w:pPr>
            <w:r>
              <w:rPr>
                <w:rFonts w:eastAsiaTheme="minorEastAsia"/>
                <w:color w:val="000000" w:themeColor="text1"/>
                <w:szCs w:val="21"/>
              </w:rPr>
              <w:t>-</w:t>
            </w:r>
          </w:p>
        </w:tc>
        <w:tc>
          <w:tcPr>
            <w:tcW w:w="1254" w:type="dxa"/>
            <w:vAlign w:val="center"/>
          </w:tcPr>
          <w:p w:rsidR="005A71B6" w:rsidRDefault="003B5D91">
            <w:pPr>
              <w:jc w:val="center"/>
            </w:pPr>
            <w:r>
              <w:rPr>
                <w:rFonts w:eastAsiaTheme="minorEastAsia"/>
                <w:color w:val="000000" w:themeColor="text1"/>
                <w:szCs w:val="21"/>
              </w:rPr>
              <w:t>9</w:t>
            </w:r>
            <w:r>
              <w:rPr>
                <w:rFonts w:eastAsiaTheme="minorEastAsia"/>
                <w:color w:val="000000" w:themeColor="text1"/>
                <w:szCs w:val="21"/>
              </w:rPr>
              <w:t>年</w:t>
            </w:r>
          </w:p>
        </w:tc>
        <w:tc>
          <w:tcPr>
            <w:tcW w:w="3276" w:type="dxa"/>
            <w:vAlign w:val="center"/>
          </w:tcPr>
          <w:p w:rsidR="005A71B6" w:rsidRDefault="003B5D91">
            <w:r>
              <w:rPr>
                <w:rFonts w:eastAsiaTheme="minorEastAsia"/>
                <w:color w:val="000000" w:themeColor="text1"/>
                <w:szCs w:val="21"/>
              </w:rPr>
              <w:t>徐项楠先生曾任中海基金管理有限公司行业分析师，中银基金管理有限公司高级分析师。</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月加入摩根基金管理（中国）有限公司（原上投摩根基金管理有限公司），历任研究员、行业专家、行业专家</w:t>
            </w:r>
            <w:r>
              <w:rPr>
                <w:rFonts w:eastAsiaTheme="minorEastAsia"/>
                <w:color w:val="000000" w:themeColor="text1"/>
                <w:szCs w:val="21"/>
              </w:rPr>
              <w:t>/</w:t>
            </w:r>
            <w:r>
              <w:rPr>
                <w:rFonts w:eastAsiaTheme="minorEastAsia"/>
                <w:color w:val="000000" w:themeColor="text1"/>
                <w:szCs w:val="21"/>
              </w:rPr>
              <w:t>基金经理助理，现任高级基金经理。</w:t>
            </w:r>
          </w:p>
        </w:tc>
      </w:tr>
    </w:tbl>
    <w:p w:rsidR="005A71B6" w:rsidRDefault="003B5D9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5A71B6" w:rsidRDefault="003B5D9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A71B6" w:rsidRDefault="003B5D9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5A71B6" w:rsidRDefault="003B5D9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5A71B6" w:rsidRDefault="003B5D91">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年第三季度经济动能环比有所改善，但绝对水平较正常值仍有一定距离。</w:t>
      </w:r>
      <w:r>
        <w:rPr>
          <w:rFonts w:eastAsiaTheme="minorEastAsia"/>
          <w:color w:val="000000" w:themeColor="text1"/>
          <w:szCs w:val="21"/>
        </w:rPr>
        <w:t>2023</w:t>
      </w:r>
      <w:r>
        <w:rPr>
          <w:rFonts w:eastAsiaTheme="minorEastAsia"/>
          <w:color w:val="000000" w:themeColor="text1"/>
          <w:szCs w:val="21"/>
        </w:rPr>
        <w:t>年第二季</w:t>
      </w:r>
      <w:r>
        <w:rPr>
          <w:rFonts w:eastAsiaTheme="minorEastAsia"/>
          <w:color w:val="000000" w:themeColor="text1"/>
          <w:szCs w:val="21"/>
        </w:rPr>
        <w:lastRenderedPageBreak/>
        <w:t>度经济动能放缓幅度较大，</w:t>
      </w:r>
      <w:r>
        <w:rPr>
          <w:rFonts w:eastAsiaTheme="minorEastAsia"/>
          <w:color w:val="000000" w:themeColor="text1"/>
          <w:szCs w:val="21"/>
        </w:rPr>
        <w:t>GDP</w:t>
      </w:r>
      <w:r>
        <w:rPr>
          <w:rFonts w:eastAsiaTheme="minorEastAsia"/>
          <w:color w:val="000000" w:themeColor="text1"/>
          <w:szCs w:val="21"/>
        </w:rPr>
        <w:t>季调环比增速由一季度的</w:t>
      </w:r>
      <w:r>
        <w:rPr>
          <w:rFonts w:eastAsiaTheme="minorEastAsia"/>
          <w:color w:val="000000" w:themeColor="text1"/>
          <w:szCs w:val="21"/>
        </w:rPr>
        <w:t>2.2%</w:t>
      </w:r>
      <w:r>
        <w:rPr>
          <w:rFonts w:eastAsiaTheme="minorEastAsia"/>
          <w:color w:val="000000" w:themeColor="text1"/>
          <w:szCs w:val="21"/>
        </w:rPr>
        <w:t>下行至</w:t>
      </w:r>
      <w:r>
        <w:rPr>
          <w:rFonts w:eastAsiaTheme="minorEastAsia"/>
          <w:color w:val="000000" w:themeColor="text1"/>
          <w:szCs w:val="21"/>
        </w:rPr>
        <w:t>0.8%</w:t>
      </w:r>
      <w:r>
        <w:rPr>
          <w:rFonts w:eastAsiaTheme="minorEastAsia"/>
          <w:color w:val="000000" w:themeColor="text1"/>
          <w:szCs w:val="21"/>
        </w:rPr>
        <w:t>，而三季度经济动能环比边际改善。</w:t>
      </w:r>
      <w:r>
        <w:rPr>
          <w:rFonts w:eastAsiaTheme="minorEastAsia"/>
          <w:color w:val="000000" w:themeColor="text1"/>
          <w:szCs w:val="21"/>
        </w:rPr>
        <w:t>7-9</w:t>
      </w:r>
      <w:r>
        <w:rPr>
          <w:rFonts w:eastAsiaTheme="minorEastAsia"/>
          <w:color w:val="000000" w:themeColor="text1"/>
          <w:szCs w:val="21"/>
        </w:rPr>
        <w:t>月制造业采购经理人指数（</w:t>
      </w:r>
      <w:r>
        <w:rPr>
          <w:rFonts w:eastAsiaTheme="minorEastAsia"/>
          <w:color w:val="000000" w:themeColor="text1"/>
          <w:szCs w:val="21"/>
        </w:rPr>
        <w:t>PMI</w:t>
      </w:r>
      <w:r>
        <w:rPr>
          <w:rFonts w:eastAsiaTheme="minorEastAsia"/>
          <w:color w:val="000000" w:themeColor="text1"/>
          <w:szCs w:val="21"/>
        </w:rPr>
        <w:t>）和建筑业商务活动指数连续改善，</w:t>
      </w:r>
      <w:r>
        <w:rPr>
          <w:rFonts w:eastAsiaTheme="minorEastAsia"/>
          <w:color w:val="000000" w:themeColor="text1"/>
          <w:szCs w:val="21"/>
        </w:rPr>
        <w:t>9</w:t>
      </w:r>
      <w:r>
        <w:rPr>
          <w:rFonts w:eastAsiaTheme="minorEastAsia"/>
          <w:color w:val="000000" w:themeColor="text1"/>
          <w:szCs w:val="21"/>
        </w:rPr>
        <w:t>月制造业</w:t>
      </w:r>
      <w:r>
        <w:rPr>
          <w:rFonts w:eastAsiaTheme="minorEastAsia"/>
          <w:color w:val="000000" w:themeColor="text1"/>
          <w:szCs w:val="21"/>
        </w:rPr>
        <w:t>PMI</w:t>
      </w:r>
      <w:r>
        <w:rPr>
          <w:rFonts w:eastAsiaTheme="minorEastAsia"/>
          <w:color w:val="000000" w:themeColor="text1"/>
          <w:szCs w:val="21"/>
        </w:rPr>
        <w:t>重回扩张区间；服务业商务活动指数在</w:t>
      </w:r>
      <w:r>
        <w:rPr>
          <w:rFonts w:eastAsiaTheme="minorEastAsia"/>
          <w:color w:val="000000" w:themeColor="text1"/>
          <w:szCs w:val="21"/>
        </w:rPr>
        <w:t>7</w:t>
      </w:r>
      <w:r>
        <w:rPr>
          <w:rFonts w:eastAsiaTheme="minorEastAsia"/>
          <w:color w:val="000000" w:themeColor="text1"/>
          <w:szCs w:val="21"/>
        </w:rPr>
        <w:t>、</w:t>
      </w:r>
      <w:r>
        <w:rPr>
          <w:rFonts w:eastAsiaTheme="minorEastAsia"/>
          <w:color w:val="000000" w:themeColor="text1"/>
          <w:szCs w:val="21"/>
        </w:rPr>
        <w:t>8</w:t>
      </w:r>
      <w:r>
        <w:rPr>
          <w:rFonts w:eastAsiaTheme="minorEastAsia"/>
          <w:color w:val="000000" w:themeColor="text1"/>
          <w:szCs w:val="21"/>
        </w:rPr>
        <w:t>月回落后，</w:t>
      </w:r>
      <w:r>
        <w:rPr>
          <w:rFonts w:eastAsiaTheme="minorEastAsia"/>
          <w:color w:val="000000" w:themeColor="text1"/>
          <w:szCs w:val="21"/>
        </w:rPr>
        <w:t>9</w:t>
      </w:r>
      <w:r>
        <w:rPr>
          <w:rFonts w:eastAsiaTheme="minorEastAsia"/>
          <w:color w:val="000000" w:themeColor="text1"/>
          <w:szCs w:val="21"/>
        </w:rPr>
        <w:t>月也再度回升。需求也皆有边际改善，随着物价同比增速的改善，社会消费品零售总额、固定资产投资、出口等名义指标同比增速也皆呈现触底回升态势。然而，三季度的经济动能边际改善幅度整体仍然偏弱，且以复合增速来衡量的绝对水平较正常值仍有一定距离。外部来看，美联储连续收紧货币政策背景下，发达国家需求整体仍然偏弱，且发达国家需求结构性差异较大，制造业</w:t>
      </w:r>
      <w:r>
        <w:rPr>
          <w:rFonts w:eastAsiaTheme="minorEastAsia"/>
          <w:color w:val="000000" w:themeColor="text1"/>
          <w:szCs w:val="21"/>
        </w:rPr>
        <w:t>PMI</w:t>
      </w:r>
      <w:r>
        <w:rPr>
          <w:rFonts w:eastAsiaTheme="minorEastAsia"/>
          <w:color w:val="000000" w:themeColor="text1"/>
          <w:szCs w:val="21"/>
        </w:rPr>
        <w:t>连续</w:t>
      </w:r>
      <w:r>
        <w:rPr>
          <w:rFonts w:eastAsiaTheme="minorEastAsia"/>
          <w:color w:val="000000" w:themeColor="text1"/>
          <w:szCs w:val="21"/>
        </w:rPr>
        <w:t>11</w:t>
      </w:r>
      <w:r>
        <w:rPr>
          <w:rFonts w:eastAsiaTheme="minorEastAsia"/>
          <w:color w:val="000000" w:themeColor="text1"/>
          <w:szCs w:val="21"/>
        </w:rPr>
        <w:t>个月位于荣枯线以下，对中国出口造成一定下行压力。内部来看，金融周期下行背景下，房地产业持续偏弱，对需求拖累较大。基建、制造业投资仍有支撑，但是房地产开发投资持续下滑。消费虽然成为需求结构的主要贡献力量，但是受到信心不足、债务压力、收入分化等因素影响，大件商品、后地产商品等消费偏弱。</w:t>
      </w:r>
      <w:r>
        <w:rPr>
          <w:rFonts w:eastAsiaTheme="minorEastAsia"/>
          <w:color w:val="000000" w:themeColor="text1"/>
          <w:szCs w:val="21"/>
        </w:rPr>
        <w:t>7</w:t>
      </w:r>
      <w:r>
        <w:rPr>
          <w:rFonts w:eastAsiaTheme="minorEastAsia"/>
          <w:color w:val="000000" w:themeColor="text1"/>
          <w:szCs w:val="21"/>
        </w:rPr>
        <w:t>月政治局会议后，央行降息降准、地产政策优化、地方政府隐性债务化解加速、印花税下调等政策密集出台，但市场信心整体仍偏弱，叠加美债利率和美元指数走高，人民币汇率承压。权益市场进一步调整，沪深</w:t>
      </w:r>
      <w:r>
        <w:rPr>
          <w:rFonts w:eastAsiaTheme="minorEastAsia"/>
          <w:color w:val="000000" w:themeColor="text1"/>
          <w:szCs w:val="21"/>
        </w:rPr>
        <w:t>300</w:t>
      </w:r>
      <w:r>
        <w:rPr>
          <w:rFonts w:eastAsiaTheme="minorEastAsia"/>
          <w:color w:val="000000" w:themeColor="text1"/>
          <w:szCs w:val="21"/>
        </w:rPr>
        <w:t>下跌</w:t>
      </w:r>
      <w:r>
        <w:rPr>
          <w:rFonts w:eastAsiaTheme="minorEastAsia"/>
          <w:color w:val="000000" w:themeColor="text1"/>
          <w:szCs w:val="21"/>
        </w:rPr>
        <w:t>4.0%</w:t>
      </w:r>
      <w:r>
        <w:rPr>
          <w:rFonts w:eastAsiaTheme="minorEastAsia"/>
          <w:color w:val="000000" w:themeColor="text1"/>
          <w:szCs w:val="21"/>
        </w:rPr>
        <w:t>，创业板指数下跌</w:t>
      </w:r>
      <w:r>
        <w:rPr>
          <w:rFonts w:eastAsiaTheme="minorEastAsia"/>
          <w:color w:val="000000" w:themeColor="text1"/>
          <w:szCs w:val="21"/>
        </w:rPr>
        <w:t>9.5%</w:t>
      </w:r>
      <w:r>
        <w:rPr>
          <w:rFonts w:eastAsiaTheme="minorEastAsia"/>
          <w:color w:val="000000" w:themeColor="text1"/>
          <w:szCs w:val="21"/>
        </w:rPr>
        <w:t>，从行业表现来看，非银金融、煤炭、石油石化等行业涨幅居前，传媒、计算机、电新等行业表现较为靠后。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2023</w:t>
      </w:r>
      <w:r w:rsidRPr="00B27A29">
        <w:rPr>
          <w:rFonts w:eastAsiaTheme="minorEastAsia"/>
          <w:color w:val="000000" w:themeColor="text1"/>
          <w:szCs w:val="21"/>
        </w:rPr>
        <w:t>年第四季度，我们保持谨慎乐观。从外部来看，虽然美联储加息已近尾声，但是美国实体部门韧性仍强，通胀下行仍面临重重阻力，距离美联储目标仍有较大差距，使得美联储或在一定时间内将利率保持在较高水平，难以过早降息。从实体层面来说，美国实体经济的韧性以及制造业库存周期的企稳向上或支撑中国出口；从金融层面来说，美联储保持相对较紧的货币政策或使得人民币汇率和资本流动持续承压。从内部来看，已经出台的一系列稳增长政策或在四季度落地见效，且货币、财政和房地产政策仍有进一步放松空间，支撑内需进一步向正常水平回归。从消费来看，居民收入和消费倾向相较于疫情前水平都仍有较大修复空间，地产的拖累或也边际下降；从投资来看，基建和制造业投资或仍将在政策支持下保持较高增速，房地产开发投资在政策推动和基数支撑下或将边际改善。随着猪肉和原油高基数消退，以及稳增长政策发力，四季度物价同比也有望进一步修复。风险点主要在于海外持续高利率背景下可能的金融风险以及国内房地产市场持续偏弱和债务风险。行业上，我们看好消费和科技这两条投资主线，本基金继续看好并持有受益消费升级的各细分板块的优质公司。未来我们亦将继续严格按照基金契约的要求重点投资品质消费相关行业中具有相对估值优势、增长前景确定的优质公司。我们将加强对上市公司基本面的研究力度，力争为持有人创造较好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5A71B6" w:rsidRDefault="003B5D9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本报告期摩根健康品质生活</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:-3.36%</w:t>
      </w:r>
      <w:r>
        <w:rPr>
          <w:rFonts w:eastAsiaTheme="minorEastAsia"/>
          <w:color w:val="000000" w:themeColor="text1"/>
          <w:szCs w:val="21"/>
        </w:rPr>
        <w:t>，同期业绩比较基准收益率为</w:t>
      </w:r>
      <w:r>
        <w:rPr>
          <w:rFonts w:eastAsiaTheme="minorEastAsia"/>
          <w:color w:val="000000" w:themeColor="text1"/>
          <w:szCs w:val="21"/>
        </w:rPr>
        <w:t>:-3.26%</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摩根健康品质生活</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:-3.48%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:-3.26%</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1,231,416,300.05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86.56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1,231,416,300.05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86.56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167,761,945.18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23,493,241.54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1,422,671,486.77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244,963,630.53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18.04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986,452,669.52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72.66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1,231,416,300.05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90.70</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5A71B6">
        <w:tc>
          <w:tcPr>
            <w:tcW w:w="817" w:type="dxa"/>
            <w:vAlign w:val="center"/>
          </w:tcPr>
          <w:p w:rsidR="005A71B6" w:rsidRDefault="003B5D91">
            <w:pPr>
              <w:jc w:val="center"/>
            </w:pPr>
            <w:r>
              <w:rPr>
                <w:rFonts w:eastAsiaTheme="minorEastAsia"/>
                <w:kern w:val="0"/>
                <w:szCs w:val="21"/>
              </w:rPr>
              <w:t>1</w:t>
            </w:r>
          </w:p>
        </w:tc>
        <w:tc>
          <w:tcPr>
            <w:tcW w:w="1276" w:type="dxa"/>
            <w:vAlign w:val="center"/>
          </w:tcPr>
          <w:p w:rsidR="005A71B6" w:rsidRDefault="003B5D91">
            <w:pPr>
              <w:jc w:val="center"/>
            </w:pPr>
            <w:r>
              <w:rPr>
                <w:rFonts w:eastAsiaTheme="minorEastAsia"/>
                <w:kern w:val="0"/>
                <w:szCs w:val="21"/>
              </w:rPr>
              <w:t>603477</w:t>
            </w:r>
          </w:p>
        </w:tc>
        <w:tc>
          <w:tcPr>
            <w:tcW w:w="1701" w:type="dxa"/>
            <w:vAlign w:val="center"/>
          </w:tcPr>
          <w:p w:rsidR="005A71B6" w:rsidRDefault="003B5D91">
            <w:pPr>
              <w:jc w:val="center"/>
            </w:pPr>
            <w:r>
              <w:rPr>
                <w:rFonts w:eastAsiaTheme="minorEastAsia"/>
                <w:kern w:val="0"/>
                <w:szCs w:val="21"/>
              </w:rPr>
              <w:t>巨星农牧</w:t>
            </w:r>
          </w:p>
        </w:tc>
        <w:tc>
          <w:tcPr>
            <w:tcW w:w="1276" w:type="dxa"/>
            <w:vAlign w:val="center"/>
          </w:tcPr>
          <w:p w:rsidR="005A71B6" w:rsidRDefault="003B5D91">
            <w:pPr>
              <w:jc w:val="right"/>
            </w:pPr>
            <w:r>
              <w:rPr>
                <w:rFonts w:eastAsiaTheme="minorEastAsia"/>
                <w:kern w:val="0"/>
                <w:szCs w:val="21"/>
              </w:rPr>
              <w:t>4,868,439</w:t>
            </w:r>
          </w:p>
        </w:tc>
        <w:tc>
          <w:tcPr>
            <w:tcW w:w="1842" w:type="dxa"/>
            <w:vAlign w:val="center"/>
          </w:tcPr>
          <w:p w:rsidR="005A71B6" w:rsidRDefault="003B5D91">
            <w:pPr>
              <w:jc w:val="right"/>
            </w:pPr>
            <w:r>
              <w:rPr>
                <w:rFonts w:eastAsiaTheme="minorEastAsia"/>
                <w:kern w:val="0"/>
                <w:szCs w:val="21"/>
              </w:rPr>
              <w:t>133,736,019.33</w:t>
            </w:r>
          </w:p>
        </w:tc>
        <w:tc>
          <w:tcPr>
            <w:tcW w:w="1616" w:type="dxa"/>
            <w:vAlign w:val="center"/>
          </w:tcPr>
          <w:p w:rsidR="005A71B6" w:rsidRDefault="003B5D91">
            <w:pPr>
              <w:jc w:val="right"/>
            </w:pPr>
            <w:r>
              <w:rPr>
                <w:rFonts w:eastAsiaTheme="minorEastAsia"/>
                <w:kern w:val="0"/>
                <w:szCs w:val="21"/>
              </w:rPr>
              <w:t>9.85</w:t>
            </w:r>
          </w:p>
        </w:tc>
      </w:tr>
      <w:tr w:rsidR="005A71B6">
        <w:tc>
          <w:tcPr>
            <w:tcW w:w="817" w:type="dxa"/>
            <w:vAlign w:val="center"/>
          </w:tcPr>
          <w:p w:rsidR="005A71B6" w:rsidRDefault="003B5D91">
            <w:pPr>
              <w:jc w:val="center"/>
            </w:pPr>
            <w:r>
              <w:rPr>
                <w:rFonts w:eastAsiaTheme="minorEastAsia"/>
                <w:kern w:val="0"/>
                <w:szCs w:val="21"/>
              </w:rPr>
              <w:t>2</w:t>
            </w:r>
          </w:p>
        </w:tc>
        <w:tc>
          <w:tcPr>
            <w:tcW w:w="1276" w:type="dxa"/>
            <w:vAlign w:val="center"/>
          </w:tcPr>
          <w:p w:rsidR="005A71B6" w:rsidRDefault="003B5D91">
            <w:pPr>
              <w:jc w:val="center"/>
            </w:pPr>
            <w:r>
              <w:rPr>
                <w:rFonts w:eastAsiaTheme="minorEastAsia"/>
                <w:kern w:val="0"/>
                <w:szCs w:val="21"/>
              </w:rPr>
              <w:t>000858</w:t>
            </w:r>
          </w:p>
        </w:tc>
        <w:tc>
          <w:tcPr>
            <w:tcW w:w="1701" w:type="dxa"/>
            <w:vAlign w:val="center"/>
          </w:tcPr>
          <w:p w:rsidR="005A71B6" w:rsidRDefault="003B5D91">
            <w:pPr>
              <w:jc w:val="center"/>
            </w:pPr>
            <w:r>
              <w:rPr>
                <w:rFonts w:eastAsiaTheme="minorEastAsia"/>
                <w:kern w:val="0"/>
                <w:szCs w:val="21"/>
              </w:rPr>
              <w:t>五</w:t>
            </w:r>
            <w:r>
              <w:rPr>
                <w:rFonts w:eastAsiaTheme="minorEastAsia"/>
                <w:kern w:val="0"/>
                <w:szCs w:val="21"/>
              </w:rPr>
              <w:t xml:space="preserve"> </w:t>
            </w:r>
            <w:r>
              <w:rPr>
                <w:rFonts w:eastAsiaTheme="minorEastAsia"/>
                <w:kern w:val="0"/>
                <w:szCs w:val="21"/>
              </w:rPr>
              <w:t>粮</w:t>
            </w:r>
            <w:r>
              <w:rPr>
                <w:rFonts w:eastAsiaTheme="minorEastAsia"/>
                <w:kern w:val="0"/>
                <w:szCs w:val="21"/>
              </w:rPr>
              <w:t xml:space="preserve"> </w:t>
            </w:r>
            <w:r>
              <w:rPr>
                <w:rFonts w:eastAsiaTheme="minorEastAsia"/>
                <w:kern w:val="0"/>
                <w:szCs w:val="21"/>
              </w:rPr>
              <w:t>液</w:t>
            </w:r>
          </w:p>
        </w:tc>
        <w:tc>
          <w:tcPr>
            <w:tcW w:w="1276" w:type="dxa"/>
            <w:vAlign w:val="center"/>
          </w:tcPr>
          <w:p w:rsidR="005A71B6" w:rsidRDefault="003B5D91">
            <w:pPr>
              <w:jc w:val="right"/>
            </w:pPr>
            <w:r>
              <w:rPr>
                <w:rFonts w:eastAsiaTheme="minorEastAsia"/>
                <w:kern w:val="0"/>
                <w:szCs w:val="21"/>
              </w:rPr>
              <w:t>825,903</w:t>
            </w:r>
          </w:p>
        </w:tc>
        <w:tc>
          <w:tcPr>
            <w:tcW w:w="1842" w:type="dxa"/>
            <w:vAlign w:val="center"/>
          </w:tcPr>
          <w:p w:rsidR="005A71B6" w:rsidRDefault="003B5D91">
            <w:pPr>
              <w:jc w:val="right"/>
            </w:pPr>
            <w:r>
              <w:rPr>
                <w:rFonts w:eastAsiaTheme="minorEastAsia"/>
                <w:kern w:val="0"/>
                <w:szCs w:val="21"/>
              </w:rPr>
              <w:t>128,923,458.30</w:t>
            </w:r>
          </w:p>
        </w:tc>
        <w:tc>
          <w:tcPr>
            <w:tcW w:w="1616" w:type="dxa"/>
            <w:vAlign w:val="center"/>
          </w:tcPr>
          <w:p w:rsidR="005A71B6" w:rsidRDefault="003B5D91">
            <w:pPr>
              <w:jc w:val="right"/>
            </w:pPr>
            <w:r>
              <w:rPr>
                <w:rFonts w:eastAsiaTheme="minorEastAsia"/>
                <w:kern w:val="0"/>
                <w:szCs w:val="21"/>
              </w:rPr>
              <w:t>9.50</w:t>
            </w:r>
          </w:p>
        </w:tc>
      </w:tr>
      <w:tr w:rsidR="005A71B6">
        <w:tc>
          <w:tcPr>
            <w:tcW w:w="817" w:type="dxa"/>
            <w:vAlign w:val="center"/>
          </w:tcPr>
          <w:p w:rsidR="005A71B6" w:rsidRDefault="003B5D91">
            <w:pPr>
              <w:jc w:val="center"/>
            </w:pPr>
            <w:r>
              <w:rPr>
                <w:rFonts w:eastAsiaTheme="minorEastAsia"/>
                <w:kern w:val="0"/>
                <w:szCs w:val="21"/>
              </w:rPr>
              <w:t>3</w:t>
            </w:r>
          </w:p>
        </w:tc>
        <w:tc>
          <w:tcPr>
            <w:tcW w:w="1276" w:type="dxa"/>
            <w:vAlign w:val="center"/>
          </w:tcPr>
          <w:p w:rsidR="005A71B6" w:rsidRDefault="003B5D91">
            <w:pPr>
              <w:jc w:val="center"/>
            </w:pPr>
            <w:r>
              <w:rPr>
                <w:rFonts w:eastAsiaTheme="minorEastAsia"/>
                <w:kern w:val="0"/>
                <w:szCs w:val="21"/>
              </w:rPr>
              <w:t>002840</w:t>
            </w:r>
          </w:p>
        </w:tc>
        <w:tc>
          <w:tcPr>
            <w:tcW w:w="1701" w:type="dxa"/>
            <w:vAlign w:val="center"/>
          </w:tcPr>
          <w:p w:rsidR="005A71B6" w:rsidRDefault="003B5D91">
            <w:pPr>
              <w:jc w:val="center"/>
            </w:pPr>
            <w:r>
              <w:rPr>
                <w:rFonts w:eastAsiaTheme="minorEastAsia"/>
                <w:kern w:val="0"/>
                <w:szCs w:val="21"/>
              </w:rPr>
              <w:t>华统股份</w:t>
            </w:r>
          </w:p>
        </w:tc>
        <w:tc>
          <w:tcPr>
            <w:tcW w:w="1276" w:type="dxa"/>
            <w:vAlign w:val="center"/>
          </w:tcPr>
          <w:p w:rsidR="005A71B6" w:rsidRDefault="003B5D91">
            <w:pPr>
              <w:jc w:val="right"/>
            </w:pPr>
            <w:r>
              <w:rPr>
                <w:rFonts w:eastAsiaTheme="minorEastAsia"/>
                <w:kern w:val="0"/>
                <w:szCs w:val="21"/>
              </w:rPr>
              <w:t>8,870,069</w:t>
            </w:r>
          </w:p>
        </w:tc>
        <w:tc>
          <w:tcPr>
            <w:tcW w:w="1842" w:type="dxa"/>
            <w:vAlign w:val="center"/>
          </w:tcPr>
          <w:p w:rsidR="005A71B6" w:rsidRDefault="003B5D91">
            <w:pPr>
              <w:jc w:val="right"/>
            </w:pPr>
            <w:r>
              <w:rPr>
                <w:rFonts w:eastAsiaTheme="minorEastAsia"/>
                <w:kern w:val="0"/>
                <w:szCs w:val="21"/>
              </w:rPr>
              <w:t>127,906,394.98</w:t>
            </w:r>
          </w:p>
        </w:tc>
        <w:tc>
          <w:tcPr>
            <w:tcW w:w="1616" w:type="dxa"/>
            <w:vAlign w:val="center"/>
          </w:tcPr>
          <w:p w:rsidR="005A71B6" w:rsidRDefault="003B5D91">
            <w:pPr>
              <w:jc w:val="right"/>
            </w:pPr>
            <w:r>
              <w:rPr>
                <w:rFonts w:eastAsiaTheme="minorEastAsia"/>
                <w:kern w:val="0"/>
                <w:szCs w:val="21"/>
              </w:rPr>
              <w:t>9.42</w:t>
            </w:r>
          </w:p>
        </w:tc>
      </w:tr>
      <w:tr w:rsidR="005A71B6">
        <w:tc>
          <w:tcPr>
            <w:tcW w:w="817" w:type="dxa"/>
            <w:vAlign w:val="center"/>
          </w:tcPr>
          <w:p w:rsidR="005A71B6" w:rsidRDefault="003B5D91">
            <w:pPr>
              <w:jc w:val="center"/>
            </w:pPr>
            <w:r>
              <w:rPr>
                <w:rFonts w:eastAsiaTheme="minorEastAsia"/>
                <w:kern w:val="0"/>
                <w:szCs w:val="21"/>
              </w:rPr>
              <w:t>4</w:t>
            </w:r>
          </w:p>
        </w:tc>
        <w:tc>
          <w:tcPr>
            <w:tcW w:w="1276" w:type="dxa"/>
            <w:vAlign w:val="center"/>
          </w:tcPr>
          <w:p w:rsidR="005A71B6" w:rsidRDefault="003B5D91">
            <w:pPr>
              <w:jc w:val="center"/>
            </w:pPr>
            <w:r>
              <w:rPr>
                <w:rFonts w:eastAsiaTheme="minorEastAsia"/>
                <w:kern w:val="0"/>
                <w:szCs w:val="21"/>
              </w:rPr>
              <w:t>600779</w:t>
            </w:r>
          </w:p>
        </w:tc>
        <w:tc>
          <w:tcPr>
            <w:tcW w:w="1701" w:type="dxa"/>
            <w:vAlign w:val="center"/>
          </w:tcPr>
          <w:p w:rsidR="005A71B6" w:rsidRDefault="003B5D91">
            <w:pPr>
              <w:jc w:val="center"/>
            </w:pPr>
            <w:r>
              <w:rPr>
                <w:rFonts w:eastAsiaTheme="minorEastAsia"/>
                <w:kern w:val="0"/>
                <w:szCs w:val="21"/>
              </w:rPr>
              <w:t>水井坊</w:t>
            </w:r>
          </w:p>
        </w:tc>
        <w:tc>
          <w:tcPr>
            <w:tcW w:w="1276" w:type="dxa"/>
            <w:vAlign w:val="center"/>
          </w:tcPr>
          <w:p w:rsidR="005A71B6" w:rsidRDefault="003B5D91">
            <w:pPr>
              <w:jc w:val="right"/>
            </w:pPr>
            <w:r>
              <w:rPr>
                <w:rFonts w:eastAsiaTheme="minorEastAsia"/>
                <w:kern w:val="0"/>
                <w:szCs w:val="21"/>
              </w:rPr>
              <w:t>2,114,824</w:t>
            </w:r>
          </w:p>
        </w:tc>
        <w:tc>
          <w:tcPr>
            <w:tcW w:w="1842" w:type="dxa"/>
            <w:vAlign w:val="center"/>
          </w:tcPr>
          <w:p w:rsidR="005A71B6" w:rsidRDefault="003B5D91">
            <w:pPr>
              <w:jc w:val="right"/>
            </w:pPr>
            <w:r>
              <w:rPr>
                <w:rFonts w:eastAsiaTheme="minorEastAsia"/>
                <w:kern w:val="0"/>
                <w:szCs w:val="21"/>
              </w:rPr>
              <w:t>127,566,183.68</w:t>
            </w:r>
          </w:p>
        </w:tc>
        <w:tc>
          <w:tcPr>
            <w:tcW w:w="1616" w:type="dxa"/>
            <w:vAlign w:val="center"/>
          </w:tcPr>
          <w:p w:rsidR="005A71B6" w:rsidRDefault="003B5D91">
            <w:pPr>
              <w:jc w:val="right"/>
            </w:pPr>
            <w:r>
              <w:rPr>
                <w:rFonts w:eastAsiaTheme="minorEastAsia"/>
                <w:kern w:val="0"/>
                <w:szCs w:val="21"/>
              </w:rPr>
              <w:t>9.40</w:t>
            </w:r>
          </w:p>
        </w:tc>
      </w:tr>
      <w:tr w:rsidR="005A71B6">
        <w:tc>
          <w:tcPr>
            <w:tcW w:w="817" w:type="dxa"/>
            <w:vAlign w:val="center"/>
          </w:tcPr>
          <w:p w:rsidR="005A71B6" w:rsidRDefault="003B5D91">
            <w:pPr>
              <w:jc w:val="center"/>
            </w:pPr>
            <w:r>
              <w:rPr>
                <w:rFonts w:eastAsiaTheme="minorEastAsia"/>
                <w:kern w:val="0"/>
                <w:szCs w:val="21"/>
              </w:rPr>
              <w:t>5</w:t>
            </w:r>
          </w:p>
        </w:tc>
        <w:tc>
          <w:tcPr>
            <w:tcW w:w="1276" w:type="dxa"/>
            <w:vAlign w:val="center"/>
          </w:tcPr>
          <w:p w:rsidR="005A71B6" w:rsidRDefault="003B5D91">
            <w:pPr>
              <w:jc w:val="center"/>
            </w:pPr>
            <w:r>
              <w:rPr>
                <w:rFonts w:eastAsiaTheme="minorEastAsia"/>
                <w:kern w:val="0"/>
                <w:szCs w:val="21"/>
              </w:rPr>
              <w:t>000568</w:t>
            </w:r>
          </w:p>
        </w:tc>
        <w:tc>
          <w:tcPr>
            <w:tcW w:w="1701" w:type="dxa"/>
            <w:vAlign w:val="center"/>
          </w:tcPr>
          <w:p w:rsidR="005A71B6" w:rsidRDefault="003B5D91">
            <w:pPr>
              <w:jc w:val="center"/>
            </w:pPr>
            <w:r>
              <w:rPr>
                <w:rFonts w:eastAsiaTheme="minorEastAsia"/>
                <w:kern w:val="0"/>
                <w:szCs w:val="21"/>
              </w:rPr>
              <w:t>泸州老窖</w:t>
            </w:r>
          </w:p>
        </w:tc>
        <w:tc>
          <w:tcPr>
            <w:tcW w:w="1276" w:type="dxa"/>
            <w:vAlign w:val="center"/>
          </w:tcPr>
          <w:p w:rsidR="005A71B6" w:rsidRDefault="003B5D91">
            <w:pPr>
              <w:jc w:val="right"/>
            </w:pPr>
            <w:r>
              <w:rPr>
                <w:rFonts w:eastAsiaTheme="minorEastAsia"/>
                <w:kern w:val="0"/>
                <w:szCs w:val="21"/>
              </w:rPr>
              <w:t>583,163</w:t>
            </w:r>
          </w:p>
        </w:tc>
        <w:tc>
          <w:tcPr>
            <w:tcW w:w="1842" w:type="dxa"/>
            <w:vAlign w:val="center"/>
          </w:tcPr>
          <w:p w:rsidR="005A71B6" w:rsidRDefault="003B5D91">
            <w:pPr>
              <w:jc w:val="right"/>
            </w:pPr>
            <w:r>
              <w:rPr>
                <w:rFonts w:eastAsiaTheme="minorEastAsia"/>
                <w:kern w:val="0"/>
                <w:szCs w:val="21"/>
              </w:rPr>
              <w:t>126,342,263.95</w:t>
            </w:r>
          </w:p>
        </w:tc>
        <w:tc>
          <w:tcPr>
            <w:tcW w:w="1616" w:type="dxa"/>
            <w:vAlign w:val="center"/>
          </w:tcPr>
          <w:p w:rsidR="005A71B6" w:rsidRDefault="003B5D91">
            <w:pPr>
              <w:jc w:val="right"/>
            </w:pPr>
            <w:r>
              <w:rPr>
                <w:rFonts w:eastAsiaTheme="minorEastAsia"/>
                <w:kern w:val="0"/>
                <w:szCs w:val="21"/>
              </w:rPr>
              <w:t>9.31</w:t>
            </w:r>
          </w:p>
        </w:tc>
      </w:tr>
      <w:tr w:rsidR="005A71B6">
        <w:tc>
          <w:tcPr>
            <w:tcW w:w="817" w:type="dxa"/>
            <w:vAlign w:val="center"/>
          </w:tcPr>
          <w:p w:rsidR="005A71B6" w:rsidRDefault="003B5D91">
            <w:pPr>
              <w:jc w:val="center"/>
            </w:pPr>
            <w:r>
              <w:rPr>
                <w:rFonts w:eastAsiaTheme="minorEastAsia"/>
                <w:kern w:val="0"/>
                <w:szCs w:val="21"/>
              </w:rPr>
              <w:t>6</w:t>
            </w:r>
          </w:p>
        </w:tc>
        <w:tc>
          <w:tcPr>
            <w:tcW w:w="1276" w:type="dxa"/>
            <w:vAlign w:val="center"/>
          </w:tcPr>
          <w:p w:rsidR="005A71B6" w:rsidRDefault="003B5D91">
            <w:pPr>
              <w:jc w:val="center"/>
            </w:pPr>
            <w:r>
              <w:rPr>
                <w:rFonts w:eastAsiaTheme="minorEastAsia"/>
                <w:kern w:val="0"/>
                <w:szCs w:val="21"/>
              </w:rPr>
              <w:t>002567</w:t>
            </w:r>
          </w:p>
        </w:tc>
        <w:tc>
          <w:tcPr>
            <w:tcW w:w="1701" w:type="dxa"/>
            <w:vAlign w:val="center"/>
          </w:tcPr>
          <w:p w:rsidR="005A71B6" w:rsidRDefault="003B5D91">
            <w:pPr>
              <w:jc w:val="center"/>
            </w:pPr>
            <w:r>
              <w:rPr>
                <w:rFonts w:eastAsiaTheme="minorEastAsia"/>
                <w:kern w:val="0"/>
                <w:szCs w:val="21"/>
              </w:rPr>
              <w:t>唐人神</w:t>
            </w:r>
          </w:p>
        </w:tc>
        <w:tc>
          <w:tcPr>
            <w:tcW w:w="1276" w:type="dxa"/>
            <w:vAlign w:val="center"/>
          </w:tcPr>
          <w:p w:rsidR="005A71B6" w:rsidRDefault="003B5D91">
            <w:pPr>
              <w:jc w:val="right"/>
            </w:pPr>
            <w:r>
              <w:rPr>
                <w:rFonts w:eastAsiaTheme="minorEastAsia"/>
                <w:kern w:val="0"/>
                <w:szCs w:val="21"/>
              </w:rPr>
              <w:t>19,569,574</w:t>
            </w:r>
          </w:p>
        </w:tc>
        <w:tc>
          <w:tcPr>
            <w:tcW w:w="1842" w:type="dxa"/>
            <w:vAlign w:val="center"/>
          </w:tcPr>
          <w:p w:rsidR="005A71B6" w:rsidRDefault="003B5D91">
            <w:pPr>
              <w:jc w:val="right"/>
            </w:pPr>
            <w:r>
              <w:rPr>
                <w:rFonts w:eastAsiaTheme="minorEastAsia"/>
                <w:kern w:val="0"/>
                <w:szCs w:val="21"/>
              </w:rPr>
              <w:t>124,658,186.38</w:t>
            </w:r>
          </w:p>
        </w:tc>
        <w:tc>
          <w:tcPr>
            <w:tcW w:w="1616" w:type="dxa"/>
            <w:vAlign w:val="center"/>
          </w:tcPr>
          <w:p w:rsidR="005A71B6" w:rsidRDefault="003B5D91">
            <w:pPr>
              <w:jc w:val="right"/>
            </w:pPr>
            <w:r>
              <w:rPr>
                <w:rFonts w:eastAsiaTheme="minorEastAsia"/>
                <w:kern w:val="0"/>
                <w:szCs w:val="21"/>
              </w:rPr>
              <w:t>9.18</w:t>
            </w:r>
          </w:p>
        </w:tc>
      </w:tr>
      <w:tr w:rsidR="005A71B6">
        <w:tc>
          <w:tcPr>
            <w:tcW w:w="817" w:type="dxa"/>
            <w:vAlign w:val="center"/>
          </w:tcPr>
          <w:p w:rsidR="005A71B6" w:rsidRDefault="003B5D91">
            <w:pPr>
              <w:jc w:val="center"/>
            </w:pPr>
            <w:r>
              <w:rPr>
                <w:rFonts w:eastAsiaTheme="minorEastAsia"/>
                <w:kern w:val="0"/>
                <w:szCs w:val="21"/>
              </w:rPr>
              <w:t>7</w:t>
            </w:r>
          </w:p>
        </w:tc>
        <w:tc>
          <w:tcPr>
            <w:tcW w:w="1276" w:type="dxa"/>
            <w:vAlign w:val="center"/>
          </w:tcPr>
          <w:p w:rsidR="005A71B6" w:rsidRDefault="003B5D91">
            <w:pPr>
              <w:jc w:val="center"/>
            </w:pPr>
            <w:r>
              <w:rPr>
                <w:rFonts w:eastAsiaTheme="minorEastAsia"/>
                <w:kern w:val="0"/>
                <w:szCs w:val="21"/>
              </w:rPr>
              <w:t>600702</w:t>
            </w:r>
          </w:p>
        </w:tc>
        <w:tc>
          <w:tcPr>
            <w:tcW w:w="1701" w:type="dxa"/>
            <w:vAlign w:val="center"/>
          </w:tcPr>
          <w:p w:rsidR="005A71B6" w:rsidRDefault="003B5D91">
            <w:pPr>
              <w:jc w:val="center"/>
            </w:pPr>
            <w:r>
              <w:rPr>
                <w:rFonts w:eastAsiaTheme="minorEastAsia"/>
                <w:kern w:val="0"/>
                <w:szCs w:val="21"/>
              </w:rPr>
              <w:t>舍得酒业</w:t>
            </w:r>
          </w:p>
        </w:tc>
        <w:tc>
          <w:tcPr>
            <w:tcW w:w="1276" w:type="dxa"/>
            <w:vAlign w:val="center"/>
          </w:tcPr>
          <w:p w:rsidR="005A71B6" w:rsidRDefault="003B5D91">
            <w:pPr>
              <w:jc w:val="right"/>
            </w:pPr>
            <w:r>
              <w:rPr>
                <w:rFonts w:eastAsiaTheme="minorEastAsia"/>
                <w:kern w:val="0"/>
                <w:szCs w:val="21"/>
              </w:rPr>
              <w:t>933,652</w:t>
            </w:r>
          </w:p>
        </w:tc>
        <w:tc>
          <w:tcPr>
            <w:tcW w:w="1842" w:type="dxa"/>
            <w:vAlign w:val="center"/>
          </w:tcPr>
          <w:p w:rsidR="005A71B6" w:rsidRDefault="003B5D91">
            <w:pPr>
              <w:jc w:val="right"/>
            </w:pPr>
            <w:r>
              <w:rPr>
                <w:rFonts w:eastAsiaTheme="minorEastAsia"/>
                <w:kern w:val="0"/>
                <w:szCs w:val="21"/>
              </w:rPr>
              <w:t>116,706,500.00</w:t>
            </w:r>
          </w:p>
        </w:tc>
        <w:tc>
          <w:tcPr>
            <w:tcW w:w="1616" w:type="dxa"/>
            <w:vAlign w:val="center"/>
          </w:tcPr>
          <w:p w:rsidR="005A71B6" w:rsidRDefault="003B5D91">
            <w:pPr>
              <w:jc w:val="right"/>
            </w:pPr>
            <w:r>
              <w:rPr>
                <w:rFonts w:eastAsiaTheme="minorEastAsia"/>
                <w:kern w:val="0"/>
                <w:szCs w:val="21"/>
              </w:rPr>
              <w:t>8.60</w:t>
            </w:r>
          </w:p>
        </w:tc>
      </w:tr>
      <w:tr w:rsidR="005A71B6">
        <w:tc>
          <w:tcPr>
            <w:tcW w:w="817" w:type="dxa"/>
            <w:vAlign w:val="center"/>
          </w:tcPr>
          <w:p w:rsidR="005A71B6" w:rsidRDefault="003B5D91">
            <w:pPr>
              <w:jc w:val="center"/>
            </w:pPr>
            <w:r>
              <w:rPr>
                <w:rFonts w:eastAsiaTheme="minorEastAsia"/>
                <w:kern w:val="0"/>
                <w:szCs w:val="21"/>
              </w:rPr>
              <w:t>8</w:t>
            </w:r>
          </w:p>
        </w:tc>
        <w:tc>
          <w:tcPr>
            <w:tcW w:w="1276" w:type="dxa"/>
            <w:vAlign w:val="center"/>
          </w:tcPr>
          <w:p w:rsidR="005A71B6" w:rsidRDefault="003B5D91">
            <w:pPr>
              <w:jc w:val="center"/>
            </w:pPr>
            <w:r>
              <w:rPr>
                <w:rFonts w:eastAsiaTheme="minorEastAsia"/>
                <w:kern w:val="0"/>
                <w:szCs w:val="21"/>
              </w:rPr>
              <w:t>600975</w:t>
            </w:r>
          </w:p>
        </w:tc>
        <w:tc>
          <w:tcPr>
            <w:tcW w:w="1701" w:type="dxa"/>
            <w:vAlign w:val="center"/>
          </w:tcPr>
          <w:p w:rsidR="005A71B6" w:rsidRDefault="003B5D91">
            <w:pPr>
              <w:jc w:val="center"/>
            </w:pPr>
            <w:r>
              <w:rPr>
                <w:rFonts w:eastAsiaTheme="minorEastAsia"/>
                <w:kern w:val="0"/>
                <w:szCs w:val="21"/>
              </w:rPr>
              <w:t>新五丰</w:t>
            </w:r>
          </w:p>
        </w:tc>
        <w:tc>
          <w:tcPr>
            <w:tcW w:w="1276" w:type="dxa"/>
            <w:vAlign w:val="center"/>
          </w:tcPr>
          <w:p w:rsidR="005A71B6" w:rsidRDefault="003B5D91">
            <w:pPr>
              <w:jc w:val="right"/>
            </w:pPr>
            <w:r>
              <w:rPr>
                <w:rFonts w:eastAsiaTheme="minorEastAsia"/>
                <w:kern w:val="0"/>
                <w:szCs w:val="21"/>
              </w:rPr>
              <w:t>12,755,460</w:t>
            </w:r>
          </w:p>
        </w:tc>
        <w:tc>
          <w:tcPr>
            <w:tcW w:w="1842" w:type="dxa"/>
            <w:vAlign w:val="center"/>
          </w:tcPr>
          <w:p w:rsidR="005A71B6" w:rsidRDefault="003B5D91">
            <w:pPr>
              <w:jc w:val="right"/>
            </w:pPr>
            <w:r>
              <w:rPr>
                <w:rFonts w:eastAsiaTheme="minorEastAsia"/>
                <w:kern w:val="0"/>
                <w:szCs w:val="21"/>
              </w:rPr>
              <w:t>111,227,611.20</w:t>
            </w:r>
          </w:p>
        </w:tc>
        <w:tc>
          <w:tcPr>
            <w:tcW w:w="1616" w:type="dxa"/>
            <w:vAlign w:val="center"/>
          </w:tcPr>
          <w:p w:rsidR="005A71B6" w:rsidRDefault="003B5D91">
            <w:pPr>
              <w:jc w:val="right"/>
            </w:pPr>
            <w:r>
              <w:rPr>
                <w:rFonts w:eastAsiaTheme="minorEastAsia"/>
                <w:kern w:val="0"/>
                <w:szCs w:val="21"/>
              </w:rPr>
              <w:t>8.19</w:t>
            </w:r>
          </w:p>
        </w:tc>
      </w:tr>
      <w:tr w:rsidR="005A71B6">
        <w:tc>
          <w:tcPr>
            <w:tcW w:w="817" w:type="dxa"/>
            <w:vAlign w:val="center"/>
          </w:tcPr>
          <w:p w:rsidR="005A71B6" w:rsidRDefault="003B5D91">
            <w:pPr>
              <w:jc w:val="center"/>
            </w:pPr>
            <w:r>
              <w:rPr>
                <w:rFonts w:eastAsiaTheme="minorEastAsia"/>
                <w:kern w:val="0"/>
                <w:szCs w:val="21"/>
              </w:rPr>
              <w:t>9</w:t>
            </w:r>
          </w:p>
        </w:tc>
        <w:tc>
          <w:tcPr>
            <w:tcW w:w="1276" w:type="dxa"/>
            <w:vAlign w:val="center"/>
          </w:tcPr>
          <w:p w:rsidR="005A71B6" w:rsidRDefault="003B5D91">
            <w:pPr>
              <w:jc w:val="center"/>
            </w:pPr>
            <w:r>
              <w:rPr>
                <w:rFonts w:eastAsiaTheme="minorEastAsia"/>
                <w:kern w:val="0"/>
                <w:szCs w:val="21"/>
              </w:rPr>
              <w:t>603027</w:t>
            </w:r>
          </w:p>
        </w:tc>
        <w:tc>
          <w:tcPr>
            <w:tcW w:w="1701" w:type="dxa"/>
            <w:vAlign w:val="center"/>
          </w:tcPr>
          <w:p w:rsidR="005A71B6" w:rsidRDefault="003B5D91">
            <w:pPr>
              <w:jc w:val="center"/>
            </w:pPr>
            <w:r>
              <w:rPr>
                <w:rFonts w:eastAsiaTheme="minorEastAsia"/>
                <w:kern w:val="0"/>
                <w:szCs w:val="21"/>
              </w:rPr>
              <w:t>千禾味业</w:t>
            </w:r>
          </w:p>
        </w:tc>
        <w:tc>
          <w:tcPr>
            <w:tcW w:w="1276" w:type="dxa"/>
            <w:vAlign w:val="center"/>
          </w:tcPr>
          <w:p w:rsidR="005A71B6" w:rsidRDefault="003B5D91">
            <w:pPr>
              <w:jc w:val="right"/>
            </w:pPr>
            <w:r>
              <w:rPr>
                <w:rFonts w:eastAsiaTheme="minorEastAsia"/>
                <w:kern w:val="0"/>
                <w:szCs w:val="21"/>
              </w:rPr>
              <w:t>4,744,991</w:t>
            </w:r>
          </w:p>
        </w:tc>
        <w:tc>
          <w:tcPr>
            <w:tcW w:w="1842" w:type="dxa"/>
            <w:vAlign w:val="center"/>
          </w:tcPr>
          <w:p w:rsidR="005A71B6" w:rsidRDefault="003B5D91">
            <w:pPr>
              <w:jc w:val="right"/>
            </w:pPr>
            <w:r>
              <w:rPr>
                <w:rFonts w:eastAsiaTheme="minorEastAsia"/>
                <w:kern w:val="0"/>
                <w:szCs w:val="21"/>
              </w:rPr>
              <w:t>82,230,694.03</w:t>
            </w:r>
          </w:p>
        </w:tc>
        <w:tc>
          <w:tcPr>
            <w:tcW w:w="1616" w:type="dxa"/>
            <w:vAlign w:val="center"/>
          </w:tcPr>
          <w:p w:rsidR="005A71B6" w:rsidRDefault="003B5D91">
            <w:pPr>
              <w:jc w:val="right"/>
            </w:pPr>
            <w:r>
              <w:rPr>
                <w:rFonts w:eastAsiaTheme="minorEastAsia"/>
                <w:kern w:val="0"/>
                <w:szCs w:val="21"/>
              </w:rPr>
              <w:t>6.06</w:t>
            </w:r>
          </w:p>
        </w:tc>
      </w:tr>
      <w:tr w:rsidR="005A71B6">
        <w:tc>
          <w:tcPr>
            <w:tcW w:w="817" w:type="dxa"/>
            <w:vAlign w:val="center"/>
          </w:tcPr>
          <w:p w:rsidR="005A71B6" w:rsidRDefault="003B5D91">
            <w:pPr>
              <w:jc w:val="center"/>
            </w:pPr>
            <w:r>
              <w:rPr>
                <w:rFonts w:eastAsiaTheme="minorEastAsia"/>
                <w:kern w:val="0"/>
                <w:szCs w:val="21"/>
              </w:rPr>
              <w:t>10</w:t>
            </w:r>
          </w:p>
        </w:tc>
        <w:tc>
          <w:tcPr>
            <w:tcW w:w="1276" w:type="dxa"/>
            <w:vAlign w:val="center"/>
          </w:tcPr>
          <w:p w:rsidR="005A71B6" w:rsidRDefault="003B5D91">
            <w:pPr>
              <w:jc w:val="center"/>
            </w:pPr>
            <w:r>
              <w:rPr>
                <w:rFonts w:eastAsiaTheme="minorEastAsia"/>
                <w:kern w:val="0"/>
                <w:szCs w:val="21"/>
              </w:rPr>
              <w:t>600519</w:t>
            </w:r>
          </w:p>
        </w:tc>
        <w:tc>
          <w:tcPr>
            <w:tcW w:w="1701" w:type="dxa"/>
            <w:vAlign w:val="center"/>
          </w:tcPr>
          <w:p w:rsidR="005A71B6" w:rsidRDefault="003B5D91">
            <w:pPr>
              <w:jc w:val="center"/>
            </w:pPr>
            <w:r>
              <w:rPr>
                <w:rFonts w:eastAsiaTheme="minorEastAsia"/>
                <w:kern w:val="0"/>
                <w:szCs w:val="21"/>
              </w:rPr>
              <w:t>贵州茅台</w:t>
            </w:r>
          </w:p>
        </w:tc>
        <w:tc>
          <w:tcPr>
            <w:tcW w:w="1276" w:type="dxa"/>
            <w:vAlign w:val="center"/>
          </w:tcPr>
          <w:p w:rsidR="005A71B6" w:rsidRDefault="003B5D91">
            <w:pPr>
              <w:jc w:val="right"/>
            </w:pPr>
            <w:r>
              <w:rPr>
                <w:rFonts w:eastAsiaTheme="minorEastAsia"/>
                <w:kern w:val="0"/>
                <w:szCs w:val="21"/>
              </w:rPr>
              <w:t>41,916</w:t>
            </w:r>
          </w:p>
        </w:tc>
        <w:tc>
          <w:tcPr>
            <w:tcW w:w="1842" w:type="dxa"/>
            <w:vAlign w:val="center"/>
          </w:tcPr>
          <w:p w:rsidR="005A71B6" w:rsidRDefault="003B5D91">
            <w:pPr>
              <w:jc w:val="right"/>
            </w:pPr>
            <w:r>
              <w:rPr>
                <w:rFonts w:eastAsiaTheme="minorEastAsia"/>
                <w:kern w:val="0"/>
                <w:szCs w:val="21"/>
              </w:rPr>
              <w:t>75,388,021.80</w:t>
            </w:r>
          </w:p>
        </w:tc>
        <w:tc>
          <w:tcPr>
            <w:tcW w:w="1616" w:type="dxa"/>
            <w:vAlign w:val="center"/>
          </w:tcPr>
          <w:p w:rsidR="005A71B6" w:rsidRDefault="003B5D91">
            <w:pPr>
              <w:jc w:val="right"/>
            </w:pPr>
            <w:r>
              <w:rPr>
                <w:rFonts w:eastAsiaTheme="minorEastAsia"/>
                <w:kern w:val="0"/>
                <w:szCs w:val="21"/>
              </w:rPr>
              <w:t>5.55</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470,666.53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22,915,445.41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107,129.60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23,493,241.54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204,854,765.02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162,363,996.37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51,237,100.42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15,014,589.27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4,340,409.99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31,392,622.38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251,751,455.45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145,985,963.26</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摩根健康品质生活混合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w:t>
            </w:r>
            <w:r w:rsidRPr="00B27A29">
              <w:rPr>
                <w:color w:val="000000" w:themeColor="text1"/>
                <w:sz w:val="21"/>
                <w:szCs w:val="21"/>
              </w:rPr>
              <w:lastRenderedPageBreak/>
              <w:t>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lastRenderedPageBreak/>
              <w:t>59,896.68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59,896.68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C8367A" w:rsidRDefault="00C8367A" w:rsidP="00C8367A">
      <w:pPr>
        <w:spacing w:line="360" w:lineRule="auto"/>
        <w:jc w:val="left"/>
        <w:rPr>
          <w:b/>
          <w:color w:val="000000" w:themeColor="text1"/>
          <w:szCs w:val="21"/>
        </w:rPr>
      </w:pPr>
    </w:p>
    <w:p w:rsidR="00C8367A" w:rsidRDefault="00C8367A" w:rsidP="00C8367A">
      <w:pPr>
        <w:spacing w:line="360" w:lineRule="auto"/>
        <w:jc w:val="left"/>
        <w:rPr>
          <w:b/>
          <w:color w:val="000000" w:themeColor="text1"/>
          <w:szCs w:val="21"/>
        </w:rPr>
      </w:pPr>
      <w:r>
        <w:rPr>
          <w:b/>
          <w:color w:val="000000" w:themeColor="text1"/>
          <w:szCs w:val="21"/>
        </w:rPr>
        <w:t xml:space="preserve">7.2 </w:t>
      </w:r>
      <w:r>
        <w:rPr>
          <w:rFonts w:hint="eastAsia"/>
          <w:b/>
          <w:color w:val="000000" w:themeColor="text1"/>
          <w:szCs w:val="21"/>
        </w:rPr>
        <w:t>基金管理人运用固有资金投资本基金交易明细</w:t>
      </w:r>
    </w:p>
    <w:p w:rsidR="00C8367A" w:rsidRDefault="00C8367A" w:rsidP="00C8367A">
      <w:pPr>
        <w:spacing w:line="360" w:lineRule="auto"/>
        <w:jc w:val="left"/>
        <w:rPr>
          <w:color w:val="000000" w:themeColor="text1"/>
          <w:szCs w:val="21"/>
        </w:rPr>
      </w:pPr>
      <w:r>
        <w:rPr>
          <w:rFonts w:hint="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5A71B6" w:rsidRDefault="003B5D9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5A71B6" w:rsidRDefault="003B5D9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摩根健康品质生活混合型证券投资基金基金合同</w:t>
      </w:r>
    </w:p>
    <w:p w:rsidR="005A71B6" w:rsidRDefault="003B5D9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摩根健康品质生活混合型证券投资基金托管协议</w:t>
      </w:r>
    </w:p>
    <w:p w:rsidR="005A71B6" w:rsidRDefault="003B5D9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5A71B6" w:rsidRDefault="003B5D9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5A71B6" w:rsidRDefault="003B5D9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5A71B6" w:rsidRDefault="003B5D9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D91" w:rsidRDefault="003B5D91">
      <w:r>
        <w:separator/>
      </w:r>
    </w:p>
  </w:endnote>
  <w:endnote w:type="continuationSeparator" w:id="0">
    <w:p w:rsidR="003B5D91" w:rsidRDefault="003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8379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83799">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83799">
      <w:rPr>
        <w:rStyle w:val="af6"/>
        <w:noProof/>
      </w:rPr>
      <w:t>13</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D91" w:rsidRDefault="003B5D91">
      <w:r>
        <w:separator/>
      </w:r>
    </w:p>
  </w:footnote>
  <w:footnote w:type="continuationSeparator" w:id="0">
    <w:p w:rsidR="003B5D91" w:rsidRDefault="003B5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摩根健康品质生活混合型证券投资基金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3799"/>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B5D91"/>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A71B6"/>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367A"/>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 w:id="1491797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F7D55B-403B-42BA-9AED-99425A5D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26</TotalTime>
  <Pages>14</Pages>
  <Words>1281</Words>
  <Characters>7307</Characters>
  <Application>Microsoft Office Word</Application>
  <DocSecurity>0</DocSecurity>
  <Lines>60</Lines>
  <Paragraphs>17</Paragraphs>
  <ScaleCrop>false</ScaleCrop>
  <Company>TRT. Ltd. Co.</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221</cp:revision>
  <cp:lastPrinted>2007-07-19T00:46:00Z</cp:lastPrinted>
  <dcterms:created xsi:type="dcterms:W3CDTF">2013-06-21T06:56:00Z</dcterms:created>
  <dcterms:modified xsi:type="dcterms:W3CDTF">2023-10-24T07:09:00Z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