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66F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8D1EDD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89D4DD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5BFB53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6984B8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B969C1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摩根健康品质生活混合型证券投资基金</w:t>
      </w:r>
    </w:p>
    <w:p w14:paraId="4BEFDA1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4B8F01EB"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4849727B" w14:textId="77777777" w:rsidR="005E6DF3" w:rsidRPr="00B27A29" w:rsidRDefault="005E6DF3">
      <w:pPr>
        <w:spacing w:line="360" w:lineRule="auto"/>
        <w:jc w:val="center"/>
        <w:rPr>
          <w:rFonts w:eastAsiaTheme="minorEastAsia"/>
          <w:b/>
          <w:color w:val="000000" w:themeColor="text1"/>
          <w:szCs w:val="21"/>
        </w:rPr>
      </w:pPr>
    </w:p>
    <w:p w14:paraId="44B9B7EB" w14:textId="77777777" w:rsidR="005E6DF3" w:rsidRPr="00B27A29" w:rsidRDefault="005E6DF3">
      <w:pPr>
        <w:spacing w:line="360" w:lineRule="auto"/>
        <w:jc w:val="center"/>
        <w:rPr>
          <w:rFonts w:eastAsiaTheme="minorEastAsia"/>
          <w:b/>
          <w:color w:val="000000" w:themeColor="text1"/>
          <w:szCs w:val="21"/>
        </w:rPr>
      </w:pPr>
    </w:p>
    <w:p w14:paraId="23D1870B" w14:textId="77777777" w:rsidR="005E6DF3" w:rsidRPr="00B27A29" w:rsidRDefault="005E6DF3">
      <w:pPr>
        <w:spacing w:line="360" w:lineRule="auto"/>
        <w:jc w:val="center"/>
        <w:rPr>
          <w:rFonts w:eastAsiaTheme="minorEastAsia"/>
          <w:b/>
          <w:color w:val="000000" w:themeColor="text1"/>
          <w:szCs w:val="21"/>
        </w:rPr>
      </w:pPr>
    </w:p>
    <w:p w14:paraId="38366E37" w14:textId="77777777" w:rsidR="005E6DF3" w:rsidRPr="00B27A29" w:rsidRDefault="005E6DF3">
      <w:pPr>
        <w:spacing w:line="360" w:lineRule="auto"/>
        <w:jc w:val="center"/>
        <w:rPr>
          <w:rFonts w:eastAsiaTheme="minorEastAsia"/>
          <w:b/>
          <w:color w:val="000000" w:themeColor="text1"/>
          <w:szCs w:val="21"/>
        </w:rPr>
      </w:pPr>
    </w:p>
    <w:p w14:paraId="1B2EF6D2" w14:textId="77777777" w:rsidR="005E6DF3" w:rsidRPr="00B27A29" w:rsidRDefault="005E6DF3">
      <w:pPr>
        <w:spacing w:line="360" w:lineRule="auto"/>
        <w:jc w:val="center"/>
        <w:rPr>
          <w:rFonts w:eastAsiaTheme="minorEastAsia"/>
          <w:b/>
          <w:color w:val="000000" w:themeColor="text1"/>
          <w:szCs w:val="21"/>
        </w:rPr>
      </w:pPr>
    </w:p>
    <w:p w14:paraId="73BF8AA9" w14:textId="77777777" w:rsidR="005E6DF3" w:rsidRPr="00B27A29" w:rsidRDefault="005E6DF3">
      <w:pPr>
        <w:spacing w:line="360" w:lineRule="auto"/>
        <w:jc w:val="center"/>
        <w:rPr>
          <w:rFonts w:eastAsiaTheme="minorEastAsia"/>
          <w:b/>
          <w:color w:val="000000" w:themeColor="text1"/>
          <w:szCs w:val="21"/>
        </w:rPr>
      </w:pPr>
    </w:p>
    <w:p w14:paraId="16377453" w14:textId="77777777" w:rsidR="005E6DF3" w:rsidRPr="00B27A29" w:rsidRDefault="005E6DF3">
      <w:pPr>
        <w:spacing w:line="360" w:lineRule="auto"/>
        <w:jc w:val="center"/>
        <w:rPr>
          <w:rFonts w:eastAsiaTheme="minorEastAsia"/>
          <w:b/>
          <w:color w:val="000000" w:themeColor="text1"/>
          <w:szCs w:val="21"/>
        </w:rPr>
      </w:pPr>
    </w:p>
    <w:p w14:paraId="6876629A" w14:textId="77777777" w:rsidR="005E6DF3" w:rsidRPr="00B27A29" w:rsidRDefault="005E6DF3">
      <w:pPr>
        <w:spacing w:line="360" w:lineRule="auto"/>
        <w:jc w:val="center"/>
        <w:rPr>
          <w:rFonts w:eastAsiaTheme="minorEastAsia"/>
          <w:b/>
          <w:color w:val="000000" w:themeColor="text1"/>
          <w:szCs w:val="21"/>
        </w:rPr>
      </w:pPr>
    </w:p>
    <w:p w14:paraId="20B18E9B" w14:textId="77777777" w:rsidR="005E6DF3" w:rsidRPr="00B27A29" w:rsidRDefault="005E6DF3">
      <w:pPr>
        <w:spacing w:line="360" w:lineRule="auto"/>
        <w:jc w:val="center"/>
        <w:rPr>
          <w:rFonts w:eastAsiaTheme="minorEastAsia"/>
          <w:b/>
          <w:color w:val="000000" w:themeColor="text1"/>
          <w:szCs w:val="21"/>
        </w:rPr>
      </w:pPr>
    </w:p>
    <w:p w14:paraId="56B88FEC" w14:textId="77777777" w:rsidR="005E6DF3" w:rsidRPr="00B27A29" w:rsidRDefault="005E6DF3">
      <w:pPr>
        <w:spacing w:line="360" w:lineRule="auto"/>
        <w:jc w:val="center"/>
        <w:rPr>
          <w:rFonts w:eastAsiaTheme="minorEastAsia"/>
          <w:b/>
          <w:color w:val="000000" w:themeColor="text1"/>
          <w:szCs w:val="21"/>
        </w:rPr>
      </w:pPr>
    </w:p>
    <w:p w14:paraId="017632BF" w14:textId="77777777" w:rsidR="005E6DF3" w:rsidRPr="00B27A29" w:rsidRDefault="005E6DF3">
      <w:pPr>
        <w:spacing w:line="360" w:lineRule="auto"/>
        <w:jc w:val="center"/>
        <w:rPr>
          <w:rFonts w:eastAsiaTheme="minorEastAsia"/>
          <w:b/>
          <w:color w:val="000000" w:themeColor="text1"/>
          <w:szCs w:val="21"/>
        </w:rPr>
      </w:pPr>
    </w:p>
    <w:p w14:paraId="2E856CFB" w14:textId="77777777" w:rsidR="005E6DF3" w:rsidRPr="00B27A29" w:rsidRDefault="005E6DF3">
      <w:pPr>
        <w:spacing w:line="360" w:lineRule="auto"/>
        <w:jc w:val="center"/>
        <w:rPr>
          <w:rFonts w:eastAsiaTheme="minorEastAsia"/>
          <w:b/>
          <w:color w:val="000000" w:themeColor="text1"/>
          <w:szCs w:val="21"/>
        </w:rPr>
      </w:pPr>
    </w:p>
    <w:p w14:paraId="4FB29760" w14:textId="77777777" w:rsidR="005E6DF3" w:rsidRPr="00B27A29" w:rsidRDefault="005E6DF3">
      <w:pPr>
        <w:spacing w:line="360" w:lineRule="auto"/>
        <w:jc w:val="center"/>
        <w:rPr>
          <w:rFonts w:eastAsiaTheme="minorEastAsia"/>
          <w:b/>
          <w:color w:val="000000" w:themeColor="text1"/>
          <w:szCs w:val="21"/>
        </w:rPr>
      </w:pPr>
    </w:p>
    <w:p w14:paraId="11661A14" w14:textId="77777777" w:rsidR="005E6DF3" w:rsidRPr="00B27A29" w:rsidRDefault="005E6DF3">
      <w:pPr>
        <w:spacing w:line="360" w:lineRule="auto"/>
        <w:rPr>
          <w:rFonts w:eastAsiaTheme="minorEastAsia"/>
          <w:b/>
          <w:color w:val="000000" w:themeColor="text1"/>
          <w:szCs w:val="21"/>
        </w:rPr>
      </w:pPr>
    </w:p>
    <w:p w14:paraId="1503251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4B3BE0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6E8EBD81"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7508F452"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391F4BB"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166AF62"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1B630969"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16CCD92"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6173E5F"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44C07E4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27BA4E3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6CACF36" w14:textId="77777777">
        <w:tc>
          <w:tcPr>
            <w:tcW w:w="2835" w:type="dxa"/>
            <w:vAlign w:val="center"/>
          </w:tcPr>
          <w:p w14:paraId="3157E36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13BAF80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摩根健康品质生活混合</w:t>
            </w:r>
          </w:p>
        </w:tc>
      </w:tr>
      <w:tr w:rsidR="005E6DF3" w:rsidRPr="00B27A29" w14:paraId="716EE89F" w14:textId="77777777">
        <w:tc>
          <w:tcPr>
            <w:tcW w:w="2835" w:type="dxa"/>
            <w:vAlign w:val="center"/>
          </w:tcPr>
          <w:p w14:paraId="2D7BFED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8EC6F1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377150</w:t>
            </w:r>
          </w:p>
        </w:tc>
      </w:tr>
      <w:tr w:rsidR="005E6DF3" w:rsidRPr="00B27A29" w14:paraId="28142E08" w14:textId="77777777">
        <w:tc>
          <w:tcPr>
            <w:tcW w:w="2835" w:type="dxa"/>
            <w:vAlign w:val="center"/>
          </w:tcPr>
          <w:p w14:paraId="46DF141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712D22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3314E04" w14:textId="77777777">
        <w:tc>
          <w:tcPr>
            <w:tcW w:w="2835" w:type="dxa"/>
            <w:vAlign w:val="center"/>
          </w:tcPr>
          <w:p w14:paraId="2936AE1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31C08EC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w:t>
            </w:r>
          </w:p>
        </w:tc>
      </w:tr>
      <w:tr w:rsidR="005E6DF3" w:rsidRPr="00B27A29" w14:paraId="0AA461A8" w14:textId="77777777">
        <w:tc>
          <w:tcPr>
            <w:tcW w:w="2835" w:type="dxa"/>
            <w:vAlign w:val="center"/>
          </w:tcPr>
          <w:p w14:paraId="558AC95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485BF3C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275,267,438.00</w:t>
            </w:r>
            <w:r w:rsidRPr="00B27A29">
              <w:rPr>
                <w:rFonts w:eastAsiaTheme="minorEastAsia"/>
                <w:color w:val="000000" w:themeColor="text1"/>
                <w:kern w:val="0"/>
                <w:szCs w:val="21"/>
              </w:rPr>
              <w:t>份</w:t>
            </w:r>
          </w:p>
        </w:tc>
      </w:tr>
      <w:tr w:rsidR="005E6DF3" w:rsidRPr="00B27A29" w14:paraId="1F0BA659" w14:textId="77777777">
        <w:tc>
          <w:tcPr>
            <w:tcW w:w="2835" w:type="dxa"/>
            <w:vAlign w:val="center"/>
          </w:tcPr>
          <w:p w14:paraId="5F43124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B20A94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5E6DF3" w:rsidRPr="00B27A29" w14:paraId="12510CA4" w14:textId="77777777">
        <w:tc>
          <w:tcPr>
            <w:tcW w:w="2835" w:type="dxa"/>
            <w:vAlign w:val="center"/>
          </w:tcPr>
          <w:p w14:paraId="1CF960B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2600827C" w14:textId="77777777" w:rsidR="00561AE3" w:rsidRDefault="007923B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C9A8A63" w14:textId="77777777" w:rsidR="00561AE3" w:rsidRDefault="007923B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14:paraId="4FBBF2C6" w14:textId="77777777" w:rsidR="00561AE3" w:rsidRDefault="007923B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p>
          <w:p w14:paraId="785D64AD" w14:textId="77777777" w:rsidR="00561AE3" w:rsidRDefault="007923B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w:t>
            </w:r>
            <w:r>
              <w:rPr>
                <w:rFonts w:eastAsiaTheme="minorEastAsia"/>
                <w:color w:val="000000" w:themeColor="text1"/>
                <w:kern w:val="0"/>
                <w:szCs w:val="21"/>
              </w:rPr>
              <w:t>策略</w:t>
            </w:r>
          </w:p>
          <w:p w14:paraId="31EC3D61" w14:textId="77777777" w:rsidR="00561AE3" w:rsidRDefault="007923B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类的需求主要来自于两方面：一是延长生命长度，提升健康水平；二是拓展生命宽度，提高生活品质。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14:paraId="4EFB87E1" w14:textId="77777777" w:rsidR="00561AE3" w:rsidRDefault="007923B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2298B42F" w14:textId="77777777" w:rsidR="00561AE3" w:rsidRDefault="007923B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w:t>
            </w:r>
            <w:r>
              <w:rPr>
                <w:rFonts w:eastAsiaTheme="minorEastAsia"/>
                <w:color w:val="000000" w:themeColor="text1"/>
                <w:kern w:val="0"/>
                <w:szCs w:val="21"/>
              </w:rPr>
              <w:t>综合研究的基础上实施积极主动的组合管理，并主要通过类属配置与债券选择两个层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574522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、其他投资策略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包括可转换债券投资策略、权证投资策略、存托凭证投资策略。</w:t>
            </w:r>
          </w:p>
        </w:tc>
      </w:tr>
      <w:tr w:rsidR="005E6DF3" w:rsidRPr="00B27A29" w14:paraId="0E0DED8D" w14:textId="77777777">
        <w:tc>
          <w:tcPr>
            <w:tcW w:w="2835" w:type="dxa"/>
            <w:vAlign w:val="center"/>
          </w:tcPr>
          <w:p w14:paraId="4A5E9A5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A54B0C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w:t>
            </w:r>
            <w:proofErr w:type="gramStart"/>
            <w:r w:rsidRPr="00B27A29">
              <w:rPr>
                <w:rFonts w:eastAsiaTheme="minorEastAsia"/>
                <w:color w:val="000000" w:themeColor="text1"/>
                <w:kern w:val="0"/>
                <w:szCs w:val="21"/>
              </w:rPr>
              <w:t>证内地</w:t>
            </w:r>
            <w:proofErr w:type="gramEnd"/>
            <w:r w:rsidRPr="00B27A29">
              <w:rPr>
                <w:rFonts w:eastAsiaTheme="minorEastAsia"/>
                <w:color w:val="000000" w:themeColor="text1"/>
                <w:kern w:val="0"/>
                <w:szCs w:val="21"/>
              </w:rPr>
              <w:t>消费指数收益率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*20%</w:t>
            </w:r>
          </w:p>
        </w:tc>
      </w:tr>
      <w:tr w:rsidR="005E6DF3" w:rsidRPr="00B27A29" w14:paraId="6C6B42B1" w14:textId="77777777">
        <w:tc>
          <w:tcPr>
            <w:tcW w:w="2835" w:type="dxa"/>
            <w:vAlign w:val="center"/>
          </w:tcPr>
          <w:p w14:paraId="475F035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23107853" w14:textId="77777777" w:rsidR="00561AE3" w:rsidRDefault="007923B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p>
          <w:p w14:paraId="49E4DFD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59A59B5D" w14:textId="77777777">
        <w:tc>
          <w:tcPr>
            <w:tcW w:w="2835" w:type="dxa"/>
            <w:vAlign w:val="center"/>
          </w:tcPr>
          <w:p w14:paraId="69EA847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64E8FF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7AD8279" w14:textId="77777777">
        <w:tc>
          <w:tcPr>
            <w:tcW w:w="2835" w:type="dxa"/>
            <w:vAlign w:val="center"/>
          </w:tcPr>
          <w:p w14:paraId="414620D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A67B5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2DB800DD" w14:textId="77777777">
        <w:tc>
          <w:tcPr>
            <w:tcW w:w="2835" w:type="dxa"/>
            <w:vAlign w:val="center"/>
          </w:tcPr>
          <w:p w14:paraId="16732D0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B9353E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740" w:type="dxa"/>
            <w:vAlign w:val="center"/>
          </w:tcPr>
          <w:p w14:paraId="3E0700D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14:paraId="02D38324" w14:textId="77777777">
        <w:tc>
          <w:tcPr>
            <w:tcW w:w="2835" w:type="dxa"/>
            <w:vAlign w:val="center"/>
          </w:tcPr>
          <w:p w14:paraId="0705E01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0771FED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377150</w:t>
            </w:r>
          </w:p>
        </w:tc>
        <w:tc>
          <w:tcPr>
            <w:tcW w:w="2740" w:type="dxa"/>
            <w:vAlign w:val="center"/>
          </w:tcPr>
          <w:p w14:paraId="3B49371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015346</w:t>
            </w:r>
          </w:p>
        </w:tc>
      </w:tr>
      <w:tr w:rsidR="005E6DF3" w:rsidRPr="00B27A29" w14:paraId="59C9B000" w14:textId="77777777">
        <w:tc>
          <w:tcPr>
            <w:tcW w:w="2835" w:type="dxa"/>
            <w:vAlign w:val="center"/>
          </w:tcPr>
          <w:p w14:paraId="075AB36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DA045A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250,786,912.80</w:t>
            </w:r>
            <w:r w:rsidRPr="00B27A29">
              <w:rPr>
                <w:rFonts w:eastAsiaTheme="minorEastAsia"/>
                <w:color w:val="000000" w:themeColor="text1"/>
                <w:kern w:val="0"/>
                <w:szCs w:val="21"/>
              </w:rPr>
              <w:t>份</w:t>
            </w:r>
          </w:p>
        </w:tc>
        <w:tc>
          <w:tcPr>
            <w:tcW w:w="2740" w:type="dxa"/>
            <w:vAlign w:val="center"/>
          </w:tcPr>
          <w:p w14:paraId="489D68C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24,480,525.20</w:t>
            </w:r>
            <w:r w:rsidRPr="00B27A29">
              <w:rPr>
                <w:rFonts w:eastAsiaTheme="minorEastAsia"/>
                <w:color w:val="000000" w:themeColor="text1"/>
                <w:kern w:val="0"/>
                <w:szCs w:val="21"/>
              </w:rPr>
              <w:t>份</w:t>
            </w:r>
          </w:p>
        </w:tc>
      </w:tr>
    </w:tbl>
    <w:p w14:paraId="2971C6B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0CE0543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50B6247"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2B3CC7B4" w14:textId="77777777">
        <w:tc>
          <w:tcPr>
            <w:tcW w:w="3402" w:type="dxa"/>
            <w:vMerge w:val="restart"/>
            <w:vAlign w:val="center"/>
          </w:tcPr>
          <w:p w14:paraId="70C5FC4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66C42B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248BB0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4828A90A" w14:textId="77777777">
        <w:tc>
          <w:tcPr>
            <w:tcW w:w="3402" w:type="dxa"/>
            <w:vMerge/>
            <w:vAlign w:val="center"/>
          </w:tcPr>
          <w:p w14:paraId="55C60008"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7FC233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lastRenderedPageBreak/>
              <w:t>A</w:t>
            </w:r>
          </w:p>
        </w:tc>
        <w:tc>
          <w:tcPr>
            <w:tcW w:w="2481" w:type="dxa"/>
            <w:vAlign w:val="center"/>
          </w:tcPr>
          <w:p w14:paraId="0EE0264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摩根健康品质生活混合</w:t>
            </w:r>
            <w:r w:rsidRPr="00B27A29">
              <w:rPr>
                <w:rFonts w:eastAsiaTheme="minorEastAsia"/>
                <w:color w:val="000000" w:themeColor="text1"/>
                <w:szCs w:val="21"/>
              </w:rPr>
              <w:lastRenderedPageBreak/>
              <w:t>C</w:t>
            </w:r>
          </w:p>
        </w:tc>
      </w:tr>
      <w:tr w:rsidR="005E6DF3" w:rsidRPr="00B27A29" w14:paraId="6D57A53C" w14:textId="77777777">
        <w:tc>
          <w:tcPr>
            <w:tcW w:w="3402" w:type="dxa"/>
            <w:vAlign w:val="center"/>
          </w:tcPr>
          <w:p w14:paraId="5AE9B02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1.</w:t>
            </w:r>
            <w:r w:rsidRPr="00B27A29">
              <w:rPr>
                <w:rFonts w:eastAsiaTheme="minorEastAsia"/>
                <w:color w:val="000000" w:themeColor="text1"/>
                <w:kern w:val="0"/>
                <w:szCs w:val="21"/>
              </w:rPr>
              <w:t>本期已实现收益</w:t>
            </w:r>
          </w:p>
        </w:tc>
        <w:tc>
          <w:tcPr>
            <w:tcW w:w="2481" w:type="dxa"/>
            <w:vAlign w:val="center"/>
          </w:tcPr>
          <w:p w14:paraId="5217F25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-62,014,858.86</w:t>
            </w:r>
          </w:p>
        </w:tc>
        <w:tc>
          <w:tcPr>
            <w:tcW w:w="2481" w:type="dxa"/>
            <w:vAlign w:val="center"/>
          </w:tcPr>
          <w:p w14:paraId="7BB86DC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-21,869,753.50</w:t>
            </w:r>
          </w:p>
        </w:tc>
      </w:tr>
      <w:tr w:rsidR="005E6DF3" w:rsidRPr="00B27A29" w14:paraId="7F44DA1C" w14:textId="77777777">
        <w:tc>
          <w:tcPr>
            <w:tcW w:w="3402" w:type="dxa"/>
            <w:vAlign w:val="center"/>
          </w:tcPr>
          <w:p w14:paraId="566ACF1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5A971BD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-68,409,411.61</w:t>
            </w:r>
          </w:p>
        </w:tc>
        <w:tc>
          <w:tcPr>
            <w:tcW w:w="2481" w:type="dxa"/>
            <w:vAlign w:val="center"/>
          </w:tcPr>
          <w:p w14:paraId="7213DE5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-21,795,744.20</w:t>
            </w:r>
          </w:p>
        </w:tc>
      </w:tr>
      <w:tr w:rsidR="005E6DF3" w:rsidRPr="00B27A29" w14:paraId="75088169" w14:textId="77777777">
        <w:tc>
          <w:tcPr>
            <w:tcW w:w="3402" w:type="dxa"/>
            <w:vAlign w:val="center"/>
          </w:tcPr>
          <w:p w14:paraId="0F705AC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6457992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-0.2435</w:t>
            </w:r>
          </w:p>
        </w:tc>
        <w:tc>
          <w:tcPr>
            <w:tcW w:w="2481" w:type="dxa"/>
            <w:vAlign w:val="center"/>
          </w:tcPr>
          <w:p w14:paraId="0F9C2A1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-0.2589</w:t>
            </w:r>
          </w:p>
        </w:tc>
      </w:tr>
      <w:tr w:rsidR="005E6DF3" w:rsidRPr="00B27A29" w14:paraId="50605347" w14:textId="77777777">
        <w:tc>
          <w:tcPr>
            <w:tcW w:w="3402" w:type="dxa"/>
            <w:vAlign w:val="center"/>
          </w:tcPr>
          <w:p w14:paraId="6259820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1EDEC53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736,743,840.39</w:t>
            </w:r>
          </w:p>
        </w:tc>
        <w:tc>
          <w:tcPr>
            <w:tcW w:w="2481" w:type="dxa"/>
            <w:vAlign w:val="center"/>
          </w:tcPr>
          <w:p w14:paraId="634104C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70,917,610.90</w:t>
            </w:r>
          </w:p>
        </w:tc>
      </w:tr>
      <w:tr w:rsidR="005E6DF3" w:rsidRPr="00B27A29" w14:paraId="4F11259F" w14:textId="77777777">
        <w:trPr>
          <w:trHeight w:val="158"/>
        </w:trPr>
        <w:tc>
          <w:tcPr>
            <w:tcW w:w="3402" w:type="dxa"/>
            <w:vAlign w:val="center"/>
          </w:tcPr>
          <w:p w14:paraId="1A67AB9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62F008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2.9377</w:t>
            </w:r>
          </w:p>
        </w:tc>
        <w:tc>
          <w:tcPr>
            <w:tcW w:w="2481" w:type="dxa"/>
            <w:vAlign w:val="center"/>
          </w:tcPr>
          <w:p w14:paraId="2432E1E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2.8969</w:t>
            </w:r>
          </w:p>
        </w:tc>
      </w:tr>
    </w:tbl>
    <w:p w14:paraId="5FDD2245" w14:textId="77777777" w:rsidR="00561AE3" w:rsidRDefault="007923B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178A54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C698A6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7F07E8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30337982"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57F6E90" w14:textId="77777777">
        <w:tc>
          <w:tcPr>
            <w:tcW w:w="1290" w:type="dxa"/>
            <w:vAlign w:val="center"/>
          </w:tcPr>
          <w:p w14:paraId="41C92FF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E42ECD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8854F4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D3EEF5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271D92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4A50F4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B48DE2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61AE3" w14:paraId="614EFED4" w14:textId="77777777">
        <w:tc>
          <w:tcPr>
            <w:tcW w:w="1290" w:type="dxa"/>
            <w:vAlign w:val="center"/>
          </w:tcPr>
          <w:p w14:paraId="54C14F78" w14:textId="77777777" w:rsidR="00561AE3" w:rsidRDefault="007923B0">
            <w:pPr>
              <w:jc w:val="left"/>
            </w:pPr>
            <w:r>
              <w:rPr>
                <w:rFonts w:eastAsiaTheme="minorEastAsia"/>
                <w:color w:val="000000" w:themeColor="text1"/>
                <w:szCs w:val="21"/>
              </w:rPr>
              <w:t>过去三个月</w:t>
            </w:r>
          </w:p>
        </w:tc>
        <w:tc>
          <w:tcPr>
            <w:tcW w:w="1291" w:type="dxa"/>
            <w:vAlign w:val="center"/>
          </w:tcPr>
          <w:p w14:paraId="1712A189" w14:textId="77777777" w:rsidR="00561AE3" w:rsidRDefault="007923B0">
            <w:pPr>
              <w:jc w:val="right"/>
            </w:pPr>
            <w:r>
              <w:rPr>
                <w:rFonts w:eastAsiaTheme="minorEastAsia"/>
                <w:color w:val="000000" w:themeColor="text1"/>
                <w:szCs w:val="21"/>
              </w:rPr>
              <w:t>-7.51%</w:t>
            </w:r>
          </w:p>
        </w:tc>
        <w:tc>
          <w:tcPr>
            <w:tcW w:w="1291" w:type="dxa"/>
            <w:vAlign w:val="center"/>
          </w:tcPr>
          <w:p w14:paraId="40CBD0AC" w14:textId="77777777" w:rsidR="00561AE3" w:rsidRDefault="007923B0">
            <w:pPr>
              <w:jc w:val="right"/>
            </w:pPr>
            <w:r>
              <w:rPr>
                <w:rFonts w:eastAsiaTheme="minorEastAsia"/>
                <w:color w:val="000000" w:themeColor="text1"/>
                <w:szCs w:val="21"/>
              </w:rPr>
              <w:t>1.76%</w:t>
            </w:r>
          </w:p>
        </w:tc>
        <w:tc>
          <w:tcPr>
            <w:tcW w:w="1291" w:type="dxa"/>
            <w:vAlign w:val="center"/>
          </w:tcPr>
          <w:p w14:paraId="66113065" w14:textId="77777777" w:rsidR="00561AE3" w:rsidRDefault="007923B0">
            <w:pPr>
              <w:jc w:val="right"/>
            </w:pPr>
            <w:r>
              <w:rPr>
                <w:rFonts w:eastAsiaTheme="minorEastAsia"/>
                <w:color w:val="000000" w:themeColor="text1"/>
                <w:szCs w:val="21"/>
              </w:rPr>
              <w:t>-5.88%</w:t>
            </w:r>
          </w:p>
        </w:tc>
        <w:tc>
          <w:tcPr>
            <w:tcW w:w="1291" w:type="dxa"/>
            <w:vAlign w:val="center"/>
          </w:tcPr>
          <w:p w14:paraId="3C7A91B2" w14:textId="77777777" w:rsidR="00561AE3" w:rsidRDefault="007923B0">
            <w:pPr>
              <w:jc w:val="right"/>
            </w:pPr>
            <w:r>
              <w:rPr>
                <w:rFonts w:eastAsiaTheme="minorEastAsia"/>
                <w:color w:val="000000" w:themeColor="text1"/>
                <w:szCs w:val="21"/>
              </w:rPr>
              <w:t>1.38%</w:t>
            </w:r>
          </w:p>
        </w:tc>
        <w:tc>
          <w:tcPr>
            <w:tcW w:w="1291" w:type="dxa"/>
            <w:vAlign w:val="center"/>
          </w:tcPr>
          <w:p w14:paraId="45342EEF" w14:textId="77777777" w:rsidR="00561AE3" w:rsidRDefault="007923B0">
            <w:pPr>
              <w:jc w:val="right"/>
            </w:pPr>
            <w:r>
              <w:rPr>
                <w:rFonts w:eastAsiaTheme="minorEastAsia"/>
                <w:color w:val="000000" w:themeColor="text1"/>
                <w:szCs w:val="21"/>
              </w:rPr>
              <w:t>-1.63%</w:t>
            </w:r>
          </w:p>
        </w:tc>
        <w:tc>
          <w:tcPr>
            <w:tcW w:w="1291" w:type="dxa"/>
            <w:vAlign w:val="center"/>
          </w:tcPr>
          <w:p w14:paraId="7DF9556C" w14:textId="77777777" w:rsidR="00561AE3" w:rsidRDefault="007923B0">
            <w:pPr>
              <w:jc w:val="right"/>
            </w:pPr>
            <w:r>
              <w:rPr>
                <w:rFonts w:eastAsiaTheme="minorEastAsia"/>
                <w:color w:val="000000" w:themeColor="text1"/>
                <w:szCs w:val="21"/>
              </w:rPr>
              <w:t>0.38%</w:t>
            </w:r>
          </w:p>
        </w:tc>
      </w:tr>
      <w:tr w:rsidR="00561AE3" w14:paraId="404BA85F" w14:textId="77777777">
        <w:tc>
          <w:tcPr>
            <w:tcW w:w="1290" w:type="dxa"/>
            <w:vAlign w:val="center"/>
          </w:tcPr>
          <w:p w14:paraId="2E92E8C1" w14:textId="77777777" w:rsidR="00561AE3" w:rsidRDefault="007923B0">
            <w:pPr>
              <w:jc w:val="left"/>
            </w:pPr>
            <w:r>
              <w:rPr>
                <w:rFonts w:eastAsiaTheme="minorEastAsia"/>
                <w:color w:val="000000" w:themeColor="text1"/>
                <w:szCs w:val="21"/>
              </w:rPr>
              <w:t>过去六个月</w:t>
            </w:r>
          </w:p>
        </w:tc>
        <w:tc>
          <w:tcPr>
            <w:tcW w:w="1291" w:type="dxa"/>
            <w:vAlign w:val="center"/>
          </w:tcPr>
          <w:p w14:paraId="54F7F081" w14:textId="77777777" w:rsidR="00561AE3" w:rsidRDefault="007923B0">
            <w:pPr>
              <w:jc w:val="right"/>
            </w:pPr>
            <w:r>
              <w:rPr>
                <w:rFonts w:eastAsiaTheme="minorEastAsia"/>
                <w:color w:val="000000" w:themeColor="text1"/>
                <w:szCs w:val="21"/>
              </w:rPr>
              <w:t>-7.01%</w:t>
            </w:r>
          </w:p>
        </w:tc>
        <w:tc>
          <w:tcPr>
            <w:tcW w:w="1291" w:type="dxa"/>
            <w:vAlign w:val="center"/>
          </w:tcPr>
          <w:p w14:paraId="46D26E23" w14:textId="77777777" w:rsidR="00561AE3" w:rsidRDefault="007923B0">
            <w:pPr>
              <w:jc w:val="right"/>
            </w:pPr>
            <w:r>
              <w:rPr>
                <w:rFonts w:eastAsiaTheme="minorEastAsia"/>
                <w:color w:val="000000" w:themeColor="text1"/>
                <w:szCs w:val="21"/>
              </w:rPr>
              <w:t>1.92%</w:t>
            </w:r>
          </w:p>
        </w:tc>
        <w:tc>
          <w:tcPr>
            <w:tcW w:w="1291" w:type="dxa"/>
            <w:vAlign w:val="center"/>
          </w:tcPr>
          <w:p w14:paraId="11D8166D" w14:textId="77777777" w:rsidR="00561AE3" w:rsidRDefault="007923B0">
            <w:pPr>
              <w:jc w:val="right"/>
            </w:pPr>
            <w:r>
              <w:rPr>
                <w:rFonts w:eastAsiaTheme="minorEastAsia"/>
                <w:color w:val="000000" w:themeColor="text1"/>
                <w:szCs w:val="21"/>
              </w:rPr>
              <w:t>9.07%</w:t>
            </w:r>
          </w:p>
        </w:tc>
        <w:tc>
          <w:tcPr>
            <w:tcW w:w="1291" w:type="dxa"/>
            <w:vAlign w:val="center"/>
          </w:tcPr>
          <w:p w14:paraId="29E101AE" w14:textId="77777777" w:rsidR="00561AE3" w:rsidRDefault="007923B0">
            <w:pPr>
              <w:jc w:val="right"/>
            </w:pPr>
            <w:r>
              <w:rPr>
                <w:rFonts w:eastAsiaTheme="minorEastAsia"/>
                <w:color w:val="000000" w:themeColor="text1"/>
                <w:szCs w:val="21"/>
              </w:rPr>
              <w:t>1.40%</w:t>
            </w:r>
          </w:p>
        </w:tc>
        <w:tc>
          <w:tcPr>
            <w:tcW w:w="1291" w:type="dxa"/>
            <w:vAlign w:val="center"/>
          </w:tcPr>
          <w:p w14:paraId="380A3EE3" w14:textId="77777777" w:rsidR="00561AE3" w:rsidRDefault="007923B0">
            <w:pPr>
              <w:jc w:val="right"/>
            </w:pPr>
            <w:r>
              <w:rPr>
                <w:rFonts w:eastAsiaTheme="minorEastAsia"/>
                <w:color w:val="000000" w:themeColor="text1"/>
                <w:szCs w:val="21"/>
              </w:rPr>
              <w:t>-16.08%</w:t>
            </w:r>
          </w:p>
        </w:tc>
        <w:tc>
          <w:tcPr>
            <w:tcW w:w="1291" w:type="dxa"/>
            <w:vAlign w:val="center"/>
          </w:tcPr>
          <w:p w14:paraId="7C1B59A9" w14:textId="77777777" w:rsidR="00561AE3" w:rsidRDefault="007923B0">
            <w:pPr>
              <w:jc w:val="right"/>
            </w:pPr>
            <w:r>
              <w:rPr>
                <w:rFonts w:eastAsiaTheme="minorEastAsia"/>
                <w:color w:val="000000" w:themeColor="text1"/>
                <w:szCs w:val="21"/>
              </w:rPr>
              <w:t>0.52%</w:t>
            </w:r>
          </w:p>
        </w:tc>
      </w:tr>
      <w:tr w:rsidR="00561AE3" w14:paraId="0EFB3355" w14:textId="77777777">
        <w:tc>
          <w:tcPr>
            <w:tcW w:w="1290" w:type="dxa"/>
            <w:vAlign w:val="center"/>
          </w:tcPr>
          <w:p w14:paraId="318727A5" w14:textId="77777777" w:rsidR="00561AE3" w:rsidRDefault="007923B0">
            <w:pPr>
              <w:jc w:val="left"/>
            </w:pPr>
            <w:r>
              <w:rPr>
                <w:rFonts w:eastAsiaTheme="minorEastAsia"/>
                <w:color w:val="000000" w:themeColor="text1"/>
                <w:szCs w:val="21"/>
              </w:rPr>
              <w:t>过去一年</w:t>
            </w:r>
          </w:p>
        </w:tc>
        <w:tc>
          <w:tcPr>
            <w:tcW w:w="1291" w:type="dxa"/>
            <w:vAlign w:val="center"/>
          </w:tcPr>
          <w:p w14:paraId="2908A455" w14:textId="77777777" w:rsidR="00561AE3" w:rsidRDefault="007923B0">
            <w:pPr>
              <w:jc w:val="right"/>
            </w:pPr>
            <w:r>
              <w:rPr>
                <w:rFonts w:eastAsiaTheme="minorEastAsia"/>
                <w:color w:val="000000" w:themeColor="text1"/>
                <w:szCs w:val="21"/>
              </w:rPr>
              <w:t>-21.87%</w:t>
            </w:r>
          </w:p>
        </w:tc>
        <w:tc>
          <w:tcPr>
            <w:tcW w:w="1291" w:type="dxa"/>
            <w:vAlign w:val="center"/>
          </w:tcPr>
          <w:p w14:paraId="4B951DFB" w14:textId="77777777" w:rsidR="00561AE3" w:rsidRDefault="007923B0">
            <w:pPr>
              <w:jc w:val="right"/>
            </w:pPr>
            <w:r>
              <w:rPr>
                <w:rFonts w:eastAsiaTheme="minorEastAsia"/>
                <w:color w:val="000000" w:themeColor="text1"/>
                <w:szCs w:val="21"/>
              </w:rPr>
              <w:t>1.77%</w:t>
            </w:r>
          </w:p>
        </w:tc>
        <w:tc>
          <w:tcPr>
            <w:tcW w:w="1291" w:type="dxa"/>
            <w:vAlign w:val="center"/>
          </w:tcPr>
          <w:p w14:paraId="32ABFC81" w14:textId="77777777" w:rsidR="00561AE3" w:rsidRDefault="007923B0">
            <w:pPr>
              <w:jc w:val="right"/>
            </w:pPr>
            <w:r>
              <w:rPr>
                <w:rFonts w:eastAsiaTheme="minorEastAsia"/>
                <w:color w:val="000000" w:themeColor="text1"/>
                <w:szCs w:val="21"/>
              </w:rPr>
              <w:t>10.57%</w:t>
            </w:r>
          </w:p>
        </w:tc>
        <w:tc>
          <w:tcPr>
            <w:tcW w:w="1291" w:type="dxa"/>
            <w:vAlign w:val="center"/>
          </w:tcPr>
          <w:p w14:paraId="0B029DEF" w14:textId="77777777" w:rsidR="00561AE3" w:rsidRDefault="007923B0">
            <w:pPr>
              <w:jc w:val="right"/>
            </w:pPr>
            <w:r>
              <w:rPr>
                <w:rFonts w:eastAsiaTheme="minorEastAsia"/>
                <w:color w:val="000000" w:themeColor="text1"/>
                <w:szCs w:val="21"/>
              </w:rPr>
              <w:t>1.13%</w:t>
            </w:r>
          </w:p>
        </w:tc>
        <w:tc>
          <w:tcPr>
            <w:tcW w:w="1291" w:type="dxa"/>
            <w:vAlign w:val="center"/>
          </w:tcPr>
          <w:p w14:paraId="7E718EB8" w14:textId="77777777" w:rsidR="00561AE3" w:rsidRDefault="007923B0">
            <w:pPr>
              <w:jc w:val="right"/>
            </w:pPr>
            <w:r>
              <w:rPr>
                <w:rFonts w:eastAsiaTheme="minorEastAsia"/>
                <w:color w:val="000000" w:themeColor="text1"/>
                <w:szCs w:val="21"/>
              </w:rPr>
              <w:t>-32.44%</w:t>
            </w:r>
          </w:p>
        </w:tc>
        <w:tc>
          <w:tcPr>
            <w:tcW w:w="1291" w:type="dxa"/>
            <w:vAlign w:val="center"/>
          </w:tcPr>
          <w:p w14:paraId="657D322F" w14:textId="77777777" w:rsidR="00561AE3" w:rsidRDefault="007923B0">
            <w:pPr>
              <w:jc w:val="right"/>
            </w:pPr>
            <w:r>
              <w:rPr>
                <w:rFonts w:eastAsiaTheme="minorEastAsia"/>
                <w:color w:val="000000" w:themeColor="text1"/>
                <w:szCs w:val="21"/>
              </w:rPr>
              <w:t>0.64%</w:t>
            </w:r>
          </w:p>
        </w:tc>
      </w:tr>
      <w:tr w:rsidR="00561AE3" w14:paraId="017C8613" w14:textId="77777777">
        <w:tc>
          <w:tcPr>
            <w:tcW w:w="1290" w:type="dxa"/>
            <w:vAlign w:val="center"/>
          </w:tcPr>
          <w:p w14:paraId="55ECF9D4" w14:textId="77777777" w:rsidR="00561AE3" w:rsidRDefault="007923B0">
            <w:pPr>
              <w:jc w:val="left"/>
            </w:pPr>
            <w:r>
              <w:rPr>
                <w:rFonts w:eastAsiaTheme="minorEastAsia"/>
                <w:color w:val="000000" w:themeColor="text1"/>
                <w:szCs w:val="21"/>
              </w:rPr>
              <w:t>过去三年</w:t>
            </w:r>
          </w:p>
        </w:tc>
        <w:tc>
          <w:tcPr>
            <w:tcW w:w="1291" w:type="dxa"/>
            <w:vAlign w:val="center"/>
          </w:tcPr>
          <w:p w14:paraId="7F390B76" w14:textId="77777777" w:rsidR="00561AE3" w:rsidRDefault="007923B0">
            <w:pPr>
              <w:jc w:val="right"/>
            </w:pPr>
            <w:r>
              <w:rPr>
                <w:rFonts w:eastAsiaTheme="minorEastAsia"/>
                <w:color w:val="000000" w:themeColor="text1"/>
                <w:szCs w:val="21"/>
              </w:rPr>
              <w:t>-35.83%</w:t>
            </w:r>
          </w:p>
        </w:tc>
        <w:tc>
          <w:tcPr>
            <w:tcW w:w="1291" w:type="dxa"/>
            <w:vAlign w:val="center"/>
          </w:tcPr>
          <w:p w14:paraId="4A7998B7" w14:textId="77777777" w:rsidR="00561AE3" w:rsidRDefault="007923B0">
            <w:pPr>
              <w:jc w:val="right"/>
            </w:pPr>
            <w:r>
              <w:rPr>
                <w:rFonts w:eastAsiaTheme="minorEastAsia"/>
                <w:color w:val="000000" w:themeColor="text1"/>
                <w:szCs w:val="21"/>
              </w:rPr>
              <w:t>1.56%</w:t>
            </w:r>
          </w:p>
        </w:tc>
        <w:tc>
          <w:tcPr>
            <w:tcW w:w="1291" w:type="dxa"/>
            <w:vAlign w:val="center"/>
          </w:tcPr>
          <w:p w14:paraId="35E47F38" w14:textId="77777777" w:rsidR="00561AE3" w:rsidRDefault="007923B0">
            <w:pPr>
              <w:jc w:val="right"/>
            </w:pPr>
            <w:r>
              <w:rPr>
                <w:rFonts w:eastAsiaTheme="minorEastAsia"/>
                <w:color w:val="000000" w:themeColor="text1"/>
                <w:szCs w:val="21"/>
              </w:rPr>
              <w:t>-16.36%</w:t>
            </w:r>
          </w:p>
        </w:tc>
        <w:tc>
          <w:tcPr>
            <w:tcW w:w="1291" w:type="dxa"/>
            <w:vAlign w:val="center"/>
          </w:tcPr>
          <w:p w14:paraId="19F15FE9" w14:textId="77777777" w:rsidR="00561AE3" w:rsidRDefault="007923B0">
            <w:pPr>
              <w:jc w:val="right"/>
            </w:pPr>
            <w:r>
              <w:rPr>
                <w:rFonts w:eastAsiaTheme="minorEastAsia"/>
                <w:color w:val="000000" w:themeColor="text1"/>
                <w:szCs w:val="21"/>
              </w:rPr>
              <w:t>1.00%</w:t>
            </w:r>
          </w:p>
        </w:tc>
        <w:tc>
          <w:tcPr>
            <w:tcW w:w="1291" w:type="dxa"/>
            <w:vAlign w:val="center"/>
          </w:tcPr>
          <w:p w14:paraId="5BF93BF1" w14:textId="77777777" w:rsidR="00561AE3" w:rsidRDefault="007923B0">
            <w:pPr>
              <w:jc w:val="right"/>
            </w:pPr>
            <w:r>
              <w:rPr>
                <w:rFonts w:eastAsiaTheme="minorEastAsia"/>
                <w:color w:val="000000" w:themeColor="text1"/>
                <w:szCs w:val="21"/>
              </w:rPr>
              <w:t>-19.47%</w:t>
            </w:r>
          </w:p>
        </w:tc>
        <w:tc>
          <w:tcPr>
            <w:tcW w:w="1291" w:type="dxa"/>
            <w:vAlign w:val="center"/>
          </w:tcPr>
          <w:p w14:paraId="037D85A4" w14:textId="77777777" w:rsidR="00561AE3" w:rsidRDefault="007923B0">
            <w:pPr>
              <w:jc w:val="right"/>
            </w:pPr>
            <w:r>
              <w:rPr>
                <w:rFonts w:eastAsiaTheme="minorEastAsia"/>
                <w:color w:val="000000" w:themeColor="text1"/>
                <w:szCs w:val="21"/>
              </w:rPr>
              <w:t>0.56%</w:t>
            </w:r>
          </w:p>
        </w:tc>
      </w:tr>
      <w:tr w:rsidR="00561AE3" w14:paraId="1B797835" w14:textId="77777777">
        <w:tc>
          <w:tcPr>
            <w:tcW w:w="1290" w:type="dxa"/>
            <w:vAlign w:val="center"/>
          </w:tcPr>
          <w:p w14:paraId="213041CC" w14:textId="77777777" w:rsidR="00561AE3" w:rsidRDefault="007923B0">
            <w:pPr>
              <w:jc w:val="left"/>
            </w:pPr>
            <w:r>
              <w:rPr>
                <w:rFonts w:eastAsiaTheme="minorEastAsia"/>
                <w:color w:val="000000" w:themeColor="text1"/>
                <w:szCs w:val="21"/>
              </w:rPr>
              <w:t>过去五年</w:t>
            </w:r>
          </w:p>
        </w:tc>
        <w:tc>
          <w:tcPr>
            <w:tcW w:w="1291" w:type="dxa"/>
            <w:vAlign w:val="center"/>
          </w:tcPr>
          <w:p w14:paraId="5359001B" w14:textId="77777777" w:rsidR="00561AE3" w:rsidRDefault="007923B0">
            <w:pPr>
              <w:jc w:val="right"/>
            </w:pPr>
            <w:r>
              <w:rPr>
                <w:rFonts w:eastAsiaTheme="minorEastAsia"/>
                <w:color w:val="000000" w:themeColor="text1"/>
                <w:szCs w:val="21"/>
              </w:rPr>
              <w:t>23.59%</w:t>
            </w:r>
          </w:p>
        </w:tc>
        <w:tc>
          <w:tcPr>
            <w:tcW w:w="1291" w:type="dxa"/>
            <w:vAlign w:val="center"/>
          </w:tcPr>
          <w:p w14:paraId="1865FEB7" w14:textId="77777777" w:rsidR="00561AE3" w:rsidRDefault="007923B0">
            <w:pPr>
              <w:jc w:val="right"/>
            </w:pPr>
            <w:r>
              <w:rPr>
                <w:rFonts w:eastAsiaTheme="minorEastAsia"/>
                <w:color w:val="000000" w:themeColor="text1"/>
                <w:szCs w:val="21"/>
              </w:rPr>
              <w:t>1.60%</w:t>
            </w:r>
          </w:p>
        </w:tc>
        <w:tc>
          <w:tcPr>
            <w:tcW w:w="1291" w:type="dxa"/>
            <w:vAlign w:val="center"/>
          </w:tcPr>
          <w:p w14:paraId="1BE967AF" w14:textId="77777777" w:rsidR="00561AE3" w:rsidRDefault="007923B0">
            <w:pPr>
              <w:jc w:val="right"/>
            </w:pPr>
            <w:r>
              <w:rPr>
                <w:rFonts w:eastAsiaTheme="minorEastAsia"/>
                <w:color w:val="000000" w:themeColor="text1"/>
                <w:szCs w:val="21"/>
              </w:rPr>
              <w:t>-1.56%</w:t>
            </w:r>
          </w:p>
        </w:tc>
        <w:tc>
          <w:tcPr>
            <w:tcW w:w="1291" w:type="dxa"/>
            <w:vAlign w:val="center"/>
          </w:tcPr>
          <w:p w14:paraId="643B56B3" w14:textId="77777777" w:rsidR="00561AE3" w:rsidRDefault="007923B0">
            <w:pPr>
              <w:jc w:val="right"/>
            </w:pPr>
            <w:r>
              <w:rPr>
                <w:rFonts w:eastAsiaTheme="minorEastAsia"/>
                <w:color w:val="000000" w:themeColor="text1"/>
                <w:szCs w:val="21"/>
              </w:rPr>
              <w:t>1.05%</w:t>
            </w:r>
          </w:p>
        </w:tc>
        <w:tc>
          <w:tcPr>
            <w:tcW w:w="1291" w:type="dxa"/>
            <w:vAlign w:val="center"/>
          </w:tcPr>
          <w:p w14:paraId="5379FEB9" w14:textId="77777777" w:rsidR="00561AE3" w:rsidRDefault="007923B0">
            <w:pPr>
              <w:jc w:val="right"/>
            </w:pPr>
            <w:r>
              <w:rPr>
                <w:rFonts w:eastAsiaTheme="minorEastAsia"/>
                <w:color w:val="000000" w:themeColor="text1"/>
                <w:szCs w:val="21"/>
              </w:rPr>
              <w:t>25.15%</w:t>
            </w:r>
          </w:p>
        </w:tc>
        <w:tc>
          <w:tcPr>
            <w:tcW w:w="1291" w:type="dxa"/>
            <w:vAlign w:val="center"/>
          </w:tcPr>
          <w:p w14:paraId="0A2DD60D" w14:textId="77777777" w:rsidR="00561AE3" w:rsidRDefault="007923B0">
            <w:pPr>
              <w:jc w:val="right"/>
            </w:pPr>
            <w:r>
              <w:rPr>
                <w:rFonts w:eastAsiaTheme="minorEastAsia"/>
                <w:color w:val="000000" w:themeColor="text1"/>
                <w:szCs w:val="21"/>
              </w:rPr>
              <w:t>0.55%</w:t>
            </w:r>
          </w:p>
        </w:tc>
      </w:tr>
      <w:tr w:rsidR="00561AE3" w14:paraId="0D8C9384" w14:textId="77777777">
        <w:tc>
          <w:tcPr>
            <w:tcW w:w="1290" w:type="dxa"/>
            <w:vAlign w:val="center"/>
          </w:tcPr>
          <w:p w14:paraId="1E0547AC" w14:textId="77777777" w:rsidR="00561AE3" w:rsidRDefault="007923B0">
            <w:pPr>
              <w:jc w:val="left"/>
            </w:pPr>
            <w:r>
              <w:rPr>
                <w:rFonts w:eastAsiaTheme="minorEastAsia"/>
                <w:color w:val="000000" w:themeColor="text1"/>
                <w:szCs w:val="21"/>
              </w:rPr>
              <w:t>自基金合同生效起至今</w:t>
            </w:r>
          </w:p>
        </w:tc>
        <w:tc>
          <w:tcPr>
            <w:tcW w:w="1291" w:type="dxa"/>
            <w:vAlign w:val="center"/>
          </w:tcPr>
          <w:p w14:paraId="4B9B50B9" w14:textId="77777777" w:rsidR="00561AE3" w:rsidRDefault="007923B0">
            <w:pPr>
              <w:jc w:val="right"/>
            </w:pPr>
            <w:r>
              <w:rPr>
                <w:rFonts w:eastAsiaTheme="minorEastAsia"/>
                <w:color w:val="000000" w:themeColor="text1"/>
                <w:szCs w:val="21"/>
              </w:rPr>
              <w:t>193.77%</w:t>
            </w:r>
          </w:p>
        </w:tc>
        <w:tc>
          <w:tcPr>
            <w:tcW w:w="1291" w:type="dxa"/>
            <w:vAlign w:val="center"/>
          </w:tcPr>
          <w:p w14:paraId="2074AEBD" w14:textId="77777777" w:rsidR="00561AE3" w:rsidRDefault="007923B0">
            <w:pPr>
              <w:jc w:val="right"/>
            </w:pPr>
            <w:r>
              <w:rPr>
                <w:rFonts w:eastAsiaTheme="minorEastAsia"/>
                <w:color w:val="000000" w:themeColor="text1"/>
                <w:szCs w:val="21"/>
              </w:rPr>
              <w:t>1.65%</w:t>
            </w:r>
          </w:p>
        </w:tc>
        <w:tc>
          <w:tcPr>
            <w:tcW w:w="1291" w:type="dxa"/>
            <w:vAlign w:val="center"/>
          </w:tcPr>
          <w:p w14:paraId="376040DB" w14:textId="77777777" w:rsidR="00561AE3" w:rsidRDefault="007923B0">
            <w:pPr>
              <w:jc w:val="right"/>
            </w:pPr>
            <w:r>
              <w:rPr>
                <w:rFonts w:eastAsiaTheme="minorEastAsia"/>
                <w:color w:val="000000" w:themeColor="text1"/>
                <w:szCs w:val="21"/>
              </w:rPr>
              <w:t>57.03%</w:t>
            </w:r>
          </w:p>
        </w:tc>
        <w:tc>
          <w:tcPr>
            <w:tcW w:w="1291" w:type="dxa"/>
            <w:vAlign w:val="center"/>
          </w:tcPr>
          <w:p w14:paraId="02A4F43E" w14:textId="77777777" w:rsidR="00561AE3" w:rsidRDefault="007923B0">
            <w:pPr>
              <w:jc w:val="right"/>
            </w:pPr>
            <w:r>
              <w:rPr>
                <w:rFonts w:eastAsiaTheme="minorEastAsia"/>
                <w:color w:val="000000" w:themeColor="text1"/>
                <w:szCs w:val="21"/>
              </w:rPr>
              <w:t>1.16%</w:t>
            </w:r>
          </w:p>
        </w:tc>
        <w:tc>
          <w:tcPr>
            <w:tcW w:w="1291" w:type="dxa"/>
            <w:vAlign w:val="center"/>
          </w:tcPr>
          <w:p w14:paraId="0D3AAA78" w14:textId="77777777" w:rsidR="00561AE3" w:rsidRDefault="007923B0">
            <w:pPr>
              <w:jc w:val="right"/>
            </w:pPr>
            <w:r>
              <w:rPr>
                <w:rFonts w:eastAsiaTheme="minorEastAsia"/>
                <w:color w:val="000000" w:themeColor="text1"/>
                <w:szCs w:val="21"/>
              </w:rPr>
              <w:t>136.74%</w:t>
            </w:r>
          </w:p>
        </w:tc>
        <w:tc>
          <w:tcPr>
            <w:tcW w:w="1291" w:type="dxa"/>
            <w:vAlign w:val="center"/>
          </w:tcPr>
          <w:p w14:paraId="1EAA7D10" w14:textId="77777777" w:rsidR="00561AE3" w:rsidRDefault="007923B0">
            <w:pPr>
              <w:jc w:val="right"/>
            </w:pPr>
            <w:r>
              <w:rPr>
                <w:rFonts w:eastAsiaTheme="minorEastAsia"/>
                <w:color w:val="000000" w:themeColor="text1"/>
                <w:szCs w:val="21"/>
              </w:rPr>
              <w:t>0.49%</w:t>
            </w:r>
          </w:p>
        </w:tc>
      </w:tr>
    </w:tbl>
    <w:p w14:paraId="6503E8D5"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479CC94" w14:textId="77777777">
        <w:tc>
          <w:tcPr>
            <w:tcW w:w="1290" w:type="dxa"/>
            <w:vAlign w:val="center"/>
          </w:tcPr>
          <w:p w14:paraId="62082C9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EA2E8D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ACBF12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CEF25A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D856D2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2BA905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A406BF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61AE3" w14:paraId="2B9CDB78" w14:textId="77777777">
        <w:tc>
          <w:tcPr>
            <w:tcW w:w="1290" w:type="dxa"/>
            <w:vAlign w:val="center"/>
          </w:tcPr>
          <w:p w14:paraId="6FAA13F1" w14:textId="77777777" w:rsidR="00561AE3" w:rsidRDefault="007923B0">
            <w:pPr>
              <w:jc w:val="left"/>
            </w:pPr>
            <w:r>
              <w:rPr>
                <w:rFonts w:eastAsiaTheme="minorEastAsia"/>
                <w:color w:val="000000" w:themeColor="text1"/>
                <w:szCs w:val="21"/>
              </w:rPr>
              <w:t>过去三个月</w:t>
            </w:r>
          </w:p>
        </w:tc>
        <w:tc>
          <w:tcPr>
            <w:tcW w:w="1291" w:type="dxa"/>
            <w:vAlign w:val="center"/>
          </w:tcPr>
          <w:p w14:paraId="6ACBFE02" w14:textId="77777777" w:rsidR="00561AE3" w:rsidRDefault="007923B0">
            <w:pPr>
              <w:jc w:val="right"/>
            </w:pPr>
            <w:r>
              <w:rPr>
                <w:rFonts w:eastAsiaTheme="minorEastAsia"/>
                <w:color w:val="000000" w:themeColor="text1"/>
                <w:szCs w:val="21"/>
              </w:rPr>
              <w:t>-7.64%</w:t>
            </w:r>
          </w:p>
        </w:tc>
        <w:tc>
          <w:tcPr>
            <w:tcW w:w="1291" w:type="dxa"/>
            <w:vAlign w:val="center"/>
          </w:tcPr>
          <w:p w14:paraId="2EDC7D80" w14:textId="77777777" w:rsidR="00561AE3" w:rsidRDefault="007923B0">
            <w:pPr>
              <w:jc w:val="right"/>
            </w:pPr>
            <w:r>
              <w:rPr>
                <w:rFonts w:eastAsiaTheme="minorEastAsia"/>
                <w:color w:val="000000" w:themeColor="text1"/>
                <w:szCs w:val="21"/>
              </w:rPr>
              <w:t>1.76%</w:t>
            </w:r>
          </w:p>
        </w:tc>
        <w:tc>
          <w:tcPr>
            <w:tcW w:w="1291" w:type="dxa"/>
            <w:vAlign w:val="center"/>
          </w:tcPr>
          <w:p w14:paraId="5BC76B32" w14:textId="77777777" w:rsidR="00561AE3" w:rsidRDefault="007923B0">
            <w:pPr>
              <w:jc w:val="right"/>
            </w:pPr>
            <w:r>
              <w:rPr>
                <w:rFonts w:eastAsiaTheme="minorEastAsia"/>
                <w:color w:val="000000" w:themeColor="text1"/>
                <w:szCs w:val="21"/>
              </w:rPr>
              <w:t>-5.88%</w:t>
            </w:r>
          </w:p>
        </w:tc>
        <w:tc>
          <w:tcPr>
            <w:tcW w:w="1291" w:type="dxa"/>
            <w:vAlign w:val="center"/>
          </w:tcPr>
          <w:p w14:paraId="0C6832E3" w14:textId="77777777" w:rsidR="00561AE3" w:rsidRDefault="007923B0">
            <w:pPr>
              <w:jc w:val="right"/>
            </w:pPr>
            <w:r>
              <w:rPr>
                <w:rFonts w:eastAsiaTheme="minorEastAsia"/>
                <w:color w:val="000000" w:themeColor="text1"/>
                <w:szCs w:val="21"/>
              </w:rPr>
              <w:t>1.38%</w:t>
            </w:r>
          </w:p>
        </w:tc>
        <w:tc>
          <w:tcPr>
            <w:tcW w:w="1291" w:type="dxa"/>
            <w:vAlign w:val="center"/>
          </w:tcPr>
          <w:p w14:paraId="1474DA27" w14:textId="77777777" w:rsidR="00561AE3" w:rsidRDefault="007923B0">
            <w:pPr>
              <w:jc w:val="right"/>
            </w:pPr>
            <w:r>
              <w:rPr>
                <w:rFonts w:eastAsiaTheme="minorEastAsia"/>
                <w:color w:val="000000" w:themeColor="text1"/>
                <w:szCs w:val="21"/>
              </w:rPr>
              <w:t>-1.76%</w:t>
            </w:r>
          </w:p>
        </w:tc>
        <w:tc>
          <w:tcPr>
            <w:tcW w:w="1291" w:type="dxa"/>
            <w:vAlign w:val="center"/>
          </w:tcPr>
          <w:p w14:paraId="61E1B9AC" w14:textId="77777777" w:rsidR="00561AE3" w:rsidRDefault="007923B0">
            <w:pPr>
              <w:jc w:val="right"/>
            </w:pPr>
            <w:r>
              <w:rPr>
                <w:rFonts w:eastAsiaTheme="minorEastAsia"/>
                <w:color w:val="000000" w:themeColor="text1"/>
                <w:szCs w:val="21"/>
              </w:rPr>
              <w:t>0.38%</w:t>
            </w:r>
          </w:p>
        </w:tc>
      </w:tr>
      <w:tr w:rsidR="00561AE3" w14:paraId="44D58FFC" w14:textId="77777777">
        <w:tc>
          <w:tcPr>
            <w:tcW w:w="1290" w:type="dxa"/>
            <w:vAlign w:val="center"/>
          </w:tcPr>
          <w:p w14:paraId="3B9C5838" w14:textId="77777777" w:rsidR="00561AE3" w:rsidRDefault="007923B0">
            <w:pPr>
              <w:jc w:val="left"/>
            </w:pPr>
            <w:r>
              <w:rPr>
                <w:rFonts w:eastAsiaTheme="minorEastAsia"/>
                <w:color w:val="000000" w:themeColor="text1"/>
                <w:szCs w:val="21"/>
              </w:rPr>
              <w:t>过去六个月</w:t>
            </w:r>
          </w:p>
        </w:tc>
        <w:tc>
          <w:tcPr>
            <w:tcW w:w="1291" w:type="dxa"/>
            <w:vAlign w:val="center"/>
          </w:tcPr>
          <w:p w14:paraId="77F13D13" w14:textId="77777777" w:rsidR="00561AE3" w:rsidRDefault="007923B0">
            <w:pPr>
              <w:jc w:val="right"/>
            </w:pPr>
            <w:r>
              <w:rPr>
                <w:rFonts w:eastAsiaTheme="minorEastAsia"/>
                <w:color w:val="000000" w:themeColor="text1"/>
                <w:szCs w:val="21"/>
              </w:rPr>
              <w:t>-7.25%</w:t>
            </w:r>
          </w:p>
        </w:tc>
        <w:tc>
          <w:tcPr>
            <w:tcW w:w="1291" w:type="dxa"/>
            <w:vAlign w:val="center"/>
          </w:tcPr>
          <w:p w14:paraId="7CC0EED8" w14:textId="77777777" w:rsidR="00561AE3" w:rsidRDefault="007923B0">
            <w:pPr>
              <w:jc w:val="right"/>
            </w:pPr>
            <w:r>
              <w:rPr>
                <w:rFonts w:eastAsiaTheme="minorEastAsia"/>
                <w:color w:val="000000" w:themeColor="text1"/>
                <w:szCs w:val="21"/>
              </w:rPr>
              <w:t>1.92%</w:t>
            </w:r>
          </w:p>
        </w:tc>
        <w:tc>
          <w:tcPr>
            <w:tcW w:w="1291" w:type="dxa"/>
            <w:vAlign w:val="center"/>
          </w:tcPr>
          <w:p w14:paraId="1097D8DF" w14:textId="77777777" w:rsidR="00561AE3" w:rsidRDefault="007923B0">
            <w:pPr>
              <w:jc w:val="right"/>
            </w:pPr>
            <w:r>
              <w:rPr>
                <w:rFonts w:eastAsiaTheme="minorEastAsia"/>
                <w:color w:val="000000" w:themeColor="text1"/>
                <w:szCs w:val="21"/>
              </w:rPr>
              <w:t>9.07%</w:t>
            </w:r>
          </w:p>
        </w:tc>
        <w:tc>
          <w:tcPr>
            <w:tcW w:w="1291" w:type="dxa"/>
            <w:vAlign w:val="center"/>
          </w:tcPr>
          <w:p w14:paraId="2C6794FE" w14:textId="77777777" w:rsidR="00561AE3" w:rsidRDefault="007923B0">
            <w:pPr>
              <w:jc w:val="right"/>
            </w:pPr>
            <w:r>
              <w:rPr>
                <w:rFonts w:eastAsiaTheme="minorEastAsia"/>
                <w:color w:val="000000" w:themeColor="text1"/>
                <w:szCs w:val="21"/>
              </w:rPr>
              <w:t>1.40%</w:t>
            </w:r>
          </w:p>
        </w:tc>
        <w:tc>
          <w:tcPr>
            <w:tcW w:w="1291" w:type="dxa"/>
            <w:vAlign w:val="center"/>
          </w:tcPr>
          <w:p w14:paraId="1CCB8DAC" w14:textId="77777777" w:rsidR="00561AE3" w:rsidRDefault="007923B0">
            <w:pPr>
              <w:jc w:val="right"/>
            </w:pPr>
            <w:r>
              <w:rPr>
                <w:rFonts w:eastAsiaTheme="minorEastAsia"/>
                <w:color w:val="000000" w:themeColor="text1"/>
                <w:szCs w:val="21"/>
              </w:rPr>
              <w:t>-16.32%</w:t>
            </w:r>
          </w:p>
        </w:tc>
        <w:tc>
          <w:tcPr>
            <w:tcW w:w="1291" w:type="dxa"/>
            <w:vAlign w:val="center"/>
          </w:tcPr>
          <w:p w14:paraId="4806B834" w14:textId="77777777" w:rsidR="00561AE3" w:rsidRDefault="007923B0">
            <w:pPr>
              <w:jc w:val="right"/>
            </w:pPr>
            <w:r>
              <w:rPr>
                <w:rFonts w:eastAsiaTheme="minorEastAsia"/>
                <w:color w:val="000000" w:themeColor="text1"/>
                <w:szCs w:val="21"/>
              </w:rPr>
              <w:t>0.52%</w:t>
            </w:r>
          </w:p>
        </w:tc>
      </w:tr>
      <w:tr w:rsidR="00561AE3" w14:paraId="50D1B012" w14:textId="77777777">
        <w:tc>
          <w:tcPr>
            <w:tcW w:w="1290" w:type="dxa"/>
            <w:vAlign w:val="center"/>
          </w:tcPr>
          <w:p w14:paraId="5001A25E" w14:textId="77777777" w:rsidR="00561AE3" w:rsidRDefault="007923B0">
            <w:pPr>
              <w:jc w:val="left"/>
            </w:pPr>
            <w:r>
              <w:rPr>
                <w:rFonts w:eastAsiaTheme="minorEastAsia"/>
                <w:color w:val="000000" w:themeColor="text1"/>
                <w:szCs w:val="21"/>
              </w:rPr>
              <w:t>过去一年</w:t>
            </w:r>
          </w:p>
        </w:tc>
        <w:tc>
          <w:tcPr>
            <w:tcW w:w="1291" w:type="dxa"/>
            <w:vAlign w:val="center"/>
          </w:tcPr>
          <w:p w14:paraId="69BED899" w14:textId="77777777" w:rsidR="00561AE3" w:rsidRDefault="007923B0">
            <w:pPr>
              <w:jc w:val="right"/>
            </w:pPr>
            <w:r>
              <w:rPr>
                <w:rFonts w:eastAsiaTheme="minorEastAsia"/>
                <w:color w:val="000000" w:themeColor="text1"/>
                <w:szCs w:val="21"/>
              </w:rPr>
              <w:t>-22.27%</w:t>
            </w:r>
          </w:p>
        </w:tc>
        <w:tc>
          <w:tcPr>
            <w:tcW w:w="1291" w:type="dxa"/>
            <w:vAlign w:val="center"/>
          </w:tcPr>
          <w:p w14:paraId="5988475D" w14:textId="77777777" w:rsidR="00561AE3" w:rsidRDefault="007923B0">
            <w:pPr>
              <w:jc w:val="right"/>
            </w:pPr>
            <w:r>
              <w:rPr>
                <w:rFonts w:eastAsiaTheme="minorEastAsia"/>
                <w:color w:val="000000" w:themeColor="text1"/>
                <w:szCs w:val="21"/>
              </w:rPr>
              <w:t>1.77%</w:t>
            </w:r>
          </w:p>
        </w:tc>
        <w:tc>
          <w:tcPr>
            <w:tcW w:w="1291" w:type="dxa"/>
            <w:vAlign w:val="center"/>
          </w:tcPr>
          <w:p w14:paraId="5C269632" w14:textId="77777777" w:rsidR="00561AE3" w:rsidRDefault="007923B0">
            <w:pPr>
              <w:jc w:val="right"/>
            </w:pPr>
            <w:r>
              <w:rPr>
                <w:rFonts w:eastAsiaTheme="minorEastAsia"/>
                <w:color w:val="000000" w:themeColor="text1"/>
                <w:szCs w:val="21"/>
              </w:rPr>
              <w:t>10.57%</w:t>
            </w:r>
          </w:p>
        </w:tc>
        <w:tc>
          <w:tcPr>
            <w:tcW w:w="1291" w:type="dxa"/>
            <w:vAlign w:val="center"/>
          </w:tcPr>
          <w:p w14:paraId="4F5CED15" w14:textId="77777777" w:rsidR="00561AE3" w:rsidRDefault="007923B0">
            <w:pPr>
              <w:jc w:val="right"/>
            </w:pPr>
            <w:r>
              <w:rPr>
                <w:rFonts w:eastAsiaTheme="minorEastAsia"/>
                <w:color w:val="000000" w:themeColor="text1"/>
                <w:szCs w:val="21"/>
              </w:rPr>
              <w:t>1.13%</w:t>
            </w:r>
          </w:p>
        </w:tc>
        <w:tc>
          <w:tcPr>
            <w:tcW w:w="1291" w:type="dxa"/>
            <w:vAlign w:val="center"/>
          </w:tcPr>
          <w:p w14:paraId="3B000E34" w14:textId="77777777" w:rsidR="00561AE3" w:rsidRDefault="007923B0">
            <w:pPr>
              <w:jc w:val="right"/>
            </w:pPr>
            <w:r>
              <w:rPr>
                <w:rFonts w:eastAsiaTheme="minorEastAsia"/>
                <w:color w:val="000000" w:themeColor="text1"/>
                <w:szCs w:val="21"/>
              </w:rPr>
              <w:t>-32.84%</w:t>
            </w:r>
          </w:p>
        </w:tc>
        <w:tc>
          <w:tcPr>
            <w:tcW w:w="1291" w:type="dxa"/>
            <w:vAlign w:val="center"/>
          </w:tcPr>
          <w:p w14:paraId="0C2DB6FD" w14:textId="77777777" w:rsidR="00561AE3" w:rsidRDefault="007923B0">
            <w:pPr>
              <w:jc w:val="right"/>
            </w:pPr>
            <w:r>
              <w:rPr>
                <w:rFonts w:eastAsiaTheme="minorEastAsia"/>
                <w:color w:val="000000" w:themeColor="text1"/>
                <w:szCs w:val="21"/>
              </w:rPr>
              <w:t>0.64%</w:t>
            </w:r>
          </w:p>
        </w:tc>
      </w:tr>
      <w:tr w:rsidR="00561AE3" w14:paraId="69F30F9B" w14:textId="77777777">
        <w:tc>
          <w:tcPr>
            <w:tcW w:w="1290" w:type="dxa"/>
            <w:vAlign w:val="center"/>
          </w:tcPr>
          <w:p w14:paraId="175C8A2B" w14:textId="77777777" w:rsidR="00561AE3" w:rsidRDefault="007923B0">
            <w:pPr>
              <w:jc w:val="left"/>
            </w:pPr>
            <w:r>
              <w:rPr>
                <w:rFonts w:eastAsiaTheme="minorEastAsia"/>
                <w:color w:val="000000" w:themeColor="text1"/>
                <w:szCs w:val="21"/>
              </w:rPr>
              <w:t>过去三年</w:t>
            </w:r>
          </w:p>
        </w:tc>
        <w:tc>
          <w:tcPr>
            <w:tcW w:w="1291" w:type="dxa"/>
            <w:vAlign w:val="center"/>
          </w:tcPr>
          <w:p w14:paraId="542D4F1D" w14:textId="77777777" w:rsidR="00561AE3" w:rsidRDefault="007923B0">
            <w:pPr>
              <w:jc w:val="right"/>
            </w:pPr>
            <w:r>
              <w:rPr>
                <w:rFonts w:eastAsiaTheme="minorEastAsia"/>
                <w:color w:val="000000" w:themeColor="text1"/>
                <w:szCs w:val="21"/>
              </w:rPr>
              <w:t>-</w:t>
            </w:r>
          </w:p>
        </w:tc>
        <w:tc>
          <w:tcPr>
            <w:tcW w:w="1291" w:type="dxa"/>
            <w:vAlign w:val="center"/>
          </w:tcPr>
          <w:p w14:paraId="6940EDEA" w14:textId="77777777" w:rsidR="00561AE3" w:rsidRDefault="007923B0">
            <w:pPr>
              <w:jc w:val="right"/>
            </w:pPr>
            <w:r>
              <w:rPr>
                <w:rFonts w:eastAsiaTheme="minorEastAsia"/>
                <w:color w:val="000000" w:themeColor="text1"/>
                <w:szCs w:val="21"/>
              </w:rPr>
              <w:t>-</w:t>
            </w:r>
          </w:p>
        </w:tc>
        <w:tc>
          <w:tcPr>
            <w:tcW w:w="1291" w:type="dxa"/>
            <w:vAlign w:val="center"/>
          </w:tcPr>
          <w:p w14:paraId="7AF416CD" w14:textId="77777777" w:rsidR="00561AE3" w:rsidRDefault="007923B0">
            <w:pPr>
              <w:jc w:val="right"/>
            </w:pPr>
            <w:r>
              <w:rPr>
                <w:rFonts w:eastAsiaTheme="minorEastAsia"/>
                <w:color w:val="000000" w:themeColor="text1"/>
                <w:szCs w:val="21"/>
              </w:rPr>
              <w:t>-</w:t>
            </w:r>
          </w:p>
        </w:tc>
        <w:tc>
          <w:tcPr>
            <w:tcW w:w="1291" w:type="dxa"/>
            <w:vAlign w:val="center"/>
          </w:tcPr>
          <w:p w14:paraId="011BACCA" w14:textId="77777777" w:rsidR="00561AE3" w:rsidRDefault="007923B0">
            <w:pPr>
              <w:jc w:val="right"/>
            </w:pPr>
            <w:r>
              <w:rPr>
                <w:rFonts w:eastAsiaTheme="minorEastAsia"/>
                <w:color w:val="000000" w:themeColor="text1"/>
                <w:szCs w:val="21"/>
              </w:rPr>
              <w:t>-</w:t>
            </w:r>
          </w:p>
        </w:tc>
        <w:tc>
          <w:tcPr>
            <w:tcW w:w="1291" w:type="dxa"/>
            <w:vAlign w:val="center"/>
          </w:tcPr>
          <w:p w14:paraId="1DC06DAB" w14:textId="77777777" w:rsidR="00561AE3" w:rsidRDefault="007923B0">
            <w:pPr>
              <w:jc w:val="right"/>
            </w:pPr>
            <w:r>
              <w:rPr>
                <w:rFonts w:eastAsiaTheme="minorEastAsia"/>
                <w:color w:val="000000" w:themeColor="text1"/>
                <w:szCs w:val="21"/>
              </w:rPr>
              <w:t>-</w:t>
            </w:r>
          </w:p>
        </w:tc>
        <w:tc>
          <w:tcPr>
            <w:tcW w:w="1291" w:type="dxa"/>
            <w:vAlign w:val="center"/>
          </w:tcPr>
          <w:p w14:paraId="7A3BFA02" w14:textId="77777777" w:rsidR="00561AE3" w:rsidRDefault="007923B0">
            <w:pPr>
              <w:jc w:val="right"/>
            </w:pPr>
            <w:r>
              <w:rPr>
                <w:rFonts w:eastAsiaTheme="minorEastAsia"/>
                <w:color w:val="000000" w:themeColor="text1"/>
                <w:szCs w:val="21"/>
              </w:rPr>
              <w:t>-</w:t>
            </w:r>
          </w:p>
        </w:tc>
      </w:tr>
      <w:tr w:rsidR="00561AE3" w14:paraId="7F29F9D4" w14:textId="77777777">
        <w:tc>
          <w:tcPr>
            <w:tcW w:w="1290" w:type="dxa"/>
            <w:vAlign w:val="center"/>
          </w:tcPr>
          <w:p w14:paraId="2CAA8CB2" w14:textId="77777777" w:rsidR="00561AE3" w:rsidRDefault="007923B0">
            <w:pPr>
              <w:jc w:val="left"/>
            </w:pPr>
            <w:r>
              <w:rPr>
                <w:rFonts w:eastAsiaTheme="minorEastAsia"/>
                <w:color w:val="000000" w:themeColor="text1"/>
                <w:szCs w:val="21"/>
              </w:rPr>
              <w:t>过去五年</w:t>
            </w:r>
          </w:p>
        </w:tc>
        <w:tc>
          <w:tcPr>
            <w:tcW w:w="1291" w:type="dxa"/>
            <w:vAlign w:val="center"/>
          </w:tcPr>
          <w:p w14:paraId="25E444E9" w14:textId="77777777" w:rsidR="00561AE3" w:rsidRDefault="007923B0">
            <w:pPr>
              <w:jc w:val="right"/>
            </w:pPr>
            <w:r>
              <w:rPr>
                <w:rFonts w:eastAsiaTheme="minorEastAsia"/>
                <w:color w:val="000000" w:themeColor="text1"/>
                <w:szCs w:val="21"/>
              </w:rPr>
              <w:t>-</w:t>
            </w:r>
          </w:p>
        </w:tc>
        <w:tc>
          <w:tcPr>
            <w:tcW w:w="1291" w:type="dxa"/>
            <w:vAlign w:val="center"/>
          </w:tcPr>
          <w:p w14:paraId="4134539E" w14:textId="77777777" w:rsidR="00561AE3" w:rsidRDefault="007923B0">
            <w:pPr>
              <w:jc w:val="right"/>
            </w:pPr>
            <w:r>
              <w:rPr>
                <w:rFonts w:eastAsiaTheme="minorEastAsia"/>
                <w:color w:val="000000" w:themeColor="text1"/>
                <w:szCs w:val="21"/>
              </w:rPr>
              <w:t>-</w:t>
            </w:r>
          </w:p>
        </w:tc>
        <w:tc>
          <w:tcPr>
            <w:tcW w:w="1291" w:type="dxa"/>
            <w:vAlign w:val="center"/>
          </w:tcPr>
          <w:p w14:paraId="0F78BE5A" w14:textId="77777777" w:rsidR="00561AE3" w:rsidRDefault="007923B0">
            <w:pPr>
              <w:jc w:val="right"/>
            </w:pPr>
            <w:r>
              <w:rPr>
                <w:rFonts w:eastAsiaTheme="minorEastAsia"/>
                <w:color w:val="000000" w:themeColor="text1"/>
                <w:szCs w:val="21"/>
              </w:rPr>
              <w:t>-</w:t>
            </w:r>
          </w:p>
        </w:tc>
        <w:tc>
          <w:tcPr>
            <w:tcW w:w="1291" w:type="dxa"/>
            <w:vAlign w:val="center"/>
          </w:tcPr>
          <w:p w14:paraId="262B3007" w14:textId="77777777" w:rsidR="00561AE3" w:rsidRDefault="007923B0">
            <w:pPr>
              <w:jc w:val="right"/>
            </w:pPr>
            <w:r>
              <w:rPr>
                <w:rFonts w:eastAsiaTheme="minorEastAsia"/>
                <w:color w:val="000000" w:themeColor="text1"/>
                <w:szCs w:val="21"/>
              </w:rPr>
              <w:t>-</w:t>
            </w:r>
          </w:p>
        </w:tc>
        <w:tc>
          <w:tcPr>
            <w:tcW w:w="1291" w:type="dxa"/>
            <w:vAlign w:val="center"/>
          </w:tcPr>
          <w:p w14:paraId="61DE5242" w14:textId="77777777" w:rsidR="00561AE3" w:rsidRDefault="007923B0">
            <w:pPr>
              <w:jc w:val="right"/>
            </w:pPr>
            <w:r>
              <w:rPr>
                <w:rFonts w:eastAsiaTheme="minorEastAsia"/>
                <w:color w:val="000000" w:themeColor="text1"/>
                <w:szCs w:val="21"/>
              </w:rPr>
              <w:t>-</w:t>
            </w:r>
          </w:p>
        </w:tc>
        <w:tc>
          <w:tcPr>
            <w:tcW w:w="1291" w:type="dxa"/>
            <w:vAlign w:val="center"/>
          </w:tcPr>
          <w:p w14:paraId="2906A663" w14:textId="77777777" w:rsidR="00561AE3" w:rsidRDefault="007923B0">
            <w:pPr>
              <w:jc w:val="right"/>
            </w:pPr>
            <w:r>
              <w:rPr>
                <w:rFonts w:eastAsiaTheme="minorEastAsia"/>
                <w:color w:val="000000" w:themeColor="text1"/>
                <w:szCs w:val="21"/>
              </w:rPr>
              <w:t>-</w:t>
            </w:r>
          </w:p>
        </w:tc>
      </w:tr>
      <w:tr w:rsidR="00561AE3" w14:paraId="74105FD8" w14:textId="77777777">
        <w:tc>
          <w:tcPr>
            <w:tcW w:w="1290" w:type="dxa"/>
            <w:vAlign w:val="center"/>
          </w:tcPr>
          <w:p w14:paraId="0862405E" w14:textId="77777777" w:rsidR="00561AE3" w:rsidRDefault="007923B0">
            <w:pPr>
              <w:jc w:val="left"/>
            </w:pPr>
            <w:r>
              <w:rPr>
                <w:rFonts w:eastAsiaTheme="minorEastAsia"/>
                <w:color w:val="000000" w:themeColor="text1"/>
                <w:szCs w:val="21"/>
              </w:rPr>
              <w:t>自基金合同生效起至今</w:t>
            </w:r>
          </w:p>
        </w:tc>
        <w:tc>
          <w:tcPr>
            <w:tcW w:w="1291" w:type="dxa"/>
            <w:vAlign w:val="center"/>
          </w:tcPr>
          <w:p w14:paraId="3C4BFD7D" w14:textId="77777777" w:rsidR="00561AE3" w:rsidRDefault="007923B0">
            <w:pPr>
              <w:jc w:val="right"/>
            </w:pPr>
            <w:r>
              <w:rPr>
                <w:rFonts w:eastAsiaTheme="minorEastAsia"/>
                <w:color w:val="000000" w:themeColor="text1"/>
                <w:szCs w:val="21"/>
              </w:rPr>
              <w:t>-21.56%</w:t>
            </w:r>
          </w:p>
        </w:tc>
        <w:tc>
          <w:tcPr>
            <w:tcW w:w="1291" w:type="dxa"/>
            <w:vAlign w:val="center"/>
          </w:tcPr>
          <w:p w14:paraId="4A4865BF" w14:textId="77777777" w:rsidR="00561AE3" w:rsidRDefault="007923B0">
            <w:pPr>
              <w:jc w:val="right"/>
            </w:pPr>
            <w:r>
              <w:rPr>
                <w:rFonts w:eastAsiaTheme="minorEastAsia"/>
                <w:color w:val="000000" w:themeColor="text1"/>
                <w:szCs w:val="21"/>
              </w:rPr>
              <w:t>1.56%</w:t>
            </w:r>
          </w:p>
        </w:tc>
        <w:tc>
          <w:tcPr>
            <w:tcW w:w="1291" w:type="dxa"/>
            <w:vAlign w:val="center"/>
          </w:tcPr>
          <w:p w14:paraId="56743936" w14:textId="77777777" w:rsidR="00561AE3" w:rsidRDefault="007923B0">
            <w:pPr>
              <w:jc w:val="right"/>
            </w:pPr>
            <w:r>
              <w:rPr>
                <w:rFonts w:eastAsiaTheme="minorEastAsia"/>
                <w:color w:val="000000" w:themeColor="text1"/>
                <w:szCs w:val="21"/>
              </w:rPr>
              <w:t>-6.82%</w:t>
            </w:r>
          </w:p>
        </w:tc>
        <w:tc>
          <w:tcPr>
            <w:tcW w:w="1291" w:type="dxa"/>
            <w:vAlign w:val="center"/>
          </w:tcPr>
          <w:p w14:paraId="43C3AAE1" w14:textId="77777777" w:rsidR="00561AE3" w:rsidRDefault="007923B0">
            <w:pPr>
              <w:jc w:val="right"/>
            </w:pPr>
            <w:r>
              <w:rPr>
                <w:rFonts w:eastAsiaTheme="minorEastAsia"/>
                <w:color w:val="000000" w:themeColor="text1"/>
                <w:szCs w:val="21"/>
              </w:rPr>
              <w:t>1.00%</w:t>
            </w:r>
          </w:p>
        </w:tc>
        <w:tc>
          <w:tcPr>
            <w:tcW w:w="1291" w:type="dxa"/>
            <w:vAlign w:val="center"/>
          </w:tcPr>
          <w:p w14:paraId="447F408C" w14:textId="77777777" w:rsidR="00561AE3" w:rsidRDefault="007923B0">
            <w:pPr>
              <w:jc w:val="right"/>
            </w:pPr>
            <w:r>
              <w:rPr>
                <w:rFonts w:eastAsiaTheme="minorEastAsia"/>
                <w:color w:val="000000" w:themeColor="text1"/>
                <w:szCs w:val="21"/>
              </w:rPr>
              <w:t>-14.74%</w:t>
            </w:r>
          </w:p>
        </w:tc>
        <w:tc>
          <w:tcPr>
            <w:tcW w:w="1291" w:type="dxa"/>
            <w:vAlign w:val="center"/>
          </w:tcPr>
          <w:p w14:paraId="60DC0749" w14:textId="77777777" w:rsidR="00561AE3" w:rsidRDefault="007923B0">
            <w:pPr>
              <w:jc w:val="right"/>
            </w:pPr>
            <w:r>
              <w:rPr>
                <w:rFonts w:eastAsiaTheme="minorEastAsia"/>
                <w:color w:val="000000" w:themeColor="text1"/>
                <w:szCs w:val="21"/>
              </w:rPr>
              <w:t>0.56%</w:t>
            </w:r>
          </w:p>
        </w:tc>
      </w:tr>
    </w:tbl>
    <w:p w14:paraId="3339E9FD"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FD266F3"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摩根健康品质生活混合型证券投资基金</w:t>
      </w:r>
    </w:p>
    <w:p w14:paraId="55C46286"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6A049E3F"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E37C27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．摩根健康品质生活混合</w:t>
      </w:r>
      <w:r w:rsidRPr="00B27A29">
        <w:rPr>
          <w:rFonts w:eastAsiaTheme="minorEastAsia"/>
          <w:color w:val="000000" w:themeColor="text1"/>
          <w:szCs w:val="21"/>
        </w:rPr>
        <w:t>A</w:t>
      </w:r>
      <w:r w:rsidRPr="00B27A29">
        <w:rPr>
          <w:rFonts w:eastAsiaTheme="minorEastAsia"/>
          <w:color w:val="000000" w:themeColor="text1"/>
          <w:szCs w:val="21"/>
        </w:rPr>
        <w:t>：</w:t>
      </w:r>
    </w:p>
    <w:p w14:paraId="4C2CE29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B772BD7" wp14:editId="25D9D4D6">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0FDA8FF"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．摩根健康品质生活混合</w:t>
      </w:r>
      <w:r w:rsidRPr="00B27A29">
        <w:rPr>
          <w:rFonts w:eastAsiaTheme="minorEastAsia"/>
          <w:color w:val="000000" w:themeColor="text1"/>
          <w:szCs w:val="21"/>
        </w:rPr>
        <w:t>C</w:t>
      </w:r>
      <w:r w:rsidRPr="00B27A29">
        <w:rPr>
          <w:rFonts w:eastAsiaTheme="minorEastAsia"/>
          <w:color w:val="000000" w:themeColor="text1"/>
          <w:szCs w:val="21"/>
        </w:rPr>
        <w:t>：</w:t>
      </w:r>
    </w:p>
    <w:p w14:paraId="4E493F4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0C6E7CA" wp14:editId="59B7064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B0DCF13"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14:paraId="0BCDF9E7"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77F8B8E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1BDA79A5" w14:textId="77777777" w:rsidR="005E6DF3" w:rsidRPr="00B27A29" w:rsidRDefault="005E6DF3">
      <w:pPr>
        <w:tabs>
          <w:tab w:val="left" w:pos="1800"/>
        </w:tabs>
        <w:spacing w:line="288" w:lineRule="auto"/>
        <w:rPr>
          <w:rFonts w:eastAsiaTheme="minorEastAsia"/>
          <w:color w:val="000000" w:themeColor="text1"/>
          <w:szCs w:val="21"/>
        </w:rPr>
      </w:pPr>
    </w:p>
    <w:p w14:paraId="27796F0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78A45ED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DAE97A3" w14:textId="77777777">
        <w:tc>
          <w:tcPr>
            <w:tcW w:w="952" w:type="dxa"/>
            <w:vMerge w:val="restart"/>
            <w:vAlign w:val="center"/>
          </w:tcPr>
          <w:p w14:paraId="54D64F8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CB561D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576EAE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0E1EF83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5525FED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B6D3AE5" w14:textId="77777777">
        <w:tc>
          <w:tcPr>
            <w:tcW w:w="952" w:type="dxa"/>
            <w:vMerge/>
            <w:vAlign w:val="center"/>
          </w:tcPr>
          <w:p w14:paraId="1DFC02A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7FEDAF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7224FA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A5790E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4C5F3E8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CEE422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61AE3" w14:paraId="51DD8C3C" w14:textId="77777777">
        <w:tc>
          <w:tcPr>
            <w:tcW w:w="952" w:type="dxa"/>
            <w:vAlign w:val="center"/>
          </w:tcPr>
          <w:p w14:paraId="087943ED" w14:textId="77777777" w:rsidR="00561AE3" w:rsidRDefault="007923B0">
            <w:pPr>
              <w:jc w:val="center"/>
            </w:pPr>
            <w:r>
              <w:rPr>
                <w:rFonts w:eastAsiaTheme="minorEastAsia"/>
                <w:color w:val="000000" w:themeColor="text1"/>
                <w:szCs w:val="21"/>
              </w:rPr>
              <w:t>徐项楠</w:t>
            </w:r>
          </w:p>
        </w:tc>
        <w:tc>
          <w:tcPr>
            <w:tcW w:w="930" w:type="dxa"/>
            <w:vAlign w:val="center"/>
          </w:tcPr>
          <w:p w14:paraId="2F2FA1AE" w14:textId="77777777" w:rsidR="00561AE3" w:rsidRDefault="007923B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15A6E18" w14:textId="77777777" w:rsidR="00561AE3" w:rsidRDefault="007923B0">
            <w:pPr>
              <w:jc w:val="center"/>
            </w:pPr>
            <w:r>
              <w:rPr>
                <w:rFonts w:eastAsiaTheme="minorEastAsia"/>
                <w:color w:val="000000" w:themeColor="text1"/>
                <w:szCs w:val="21"/>
              </w:rPr>
              <w:t>2021-11-12</w:t>
            </w:r>
          </w:p>
        </w:tc>
        <w:tc>
          <w:tcPr>
            <w:tcW w:w="1309" w:type="dxa"/>
            <w:vAlign w:val="center"/>
          </w:tcPr>
          <w:p w14:paraId="153E7F6A" w14:textId="77777777" w:rsidR="00561AE3" w:rsidRDefault="007923B0">
            <w:pPr>
              <w:jc w:val="center"/>
            </w:pPr>
            <w:r>
              <w:rPr>
                <w:rFonts w:eastAsiaTheme="minorEastAsia"/>
                <w:color w:val="000000" w:themeColor="text1"/>
                <w:szCs w:val="21"/>
              </w:rPr>
              <w:t>-</w:t>
            </w:r>
          </w:p>
        </w:tc>
        <w:tc>
          <w:tcPr>
            <w:tcW w:w="1254" w:type="dxa"/>
            <w:vAlign w:val="center"/>
          </w:tcPr>
          <w:p w14:paraId="19AAC02E" w14:textId="77777777" w:rsidR="00561AE3" w:rsidRDefault="007923B0">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469B60CE" w14:textId="77777777" w:rsidR="00561AE3" w:rsidRDefault="007923B0">
            <w:r>
              <w:rPr>
                <w:rFonts w:eastAsiaTheme="minorEastAsia"/>
                <w:color w:val="000000" w:themeColor="text1"/>
                <w:szCs w:val="21"/>
              </w:rPr>
              <w:t>徐项楠先生曾任中</w:t>
            </w:r>
            <w:proofErr w:type="gramStart"/>
            <w:r>
              <w:rPr>
                <w:rFonts w:eastAsiaTheme="minorEastAsia"/>
                <w:color w:val="000000" w:themeColor="text1"/>
                <w:szCs w:val="21"/>
              </w:rPr>
              <w:t>海基金</w:t>
            </w:r>
            <w:proofErr w:type="gramEnd"/>
            <w:r>
              <w:rPr>
                <w:rFonts w:eastAsiaTheme="minorEastAsia"/>
                <w:color w:val="000000" w:themeColor="text1"/>
                <w:szCs w:val="21"/>
              </w:rPr>
              <w:t>管理有限公司行业分析师，中</w:t>
            </w:r>
            <w:proofErr w:type="gramStart"/>
            <w:r>
              <w:rPr>
                <w:rFonts w:eastAsiaTheme="minorEastAsia"/>
                <w:color w:val="000000" w:themeColor="text1"/>
                <w:szCs w:val="21"/>
              </w:rPr>
              <w:t>银基金</w:t>
            </w:r>
            <w:proofErr w:type="gramEnd"/>
            <w:r>
              <w:rPr>
                <w:rFonts w:eastAsiaTheme="minorEastAsia"/>
                <w:color w:val="000000" w:themeColor="text1"/>
                <w:szCs w:val="21"/>
              </w:rPr>
              <w:t>管理有限公司高级分析师。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基金经理助理，现任高级基金经理。</w:t>
            </w:r>
          </w:p>
        </w:tc>
      </w:tr>
    </w:tbl>
    <w:p w14:paraId="3B59CBFD" w14:textId="77777777" w:rsidR="00561AE3" w:rsidRDefault="007923B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EF37BD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5DE35D5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67FE7D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23EDB67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17CBB6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592F5582"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w:t>
      </w:r>
      <w:r>
        <w:rPr>
          <w:rFonts w:eastAsiaTheme="minorEastAsia"/>
          <w:color w:val="000000" w:themeColor="text1"/>
          <w:szCs w:val="21"/>
        </w:rPr>
        <w:lastRenderedPageBreak/>
        <w:t>均得到公平对待。</w:t>
      </w:r>
    </w:p>
    <w:p w14:paraId="07F04175"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70BE83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0ED76C9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96E30C0"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35129A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BB8389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5560174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268F200"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年四季度在一系列逆周期政策加力背景下，经济动能边际改善，但供需缺口仍待进一步改善。随着各项存量政策的加快落实和一揽子增量政策的加力推出，四季度综合</w:t>
      </w:r>
      <w:r>
        <w:rPr>
          <w:rFonts w:eastAsiaTheme="minorEastAsia"/>
          <w:color w:val="000000" w:themeColor="text1"/>
          <w:szCs w:val="21"/>
        </w:rPr>
        <w:t>PMI</w:t>
      </w:r>
      <w:r>
        <w:rPr>
          <w:rFonts w:eastAsiaTheme="minorEastAsia"/>
          <w:color w:val="000000" w:themeColor="text1"/>
          <w:szCs w:val="21"/>
        </w:rPr>
        <w:t>产出指数平均为</w:t>
      </w:r>
      <w:r>
        <w:rPr>
          <w:rFonts w:eastAsiaTheme="minorEastAsia"/>
          <w:color w:val="000000" w:themeColor="text1"/>
          <w:szCs w:val="21"/>
        </w:rPr>
        <w:t>51.3%</w:t>
      </w:r>
      <w:r>
        <w:rPr>
          <w:rFonts w:eastAsiaTheme="minorEastAsia"/>
          <w:color w:val="000000" w:themeColor="text1"/>
          <w:szCs w:val="21"/>
        </w:rPr>
        <w:t>，高于三季度的</w:t>
      </w:r>
      <w:r>
        <w:rPr>
          <w:rFonts w:eastAsiaTheme="minorEastAsia"/>
          <w:color w:val="000000" w:themeColor="text1"/>
          <w:szCs w:val="21"/>
        </w:rPr>
        <w:t>50.2%</w:t>
      </w:r>
      <w:r>
        <w:rPr>
          <w:rFonts w:eastAsiaTheme="minorEastAsia"/>
          <w:color w:val="000000" w:themeColor="text1"/>
          <w:szCs w:val="21"/>
        </w:rPr>
        <w:t>，显示四季度经济</w:t>
      </w:r>
      <w:proofErr w:type="gramStart"/>
      <w:r>
        <w:rPr>
          <w:rFonts w:eastAsiaTheme="minorEastAsia"/>
          <w:color w:val="000000" w:themeColor="text1"/>
          <w:szCs w:val="21"/>
        </w:rPr>
        <w:t>动能环</w:t>
      </w:r>
      <w:proofErr w:type="gramEnd"/>
      <w:r>
        <w:rPr>
          <w:rFonts w:eastAsiaTheme="minorEastAsia"/>
          <w:color w:val="000000" w:themeColor="text1"/>
          <w:szCs w:val="21"/>
        </w:rPr>
        <w:t>比边际改善。</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月工业增加值同比增速平均为</w:t>
      </w:r>
      <w:r>
        <w:rPr>
          <w:rFonts w:eastAsiaTheme="minorEastAsia"/>
          <w:color w:val="000000" w:themeColor="text1"/>
          <w:szCs w:val="21"/>
        </w:rPr>
        <w:t>5.4%</w:t>
      </w:r>
      <w:r>
        <w:rPr>
          <w:rFonts w:eastAsiaTheme="minorEastAsia"/>
          <w:color w:val="000000" w:themeColor="text1"/>
          <w:szCs w:val="21"/>
        </w:rPr>
        <w:t>，高于三季度的</w:t>
      </w:r>
      <w:r>
        <w:rPr>
          <w:rFonts w:eastAsiaTheme="minorEastAsia"/>
          <w:color w:val="000000" w:themeColor="text1"/>
          <w:szCs w:val="21"/>
        </w:rPr>
        <w:t>5.0%</w:t>
      </w:r>
      <w:r>
        <w:rPr>
          <w:rFonts w:eastAsiaTheme="minorEastAsia"/>
          <w:color w:val="000000" w:themeColor="text1"/>
          <w:szCs w:val="21"/>
        </w:rPr>
        <w:t>；房地产、金融等行业边际带动下，</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月服务业生产指数同比增速平均为</w:t>
      </w:r>
      <w:r>
        <w:rPr>
          <w:rFonts w:eastAsiaTheme="minorEastAsia"/>
          <w:color w:val="000000" w:themeColor="text1"/>
          <w:szCs w:val="21"/>
        </w:rPr>
        <w:t>6.2%</w:t>
      </w:r>
      <w:r>
        <w:rPr>
          <w:rFonts w:eastAsiaTheme="minorEastAsia"/>
          <w:color w:val="000000" w:themeColor="text1"/>
          <w:szCs w:val="21"/>
        </w:rPr>
        <w:t>，高于三季度的</w:t>
      </w:r>
      <w:r>
        <w:rPr>
          <w:rFonts w:eastAsiaTheme="minorEastAsia"/>
          <w:color w:val="000000" w:themeColor="text1"/>
          <w:szCs w:val="21"/>
        </w:rPr>
        <w:t>4.8%</w:t>
      </w:r>
      <w:r>
        <w:rPr>
          <w:rFonts w:eastAsiaTheme="minorEastAsia"/>
          <w:color w:val="000000" w:themeColor="text1"/>
          <w:szCs w:val="21"/>
        </w:rPr>
        <w:t>。但是供需缺口仍待进一步改善，价格仍然偏弱。</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CPI</w:t>
      </w:r>
      <w:r>
        <w:rPr>
          <w:rFonts w:eastAsiaTheme="minorEastAsia"/>
          <w:color w:val="000000" w:themeColor="text1"/>
          <w:szCs w:val="21"/>
        </w:rPr>
        <w:t>、</w:t>
      </w:r>
      <w:r>
        <w:rPr>
          <w:rFonts w:eastAsiaTheme="minorEastAsia"/>
          <w:color w:val="000000" w:themeColor="text1"/>
          <w:szCs w:val="21"/>
        </w:rPr>
        <w:t>PPI</w:t>
      </w:r>
      <w:r>
        <w:rPr>
          <w:rFonts w:eastAsiaTheme="minorEastAsia"/>
          <w:color w:val="000000" w:themeColor="text1"/>
          <w:szCs w:val="21"/>
        </w:rPr>
        <w:t>同比增速平均分别为</w:t>
      </w:r>
      <w:r>
        <w:rPr>
          <w:rFonts w:eastAsiaTheme="minorEastAsia"/>
          <w:color w:val="000000" w:themeColor="text1"/>
          <w:szCs w:val="21"/>
        </w:rPr>
        <w:t>0.3%</w:t>
      </w:r>
      <w:r>
        <w:rPr>
          <w:rFonts w:eastAsiaTheme="minorEastAsia"/>
          <w:color w:val="000000" w:themeColor="text1"/>
          <w:szCs w:val="21"/>
        </w:rPr>
        <w:t>、</w:t>
      </w:r>
      <w:r>
        <w:rPr>
          <w:rFonts w:eastAsiaTheme="minorEastAsia"/>
          <w:color w:val="000000" w:themeColor="text1"/>
          <w:szCs w:val="21"/>
        </w:rPr>
        <w:t>-2.7%</w:t>
      </w:r>
      <w:r>
        <w:rPr>
          <w:rFonts w:eastAsiaTheme="minorEastAsia"/>
          <w:color w:val="000000" w:themeColor="text1"/>
          <w:szCs w:val="21"/>
        </w:rPr>
        <w:t>，低于三季度的</w:t>
      </w:r>
      <w:r>
        <w:rPr>
          <w:rFonts w:eastAsiaTheme="minorEastAsia"/>
          <w:color w:val="000000" w:themeColor="text1"/>
          <w:szCs w:val="21"/>
        </w:rPr>
        <w:t>0.5%</w:t>
      </w:r>
      <w:r>
        <w:rPr>
          <w:rFonts w:eastAsiaTheme="minorEastAsia"/>
          <w:color w:val="000000" w:themeColor="text1"/>
          <w:szCs w:val="21"/>
        </w:rPr>
        <w:t>、</w:t>
      </w:r>
      <w:r>
        <w:rPr>
          <w:rFonts w:eastAsiaTheme="minorEastAsia"/>
          <w:color w:val="000000" w:themeColor="text1"/>
          <w:szCs w:val="21"/>
        </w:rPr>
        <w:t>-1.8%</w:t>
      </w:r>
      <w:r>
        <w:rPr>
          <w:rFonts w:eastAsiaTheme="minorEastAsia"/>
          <w:color w:val="000000" w:themeColor="text1"/>
          <w:szCs w:val="21"/>
        </w:rPr>
        <w:t>。从需求分项来看，美国经济韧性背景下，出口仍然保持较高增速，</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月以人民币计价的出口同比增速平均为</w:t>
      </w:r>
      <w:r>
        <w:rPr>
          <w:rFonts w:eastAsiaTheme="minorEastAsia"/>
          <w:color w:val="000000" w:themeColor="text1"/>
          <w:szCs w:val="21"/>
        </w:rPr>
        <w:t>8.5%</w:t>
      </w:r>
      <w:r>
        <w:rPr>
          <w:rFonts w:eastAsiaTheme="minorEastAsia"/>
          <w:color w:val="000000" w:themeColor="text1"/>
          <w:szCs w:val="21"/>
        </w:rPr>
        <w:t>，不但高于三季度的</w:t>
      </w:r>
      <w:r>
        <w:rPr>
          <w:rFonts w:eastAsiaTheme="minorEastAsia"/>
          <w:color w:val="000000" w:themeColor="text1"/>
          <w:szCs w:val="21"/>
        </w:rPr>
        <w:t>5.4%</w:t>
      </w:r>
      <w:r>
        <w:rPr>
          <w:rFonts w:eastAsiaTheme="minorEastAsia"/>
          <w:color w:val="000000" w:themeColor="text1"/>
          <w:szCs w:val="21"/>
        </w:rPr>
        <w:t>，也高于内需的消费和投资增速。虽然以旧换新政策集中在四季度释放，拉动了汽车、家电、家具等相关品类的零售增速，但是受居民收入预期和消费信心压制，内生性消费需求仍然偏弱，</w:t>
      </w:r>
      <w:r>
        <w:rPr>
          <w:rFonts w:eastAsiaTheme="minorEastAsia"/>
          <w:color w:val="000000" w:themeColor="text1"/>
          <w:szCs w:val="21"/>
        </w:rPr>
        <w:t>10</w:t>
      </w:r>
      <w:r>
        <w:rPr>
          <w:rFonts w:eastAsiaTheme="minorEastAsia"/>
          <w:color w:val="000000" w:themeColor="text1"/>
          <w:szCs w:val="21"/>
        </w:rPr>
        <w:t>月、</w:t>
      </w:r>
      <w:proofErr w:type="gramStart"/>
      <w:r>
        <w:rPr>
          <w:rFonts w:eastAsiaTheme="minorEastAsia"/>
          <w:color w:val="000000" w:themeColor="text1"/>
          <w:szCs w:val="21"/>
        </w:rPr>
        <w:t>11</w:t>
      </w:r>
      <w:r>
        <w:rPr>
          <w:rFonts w:eastAsiaTheme="minorEastAsia"/>
          <w:color w:val="000000" w:themeColor="text1"/>
          <w:szCs w:val="21"/>
        </w:rPr>
        <w:t>月社零同比</w:t>
      </w:r>
      <w:proofErr w:type="gramEnd"/>
      <w:r>
        <w:rPr>
          <w:rFonts w:eastAsiaTheme="minorEastAsia"/>
          <w:color w:val="000000" w:themeColor="text1"/>
          <w:szCs w:val="21"/>
        </w:rPr>
        <w:t>增速平均为</w:t>
      </w:r>
      <w:r>
        <w:rPr>
          <w:rFonts w:eastAsiaTheme="minorEastAsia"/>
          <w:color w:val="000000" w:themeColor="text1"/>
          <w:szCs w:val="21"/>
        </w:rPr>
        <w:t>3.9%</w:t>
      </w:r>
      <w:r>
        <w:rPr>
          <w:rFonts w:eastAsiaTheme="minorEastAsia"/>
          <w:color w:val="000000" w:themeColor="text1"/>
          <w:szCs w:val="21"/>
        </w:rPr>
        <w:t>，较三季度的</w:t>
      </w:r>
      <w:r>
        <w:rPr>
          <w:rFonts w:eastAsiaTheme="minorEastAsia"/>
          <w:color w:val="000000" w:themeColor="text1"/>
          <w:szCs w:val="21"/>
        </w:rPr>
        <w:t>2.7%</w:t>
      </w:r>
      <w:r>
        <w:rPr>
          <w:rFonts w:eastAsiaTheme="minorEastAsia"/>
          <w:color w:val="000000" w:themeColor="text1"/>
          <w:szCs w:val="21"/>
        </w:rPr>
        <w:t>小幅改善。</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月固定资产投资同比增速平均为</w:t>
      </w:r>
      <w:r>
        <w:rPr>
          <w:rFonts w:eastAsiaTheme="minorEastAsia"/>
          <w:color w:val="000000" w:themeColor="text1"/>
          <w:szCs w:val="21"/>
        </w:rPr>
        <w:t>2.9%</w:t>
      </w:r>
      <w:r>
        <w:rPr>
          <w:rFonts w:eastAsiaTheme="minorEastAsia"/>
          <w:color w:val="000000" w:themeColor="text1"/>
          <w:szCs w:val="21"/>
        </w:rPr>
        <w:t>，略高于三季度的</w:t>
      </w:r>
      <w:r>
        <w:rPr>
          <w:rFonts w:eastAsiaTheme="minorEastAsia"/>
          <w:color w:val="000000" w:themeColor="text1"/>
          <w:szCs w:val="21"/>
        </w:rPr>
        <w:t>2.4%</w:t>
      </w:r>
      <w:r>
        <w:rPr>
          <w:rFonts w:eastAsiaTheme="minorEastAsia"/>
          <w:color w:val="000000" w:themeColor="text1"/>
          <w:szCs w:val="21"/>
        </w:rPr>
        <w:t>。其中，受财政投放</w:t>
      </w:r>
      <w:r>
        <w:rPr>
          <w:rFonts w:eastAsiaTheme="minorEastAsia"/>
          <w:color w:val="000000" w:themeColor="text1"/>
          <w:szCs w:val="21"/>
        </w:rPr>
        <w:t>加快和大规模设备更新改造政策支撑的基建和制造业投资仍然保持较高增速，而虽然房地产政策进一步放松带动房地产销售，但是房地产开发投资仍然偏弱。权益市场呈现震荡走势，沪深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下跌</w:t>
      </w:r>
      <w:r>
        <w:rPr>
          <w:rFonts w:eastAsiaTheme="minorEastAsia"/>
          <w:color w:val="000000" w:themeColor="text1"/>
          <w:szCs w:val="21"/>
        </w:rPr>
        <w:t>1.5%</w:t>
      </w:r>
      <w:r>
        <w:rPr>
          <w:rFonts w:eastAsiaTheme="minorEastAsia"/>
          <w:color w:val="000000" w:themeColor="text1"/>
          <w:szCs w:val="21"/>
        </w:rPr>
        <w:t>，从行业表现来看，商贸零售、电子、计</w:t>
      </w:r>
      <w:r>
        <w:rPr>
          <w:rFonts w:eastAsiaTheme="minorEastAsia"/>
          <w:color w:val="000000" w:themeColor="text1"/>
          <w:szCs w:val="21"/>
        </w:rPr>
        <w:lastRenderedPageBreak/>
        <w:t>算机等</w:t>
      </w:r>
      <w:proofErr w:type="gramStart"/>
      <w:r>
        <w:rPr>
          <w:rFonts w:eastAsiaTheme="minorEastAsia"/>
          <w:color w:val="000000" w:themeColor="text1"/>
          <w:szCs w:val="21"/>
        </w:rPr>
        <w:t>行业涨幅</w:t>
      </w:r>
      <w:proofErr w:type="gramEnd"/>
      <w:r>
        <w:rPr>
          <w:rFonts w:eastAsiaTheme="minorEastAsia"/>
          <w:color w:val="000000" w:themeColor="text1"/>
          <w:szCs w:val="21"/>
        </w:rPr>
        <w:t>居前，有色金属、煤炭、食品饮料等行业表现相对靠后。报告期内，因考虑到经济仍然偏弱，本基金作为</w:t>
      </w:r>
      <w:r>
        <w:rPr>
          <w:rFonts w:eastAsiaTheme="minorEastAsia"/>
          <w:color w:val="000000" w:themeColor="text1"/>
          <w:szCs w:val="21"/>
        </w:rPr>
        <w:t>A</w:t>
      </w:r>
      <w:r>
        <w:rPr>
          <w:rFonts w:eastAsiaTheme="minorEastAsia"/>
          <w:color w:val="000000" w:themeColor="text1"/>
          <w:szCs w:val="21"/>
        </w:rPr>
        <w:t>股消费基金重点聚焦了消费行业中与宏观经济相关性较低的农业板块，以及显著受益于补贴政策的家电板块和基准中权重较高的白酒板块。但受消费信心较弱影响，虽然农业板块优</w:t>
      </w:r>
      <w:r>
        <w:rPr>
          <w:rFonts w:eastAsiaTheme="minorEastAsia"/>
          <w:color w:val="000000" w:themeColor="text1"/>
          <w:szCs w:val="21"/>
        </w:rPr>
        <w:t>质公司报告期内兑现了较好业绩，但从市场表现看，涉及内需的消费方向表现依然较差，导致本基金所配置的与内需相关的消费方向表现不佳，对报告期内基金业绩产生了一定拖累。</w:t>
      </w:r>
    </w:p>
    <w:p w14:paraId="6F18DE9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2025</w:t>
      </w:r>
      <w:r w:rsidRPr="00B27A29">
        <w:rPr>
          <w:rFonts w:eastAsiaTheme="minorEastAsia"/>
          <w:color w:val="000000" w:themeColor="text1"/>
          <w:szCs w:val="21"/>
        </w:rPr>
        <w:t>年第一季度，我们保持谨慎乐观。从外部来看，美国经济基本面韧性仍强，通胀缓慢回落，美联储仍有一定降息空间，使得美国经济实现软着陆。而随着美国新一届政府上台，中美之间贸易摩擦或面临较大不确定性，虽然关税或不至于在</w:t>
      </w:r>
      <w:r w:rsidRPr="00B27A29">
        <w:rPr>
          <w:rFonts w:eastAsiaTheme="minorEastAsia"/>
          <w:color w:val="000000" w:themeColor="text1"/>
          <w:szCs w:val="21"/>
        </w:rPr>
        <w:t>2025</w:t>
      </w:r>
      <w:r w:rsidRPr="00B27A29">
        <w:rPr>
          <w:rFonts w:eastAsiaTheme="minorEastAsia"/>
          <w:color w:val="000000" w:themeColor="text1"/>
          <w:szCs w:val="21"/>
        </w:rPr>
        <w:t>年一季度就正式落地，抢出口效应或也支撑一季度出口仍然维持较高增速，但中美贸易摩擦或扰动市场预期。从内部来看，为了应对外部不确定性和内生性消费需求偏弱，政策仍需进一步发力。中央经济工作会议定调积极，货币政策基调转为适度宽松，要求</w:t>
      </w:r>
      <w:proofErr w:type="gramStart"/>
      <w:r w:rsidRPr="00B27A29">
        <w:rPr>
          <w:rFonts w:eastAsiaTheme="minorEastAsia"/>
          <w:color w:val="000000" w:themeColor="text1"/>
          <w:szCs w:val="21"/>
        </w:rPr>
        <w:t>适时降准降息</w:t>
      </w:r>
      <w:proofErr w:type="gramEnd"/>
      <w:r w:rsidRPr="00B27A29">
        <w:rPr>
          <w:rFonts w:eastAsiaTheme="minorEastAsia"/>
          <w:color w:val="000000" w:themeColor="text1"/>
          <w:szCs w:val="21"/>
        </w:rPr>
        <w:t>，财政政策更加积极，提高财政赤字率，增加发行超长期特别国债，都将对</w:t>
      </w:r>
      <w:r w:rsidRPr="00B27A29">
        <w:rPr>
          <w:rFonts w:eastAsiaTheme="minorEastAsia"/>
          <w:color w:val="000000" w:themeColor="text1"/>
          <w:szCs w:val="21"/>
        </w:rPr>
        <w:t>2025</w:t>
      </w:r>
      <w:r w:rsidRPr="00B27A29">
        <w:rPr>
          <w:rFonts w:eastAsiaTheme="minorEastAsia"/>
          <w:color w:val="000000" w:themeColor="text1"/>
          <w:szCs w:val="21"/>
        </w:rPr>
        <w:t>年一季度经济增长提供支撑。尤其是消费方面，中央经济工作会议强调</w:t>
      </w:r>
      <w:r w:rsidRPr="00B27A29">
        <w:rPr>
          <w:rFonts w:eastAsiaTheme="minorEastAsia"/>
          <w:color w:val="000000" w:themeColor="text1"/>
          <w:szCs w:val="21"/>
        </w:rPr>
        <w:t>“</w:t>
      </w:r>
      <w:r w:rsidRPr="00B27A29">
        <w:rPr>
          <w:rFonts w:eastAsiaTheme="minorEastAsia"/>
          <w:color w:val="000000" w:themeColor="text1"/>
          <w:szCs w:val="21"/>
        </w:rPr>
        <w:t>大力提振消费</w:t>
      </w:r>
      <w:r w:rsidRPr="00B27A29">
        <w:rPr>
          <w:rFonts w:eastAsiaTheme="minorEastAsia"/>
          <w:color w:val="000000" w:themeColor="text1"/>
          <w:szCs w:val="21"/>
        </w:rPr>
        <w:t>”</w:t>
      </w:r>
      <w:r w:rsidRPr="00B27A29">
        <w:rPr>
          <w:rFonts w:eastAsiaTheme="minorEastAsia"/>
          <w:color w:val="000000" w:themeColor="text1"/>
          <w:szCs w:val="21"/>
        </w:rPr>
        <w:t>，我们预计财政扩张或将进一步向民生、消费领域倾斜，从而支撑消费。而扩大消费品以旧换新的品种和规模，可以让更多消费品类和消费群体受益。投资方面，财政发力或支撑基建成为一季度固定资产投资的主要驱动力；房地产政策持续放松，但供需平衡仍需时间修复，房地产投资或边际小幅改善；大规模设备更新改造政策支撑制造业投资。风险点主要在于外部关税政策的不确定性以及内部政策落地不及预期。本基金继续看好并持有受益消费升级的各细分板块优质公司。未来我们亦将继续严格按照基金契约的要求重点投资品质消费相关行业中具有相对估值优势、增长前景确定的优质公司。我们将加强对上市公司基本面的研究力度，力争为持有人创造较好回报。</w:t>
      </w:r>
    </w:p>
    <w:p w14:paraId="2820129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176B6B9"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本报告期摩根健康品质生活</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:-7.51%</w:t>
      </w:r>
      <w:r>
        <w:rPr>
          <w:rFonts w:eastAsiaTheme="minorEastAsia"/>
          <w:color w:val="000000" w:themeColor="text1"/>
          <w:szCs w:val="21"/>
        </w:rPr>
        <w:t>，同期业绩比较基准收益率为</w:t>
      </w:r>
      <w:r>
        <w:rPr>
          <w:rFonts w:eastAsiaTheme="minorEastAsia"/>
          <w:color w:val="000000" w:themeColor="text1"/>
          <w:szCs w:val="21"/>
        </w:rPr>
        <w:t>:-5.88%</w:t>
      </w:r>
    </w:p>
    <w:p w14:paraId="724CBF0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摩根健康品质生活</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:-7.64%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:-5.88%</w:t>
      </w:r>
      <w:r w:rsidRPr="00B27A29">
        <w:rPr>
          <w:rFonts w:eastAsiaTheme="minorEastAsia"/>
          <w:color w:val="000000" w:themeColor="text1"/>
          <w:szCs w:val="21"/>
        </w:rPr>
        <w:t>。</w:t>
      </w:r>
    </w:p>
    <w:p w14:paraId="054A7300" w14:textId="77777777" w:rsidR="005E6DF3" w:rsidRPr="00B27A29" w:rsidRDefault="005E6DF3">
      <w:pPr>
        <w:spacing w:line="360" w:lineRule="auto"/>
        <w:ind w:firstLineChars="200" w:firstLine="420"/>
        <w:rPr>
          <w:rFonts w:eastAsiaTheme="minorEastAsia"/>
          <w:color w:val="000000" w:themeColor="text1"/>
          <w:szCs w:val="21"/>
        </w:rPr>
      </w:pPr>
    </w:p>
    <w:p w14:paraId="142A84AB"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E305A67"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00909CB" w14:textId="77777777" w:rsidR="005E6DF3" w:rsidRPr="00B27A29" w:rsidRDefault="005E6DF3">
      <w:pPr>
        <w:spacing w:line="360" w:lineRule="auto"/>
        <w:ind w:firstLineChars="200" w:firstLine="420"/>
        <w:rPr>
          <w:rFonts w:eastAsiaTheme="minorEastAsia"/>
          <w:color w:val="000000" w:themeColor="text1"/>
          <w:szCs w:val="21"/>
        </w:rPr>
      </w:pPr>
    </w:p>
    <w:p w14:paraId="55C98B8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2FFBCC7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51732E8" w14:textId="77777777">
        <w:tc>
          <w:tcPr>
            <w:tcW w:w="720" w:type="dxa"/>
            <w:vAlign w:val="center"/>
          </w:tcPr>
          <w:p w14:paraId="69E07B3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63E4332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48BBC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3FDCCF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9C7FE28" w14:textId="77777777">
        <w:tc>
          <w:tcPr>
            <w:tcW w:w="720" w:type="dxa"/>
            <w:vAlign w:val="center"/>
          </w:tcPr>
          <w:p w14:paraId="36089DB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0397282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58EB72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680,643,097.43</w:t>
            </w:r>
          </w:p>
        </w:tc>
        <w:tc>
          <w:tcPr>
            <w:tcW w:w="1843" w:type="dxa"/>
            <w:vAlign w:val="center"/>
          </w:tcPr>
          <w:p w14:paraId="5B85097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62.73</w:t>
            </w:r>
          </w:p>
        </w:tc>
      </w:tr>
      <w:tr w:rsidR="005E6DF3" w:rsidRPr="00B27A29" w14:paraId="16D95EBC" w14:textId="77777777">
        <w:tc>
          <w:tcPr>
            <w:tcW w:w="720" w:type="dxa"/>
            <w:vAlign w:val="center"/>
          </w:tcPr>
          <w:p w14:paraId="286E10A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181EBD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041D6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680,643,097.43</w:t>
            </w:r>
          </w:p>
        </w:tc>
        <w:tc>
          <w:tcPr>
            <w:tcW w:w="1843" w:type="dxa"/>
            <w:vAlign w:val="center"/>
          </w:tcPr>
          <w:p w14:paraId="48CDB6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62.73</w:t>
            </w:r>
          </w:p>
        </w:tc>
      </w:tr>
      <w:tr w:rsidR="005E6DF3" w:rsidRPr="00B27A29" w14:paraId="6821660F" w14:textId="77777777">
        <w:tc>
          <w:tcPr>
            <w:tcW w:w="720" w:type="dxa"/>
            <w:vAlign w:val="center"/>
          </w:tcPr>
          <w:p w14:paraId="2C14031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6C6D34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4A35F4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A8AC1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6BF53E" w14:textId="77777777">
        <w:tc>
          <w:tcPr>
            <w:tcW w:w="720" w:type="dxa"/>
            <w:vAlign w:val="center"/>
          </w:tcPr>
          <w:p w14:paraId="64554CA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76B730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30286F6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A47253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26E4E9" w14:textId="77777777">
        <w:tc>
          <w:tcPr>
            <w:tcW w:w="720" w:type="dxa"/>
            <w:vAlign w:val="center"/>
          </w:tcPr>
          <w:p w14:paraId="66AC16D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2F48B8B"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2A9A4D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C8CD7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E045C0" w14:textId="77777777">
        <w:tc>
          <w:tcPr>
            <w:tcW w:w="720" w:type="dxa"/>
          </w:tcPr>
          <w:p w14:paraId="69288E4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3E7B04E"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A6391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8C27A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09C892" w14:textId="77777777">
        <w:tc>
          <w:tcPr>
            <w:tcW w:w="720" w:type="dxa"/>
            <w:vAlign w:val="center"/>
          </w:tcPr>
          <w:p w14:paraId="31E0A48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214975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3AFF16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6FD35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2F9DDE" w14:textId="77777777">
        <w:tc>
          <w:tcPr>
            <w:tcW w:w="720" w:type="dxa"/>
            <w:vAlign w:val="center"/>
          </w:tcPr>
          <w:p w14:paraId="616040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4A51E2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0D8182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C6BB5F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8294C7" w14:textId="77777777">
        <w:tc>
          <w:tcPr>
            <w:tcW w:w="720" w:type="dxa"/>
            <w:vAlign w:val="center"/>
          </w:tcPr>
          <w:p w14:paraId="3CC813C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2ABBA1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710F0D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99043B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020696" w14:textId="77777777">
        <w:tc>
          <w:tcPr>
            <w:tcW w:w="720" w:type="dxa"/>
            <w:vAlign w:val="center"/>
          </w:tcPr>
          <w:p w14:paraId="5292733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575A74B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443CA7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340,311,063.83</w:t>
            </w:r>
          </w:p>
        </w:tc>
        <w:tc>
          <w:tcPr>
            <w:tcW w:w="1843" w:type="dxa"/>
            <w:vAlign w:val="center"/>
          </w:tcPr>
          <w:p w14:paraId="65E2D49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31.36</w:t>
            </w:r>
          </w:p>
        </w:tc>
      </w:tr>
      <w:tr w:rsidR="005E6DF3" w:rsidRPr="00B27A29" w14:paraId="2D5D04C5" w14:textId="77777777">
        <w:tc>
          <w:tcPr>
            <w:tcW w:w="720" w:type="dxa"/>
            <w:vAlign w:val="center"/>
          </w:tcPr>
          <w:p w14:paraId="4AC373A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473861E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91090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64,074,696.28</w:t>
            </w:r>
          </w:p>
        </w:tc>
        <w:tc>
          <w:tcPr>
            <w:tcW w:w="1843" w:type="dxa"/>
            <w:vAlign w:val="center"/>
          </w:tcPr>
          <w:p w14:paraId="6B72C7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5.91</w:t>
            </w:r>
          </w:p>
        </w:tc>
      </w:tr>
      <w:tr w:rsidR="005E6DF3" w:rsidRPr="00B27A29" w14:paraId="1DB6BA5F" w14:textId="77777777">
        <w:tc>
          <w:tcPr>
            <w:tcW w:w="720" w:type="dxa"/>
            <w:vAlign w:val="center"/>
          </w:tcPr>
          <w:p w14:paraId="648CD01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918942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0EF81E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1,085,028,857.54</w:t>
            </w:r>
          </w:p>
        </w:tc>
        <w:tc>
          <w:tcPr>
            <w:tcW w:w="1843" w:type="dxa"/>
            <w:vAlign w:val="center"/>
          </w:tcPr>
          <w:p w14:paraId="5FB0D3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06188C6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6CF269A"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268A9F6D"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408E45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2BF9B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618298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FE6C3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46C65AE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12CE7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87C26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3B0B4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92,525,247.06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2D168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11.46</w:t>
            </w:r>
          </w:p>
        </w:tc>
      </w:tr>
      <w:tr w:rsidR="005E6DF3" w:rsidRPr="00B27A29" w14:paraId="3299270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999D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3BBB4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8B3C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78AB20CF"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16915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74D1E05C" w14:textId="77777777" w:rsidR="005E6DF3" w:rsidRPr="00B27A29" w:rsidRDefault="005E6DF3">
            <w:pPr>
              <w:jc w:val="right"/>
              <w:rPr>
                <w:rFonts w:eastAsiaTheme="minorEastAsia"/>
                <w:color w:val="000000" w:themeColor="text1"/>
                <w:szCs w:val="21"/>
              </w:rPr>
            </w:pPr>
          </w:p>
        </w:tc>
      </w:tr>
      <w:tr w:rsidR="005E6DF3" w:rsidRPr="00B27A29" w14:paraId="347DD8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7A155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90E15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2114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565,059,120.17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2138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69.96</w:t>
            </w:r>
          </w:p>
        </w:tc>
      </w:tr>
      <w:tr w:rsidR="005E6DF3" w:rsidRPr="00B27A29" w14:paraId="3AF3125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E3D37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34533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6987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71B3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723C5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12B93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59571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6FDA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17F7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1761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81718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EE24E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D0ACDB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81F1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E5AEC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11A2B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9C1B0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C4A4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ED19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444C1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6FF47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018A8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62D85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5F2C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F1983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27EAB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65537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83ED6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B47B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1C131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6945D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A9AE2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8B3F4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082FB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D1C1E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14500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4E5F0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A064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12,338,898.00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3CCE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w:t>
            </w:r>
          </w:p>
        </w:tc>
      </w:tr>
      <w:tr w:rsidR="005E6DF3" w:rsidRPr="00B27A29" w14:paraId="7C2FFC3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097D5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1A16B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E67F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C7E8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A6C4E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EC029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2CBD5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69767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F1CF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1567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DD731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942B2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47E7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8381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8802F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34A2B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54090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EBE9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7437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09C8E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E7B7E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869C2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D20E3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10,719,832.20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CD17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w:t>
            </w:r>
          </w:p>
        </w:tc>
      </w:tr>
      <w:tr w:rsidR="005E6DF3" w:rsidRPr="00B27A29" w14:paraId="19D221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6C56B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47F9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52D65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AE96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0CB46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4C84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7CCEC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164A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42E9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1075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71794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45A86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B5A3F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45C12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99A35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78721C"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BE885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082631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680,643,097.43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1FC3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84.27</w:t>
            </w:r>
          </w:p>
        </w:tc>
      </w:tr>
    </w:tbl>
    <w:p w14:paraId="671BF98D"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3E88DD63" w14:textId="77777777" w:rsidTr="00D913A1">
        <w:tc>
          <w:tcPr>
            <w:tcW w:w="817" w:type="dxa"/>
            <w:vAlign w:val="center"/>
          </w:tcPr>
          <w:p w14:paraId="374171D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4B9E46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4A7B46D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765870C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39EB6C9E"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17B2B9A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61AE3" w14:paraId="3EF51FAA" w14:textId="77777777">
        <w:tc>
          <w:tcPr>
            <w:tcW w:w="817" w:type="dxa"/>
            <w:vAlign w:val="center"/>
          </w:tcPr>
          <w:p w14:paraId="23A1EEC4" w14:textId="77777777" w:rsidR="00561AE3" w:rsidRDefault="007923B0">
            <w:pPr>
              <w:jc w:val="center"/>
            </w:pPr>
            <w:r>
              <w:rPr>
                <w:rFonts w:eastAsiaTheme="minorEastAsia"/>
                <w:kern w:val="0"/>
                <w:szCs w:val="21"/>
              </w:rPr>
              <w:t>1</w:t>
            </w:r>
          </w:p>
        </w:tc>
        <w:tc>
          <w:tcPr>
            <w:tcW w:w="1276" w:type="dxa"/>
            <w:vAlign w:val="center"/>
          </w:tcPr>
          <w:p w14:paraId="165199D7" w14:textId="77777777" w:rsidR="00561AE3" w:rsidRDefault="007923B0">
            <w:pPr>
              <w:jc w:val="center"/>
            </w:pPr>
            <w:r>
              <w:rPr>
                <w:rFonts w:eastAsiaTheme="minorEastAsia"/>
                <w:kern w:val="0"/>
                <w:szCs w:val="21"/>
              </w:rPr>
              <w:t>000858</w:t>
            </w:r>
          </w:p>
        </w:tc>
        <w:tc>
          <w:tcPr>
            <w:tcW w:w="1701" w:type="dxa"/>
            <w:vAlign w:val="center"/>
          </w:tcPr>
          <w:p w14:paraId="53878F44" w14:textId="77777777" w:rsidR="00561AE3" w:rsidRDefault="007923B0">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14:paraId="12900C75" w14:textId="77777777" w:rsidR="00561AE3" w:rsidRDefault="007923B0">
            <w:pPr>
              <w:jc w:val="right"/>
            </w:pPr>
            <w:r>
              <w:rPr>
                <w:rFonts w:eastAsiaTheme="minorEastAsia"/>
                <w:kern w:val="0"/>
                <w:szCs w:val="21"/>
              </w:rPr>
              <w:t>568,127</w:t>
            </w:r>
          </w:p>
        </w:tc>
        <w:tc>
          <w:tcPr>
            <w:tcW w:w="1842" w:type="dxa"/>
            <w:vAlign w:val="center"/>
          </w:tcPr>
          <w:p w14:paraId="3B3A956F" w14:textId="77777777" w:rsidR="00561AE3" w:rsidRDefault="007923B0">
            <w:pPr>
              <w:jc w:val="right"/>
            </w:pPr>
            <w:r>
              <w:rPr>
                <w:rFonts w:eastAsiaTheme="minorEastAsia"/>
                <w:kern w:val="0"/>
                <w:szCs w:val="21"/>
              </w:rPr>
              <w:t>79,560,505.08</w:t>
            </w:r>
          </w:p>
        </w:tc>
        <w:tc>
          <w:tcPr>
            <w:tcW w:w="1616" w:type="dxa"/>
            <w:vAlign w:val="center"/>
          </w:tcPr>
          <w:p w14:paraId="51838E40" w14:textId="77777777" w:rsidR="00561AE3" w:rsidRDefault="007923B0">
            <w:pPr>
              <w:jc w:val="right"/>
            </w:pPr>
            <w:r>
              <w:rPr>
                <w:rFonts w:eastAsiaTheme="minorEastAsia"/>
                <w:kern w:val="0"/>
                <w:szCs w:val="21"/>
              </w:rPr>
              <w:t>9.85</w:t>
            </w:r>
          </w:p>
        </w:tc>
      </w:tr>
      <w:tr w:rsidR="00561AE3" w14:paraId="07CF6A14" w14:textId="77777777">
        <w:tc>
          <w:tcPr>
            <w:tcW w:w="817" w:type="dxa"/>
            <w:vAlign w:val="center"/>
          </w:tcPr>
          <w:p w14:paraId="5CCCA49B" w14:textId="77777777" w:rsidR="00561AE3" w:rsidRDefault="007923B0">
            <w:pPr>
              <w:jc w:val="center"/>
            </w:pPr>
            <w:r>
              <w:rPr>
                <w:rFonts w:eastAsiaTheme="minorEastAsia"/>
                <w:kern w:val="0"/>
                <w:szCs w:val="21"/>
              </w:rPr>
              <w:t>2</w:t>
            </w:r>
          </w:p>
        </w:tc>
        <w:tc>
          <w:tcPr>
            <w:tcW w:w="1276" w:type="dxa"/>
            <w:vAlign w:val="center"/>
          </w:tcPr>
          <w:p w14:paraId="31D3C512" w14:textId="77777777" w:rsidR="00561AE3" w:rsidRDefault="007923B0">
            <w:pPr>
              <w:jc w:val="center"/>
            </w:pPr>
            <w:r>
              <w:rPr>
                <w:rFonts w:eastAsiaTheme="minorEastAsia"/>
                <w:kern w:val="0"/>
                <w:szCs w:val="21"/>
              </w:rPr>
              <w:t>000568</w:t>
            </w:r>
          </w:p>
        </w:tc>
        <w:tc>
          <w:tcPr>
            <w:tcW w:w="1701" w:type="dxa"/>
            <w:vAlign w:val="center"/>
          </w:tcPr>
          <w:p w14:paraId="243C198F" w14:textId="77777777" w:rsidR="00561AE3" w:rsidRDefault="007923B0">
            <w:pPr>
              <w:jc w:val="center"/>
            </w:pPr>
            <w:r>
              <w:rPr>
                <w:rFonts w:eastAsiaTheme="minorEastAsia"/>
                <w:kern w:val="0"/>
                <w:szCs w:val="21"/>
              </w:rPr>
              <w:t>泸州老窖</w:t>
            </w:r>
          </w:p>
        </w:tc>
        <w:tc>
          <w:tcPr>
            <w:tcW w:w="1276" w:type="dxa"/>
            <w:vAlign w:val="center"/>
          </w:tcPr>
          <w:p w14:paraId="30AD4A82" w14:textId="77777777" w:rsidR="00561AE3" w:rsidRDefault="007923B0">
            <w:pPr>
              <w:jc w:val="right"/>
            </w:pPr>
            <w:r>
              <w:rPr>
                <w:rFonts w:eastAsiaTheme="minorEastAsia"/>
                <w:kern w:val="0"/>
                <w:szCs w:val="21"/>
              </w:rPr>
              <w:t>626,579</w:t>
            </w:r>
          </w:p>
        </w:tc>
        <w:tc>
          <w:tcPr>
            <w:tcW w:w="1842" w:type="dxa"/>
            <w:vAlign w:val="center"/>
          </w:tcPr>
          <w:p w14:paraId="0310229D" w14:textId="77777777" w:rsidR="00561AE3" w:rsidRDefault="007923B0">
            <w:pPr>
              <w:jc w:val="right"/>
            </w:pPr>
            <w:r>
              <w:rPr>
                <w:rFonts w:eastAsiaTheme="minorEastAsia"/>
                <w:kern w:val="0"/>
                <w:szCs w:val="21"/>
              </w:rPr>
              <w:t>78,447,690.80</w:t>
            </w:r>
          </w:p>
        </w:tc>
        <w:tc>
          <w:tcPr>
            <w:tcW w:w="1616" w:type="dxa"/>
            <w:vAlign w:val="center"/>
          </w:tcPr>
          <w:p w14:paraId="1D0C9C28" w14:textId="77777777" w:rsidR="00561AE3" w:rsidRDefault="007923B0">
            <w:pPr>
              <w:jc w:val="right"/>
            </w:pPr>
            <w:r>
              <w:rPr>
                <w:rFonts w:eastAsiaTheme="minorEastAsia"/>
                <w:kern w:val="0"/>
                <w:szCs w:val="21"/>
              </w:rPr>
              <w:t>9.71</w:t>
            </w:r>
          </w:p>
        </w:tc>
      </w:tr>
      <w:tr w:rsidR="00561AE3" w14:paraId="1DB3BFFF" w14:textId="77777777">
        <w:tc>
          <w:tcPr>
            <w:tcW w:w="817" w:type="dxa"/>
            <w:vAlign w:val="center"/>
          </w:tcPr>
          <w:p w14:paraId="3B252695" w14:textId="77777777" w:rsidR="00561AE3" w:rsidRDefault="007923B0">
            <w:pPr>
              <w:jc w:val="center"/>
            </w:pPr>
            <w:r>
              <w:rPr>
                <w:rFonts w:eastAsiaTheme="minorEastAsia"/>
                <w:kern w:val="0"/>
                <w:szCs w:val="21"/>
              </w:rPr>
              <w:t>3</w:t>
            </w:r>
          </w:p>
        </w:tc>
        <w:tc>
          <w:tcPr>
            <w:tcW w:w="1276" w:type="dxa"/>
            <w:vAlign w:val="center"/>
          </w:tcPr>
          <w:p w14:paraId="1B45E724" w14:textId="77777777" w:rsidR="00561AE3" w:rsidRDefault="007923B0">
            <w:pPr>
              <w:jc w:val="center"/>
            </w:pPr>
            <w:r>
              <w:rPr>
                <w:rFonts w:eastAsiaTheme="minorEastAsia"/>
                <w:kern w:val="0"/>
                <w:szCs w:val="21"/>
              </w:rPr>
              <w:t>603477</w:t>
            </w:r>
          </w:p>
        </w:tc>
        <w:tc>
          <w:tcPr>
            <w:tcW w:w="1701" w:type="dxa"/>
            <w:vAlign w:val="center"/>
          </w:tcPr>
          <w:p w14:paraId="63C10EB7" w14:textId="77777777" w:rsidR="00561AE3" w:rsidRDefault="007923B0">
            <w:pPr>
              <w:jc w:val="center"/>
            </w:pPr>
            <w:r>
              <w:rPr>
                <w:rFonts w:eastAsiaTheme="minorEastAsia"/>
                <w:kern w:val="0"/>
                <w:szCs w:val="21"/>
              </w:rPr>
              <w:t>巨星农牧</w:t>
            </w:r>
          </w:p>
        </w:tc>
        <w:tc>
          <w:tcPr>
            <w:tcW w:w="1276" w:type="dxa"/>
            <w:vAlign w:val="center"/>
          </w:tcPr>
          <w:p w14:paraId="005E7CFE" w14:textId="77777777" w:rsidR="00561AE3" w:rsidRDefault="007923B0">
            <w:pPr>
              <w:jc w:val="right"/>
            </w:pPr>
            <w:r>
              <w:rPr>
                <w:rFonts w:eastAsiaTheme="minorEastAsia"/>
                <w:kern w:val="0"/>
                <w:szCs w:val="21"/>
              </w:rPr>
              <w:t>3,851,862</w:t>
            </w:r>
          </w:p>
        </w:tc>
        <w:tc>
          <w:tcPr>
            <w:tcW w:w="1842" w:type="dxa"/>
            <w:vAlign w:val="center"/>
          </w:tcPr>
          <w:p w14:paraId="43EDCF13" w14:textId="77777777" w:rsidR="00561AE3" w:rsidRDefault="007923B0">
            <w:pPr>
              <w:jc w:val="right"/>
            </w:pPr>
            <w:r>
              <w:rPr>
                <w:rFonts w:eastAsiaTheme="minorEastAsia"/>
                <w:kern w:val="0"/>
                <w:szCs w:val="21"/>
              </w:rPr>
              <w:t>68,370,550.50</w:t>
            </w:r>
          </w:p>
        </w:tc>
        <w:tc>
          <w:tcPr>
            <w:tcW w:w="1616" w:type="dxa"/>
            <w:vAlign w:val="center"/>
          </w:tcPr>
          <w:p w14:paraId="152DEB97" w14:textId="77777777" w:rsidR="00561AE3" w:rsidRDefault="007923B0">
            <w:pPr>
              <w:jc w:val="right"/>
            </w:pPr>
            <w:r>
              <w:rPr>
                <w:rFonts w:eastAsiaTheme="minorEastAsia"/>
                <w:kern w:val="0"/>
                <w:szCs w:val="21"/>
              </w:rPr>
              <w:t>8.47</w:t>
            </w:r>
          </w:p>
        </w:tc>
      </w:tr>
      <w:tr w:rsidR="00561AE3" w14:paraId="12DE4663" w14:textId="77777777">
        <w:tc>
          <w:tcPr>
            <w:tcW w:w="817" w:type="dxa"/>
            <w:vAlign w:val="center"/>
          </w:tcPr>
          <w:p w14:paraId="13D95FB3" w14:textId="77777777" w:rsidR="00561AE3" w:rsidRDefault="007923B0">
            <w:pPr>
              <w:jc w:val="center"/>
            </w:pPr>
            <w:r>
              <w:rPr>
                <w:rFonts w:eastAsiaTheme="minorEastAsia"/>
                <w:kern w:val="0"/>
                <w:szCs w:val="21"/>
              </w:rPr>
              <w:t>4</w:t>
            </w:r>
          </w:p>
        </w:tc>
        <w:tc>
          <w:tcPr>
            <w:tcW w:w="1276" w:type="dxa"/>
            <w:vAlign w:val="center"/>
          </w:tcPr>
          <w:p w14:paraId="15390323" w14:textId="77777777" w:rsidR="00561AE3" w:rsidRDefault="007923B0">
            <w:pPr>
              <w:jc w:val="center"/>
            </w:pPr>
            <w:r>
              <w:rPr>
                <w:rFonts w:eastAsiaTheme="minorEastAsia"/>
                <w:kern w:val="0"/>
                <w:szCs w:val="21"/>
              </w:rPr>
              <w:t>600809</w:t>
            </w:r>
          </w:p>
        </w:tc>
        <w:tc>
          <w:tcPr>
            <w:tcW w:w="1701" w:type="dxa"/>
            <w:vAlign w:val="center"/>
          </w:tcPr>
          <w:p w14:paraId="473A1687" w14:textId="77777777" w:rsidR="00561AE3" w:rsidRDefault="007923B0">
            <w:pPr>
              <w:jc w:val="center"/>
            </w:pPr>
            <w:r>
              <w:rPr>
                <w:rFonts w:eastAsiaTheme="minorEastAsia"/>
                <w:kern w:val="0"/>
                <w:szCs w:val="21"/>
              </w:rPr>
              <w:t>山西汾酒</w:t>
            </w:r>
          </w:p>
        </w:tc>
        <w:tc>
          <w:tcPr>
            <w:tcW w:w="1276" w:type="dxa"/>
            <w:vAlign w:val="center"/>
          </w:tcPr>
          <w:p w14:paraId="1A7F1775" w14:textId="77777777" w:rsidR="00561AE3" w:rsidRDefault="007923B0">
            <w:pPr>
              <w:jc w:val="right"/>
            </w:pPr>
            <w:r>
              <w:rPr>
                <w:rFonts w:eastAsiaTheme="minorEastAsia"/>
                <w:kern w:val="0"/>
                <w:szCs w:val="21"/>
              </w:rPr>
              <w:t>324,200</w:t>
            </w:r>
          </w:p>
        </w:tc>
        <w:tc>
          <w:tcPr>
            <w:tcW w:w="1842" w:type="dxa"/>
            <w:vAlign w:val="center"/>
          </w:tcPr>
          <w:p w14:paraId="18B391E3" w14:textId="77777777" w:rsidR="00561AE3" w:rsidRDefault="007923B0">
            <w:pPr>
              <w:jc w:val="right"/>
            </w:pPr>
            <w:r>
              <w:rPr>
                <w:rFonts w:eastAsiaTheme="minorEastAsia"/>
                <w:kern w:val="0"/>
                <w:szCs w:val="21"/>
              </w:rPr>
              <w:t>59,720,882.00</w:t>
            </w:r>
          </w:p>
        </w:tc>
        <w:tc>
          <w:tcPr>
            <w:tcW w:w="1616" w:type="dxa"/>
            <w:vAlign w:val="center"/>
          </w:tcPr>
          <w:p w14:paraId="3BF075A6" w14:textId="77777777" w:rsidR="00561AE3" w:rsidRDefault="007923B0">
            <w:pPr>
              <w:jc w:val="right"/>
            </w:pPr>
            <w:r>
              <w:rPr>
                <w:rFonts w:eastAsiaTheme="minorEastAsia"/>
                <w:kern w:val="0"/>
                <w:szCs w:val="21"/>
              </w:rPr>
              <w:t>7.39</w:t>
            </w:r>
          </w:p>
        </w:tc>
      </w:tr>
      <w:tr w:rsidR="00561AE3" w14:paraId="7BBB9C46" w14:textId="77777777">
        <w:tc>
          <w:tcPr>
            <w:tcW w:w="817" w:type="dxa"/>
            <w:vAlign w:val="center"/>
          </w:tcPr>
          <w:p w14:paraId="743EF8B6" w14:textId="77777777" w:rsidR="00561AE3" w:rsidRDefault="007923B0">
            <w:pPr>
              <w:jc w:val="center"/>
            </w:pPr>
            <w:r>
              <w:rPr>
                <w:rFonts w:eastAsiaTheme="minorEastAsia"/>
                <w:kern w:val="0"/>
                <w:szCs w:val="21"/>
              </w:rPr>
              <w:t>5</w:t>
            </w:r>
          </w:p>
        </w:tc>
        <w:tc>
          <w:tcPr>
            <w:tcW w:w="1276" w:type="dxa"/>
            <w:vAlign w:val="center"/>
          </w:tcPr>
          <w:p w14:paraId="2ED85987" w14:textId="77777777" w:rsidR="00561AE3" w:rsidRDefault="007923B0">
            <w:pPr>
              <w:jc w:val="center"/>
            </w:pPr>
            <w:r>
              <w:rPr>
                <w:rFonts w:eastAsiaTheme="minorEastAsia"/>
                <w:kern w:val="0"/>
                <w:szCs w:val="21"/>
              </w:rPr>
              <w:t>600519</w:t>
            </w:r>
          </w:p>
        </w:tc>
        <w:tc>
          <w:tcPr>
            <w:tcW w:w="1701" w:type="dxa"/>
            <w:vAlign w:val="center"/>
          </w:tcPr>
          <w:p w14:paraId="3CEF49D0" w14:textId="77777777" w:rsidR="00561AE3" w:rsidRDefault="007923B0">
            <w:pPr>
              <w:jc w:val="center"/>
            </w:pPr>
            <w:r>
              <w:rPr>
                <w:rFonts w:eastAsiaTheme="minorEastAsia"/>
                <w:kern w:val="0"/>
                <w:szCs w:val="21"/>
              </w:rPr>
              <w:t>贵州茅台</w:t>
            </w:r>
          </w:p>
        </w:tc>
        <w:tc>
          <w:tcPr>
            <w:tcW w:w="1276" w:type="dxa"/>
            <w:vAlign w:val="center"/>
          </w:tcPr>
          <w:p w14:paraId="42EF8C20" w14:textId="77777777" w:rsidR="00561AE3" w:rsidRDefault="007923B0">
            <w:pPr>
              <w:jc w:val="right"/>
            </w:pPr>
            <w:r>
              <w:rPr>
                <w:rFonts w:eastAsiaTheme="minorEastAsia"/>
                <w:kern w:val="0"/>
                <w:szCs w:val="21"/>
              </w:rPr>
              <w:t>24,578</w:t>
            </w:r>
          </w:p>
        </w:tc>
        <w:tc>
          <w:tcPr>
            <w:tcW w:w="1842" w:type="dxa"/>
            <w:vAlign w:val="center"/>
          </w:tcPr>
          <w:p w14:paraId="7ADF801D" w14:textId="77777777" w:rsidR="00561AE3" w:rsidRDefault="007923B0">
            <w:pPr>
              <w:jc w:val="right"/>
            </w:pPr>
            <w:r>
              <w:rPr>
                <w:rFonts w:eastAsiaTheme="minorEastAsia"/>
                <w:kern w:val="0"/>
                <w:szCs w:val="21"/>
              </w:rPr>
              <w:t>37,456,872.00</w:t>
            </w:r>
          </w:p>
        </w:tc>
        <w:tc>
          <w:tcPr>
            <w:tcW w:w="1616" w:type="dxa"/>
            <w:vAlign w:val="center"/>
          </w:tcPr>
          <w:p w14:paraId="6B42C63A" w14:textId="77777777" w:rsidR="00561AE3" w:rsidRDefault="007923B0">
            <w:pPr>
              <w:jc w:val="right"/>
            </w:pPr>
            <w:r>
              <w:rPr>
                <w:rFonts w:eastAsiaTheme="minorEastAsia"/>
                <w:kern w:val="0"/>
                <w:szCs w:val="21"/>
              </w:rPr>
              <w:t>4.64</w:t>
            </w:r>
          </w:p>
        </w:tc>
      </w:tr>
      <w:tr w:rsidR="00561AE3" w14:paraId="4F1B76C4" w14:textId="77777777">
        <w:tc>
          <w:tcPr>
            <w:tcW w:w="817" w:type="dxa"/>
            <w:vAlign w:val="center"/>
          </w:tcPr>
          <w:p w14:paraId="67671759" w14:textId="77777777" w:rsidR="00561AE3" w:rsidRDefault="007923B0">
            <w:pPr>
              <w:jc w:val="center"/>
            </w:pPr>
            <w:r>
              <w:rPr>
                <w:rFonts w:eastAsiaTheme="minorEastAsia"/>
                <w:kern w:val="0"/>
                <w:szCs w:val="21"/>
              </w:rPr>
              <w:t>6</w:t>
            </w:r>
          </w:p>
        </w:tc>
        <w:tc>
          <w:tcPr>
            <w:tcW w:w="1276" w:type="dxa"/>
            <w:vAlign w:val="center"/>
          </w:tcPr>
          <w:p w14:paraId="78F79D27" w14:textId="77777777" w:rsidR="00561AE3" w:rsidRDefault="007923B0">
            <w:pPr>
              <w:jc w:val="center"/>
            </w:pPr>
            <w:r>
              <w:rPr>
                <w:rFonts w:eastAsiaTheme="minorEastAsia"/>
                <w:kern w:val="0"/>
                <w:szCs w:val="21"/>
              </w:rPr>
              <w:t>000333</w:t>
            </w:r>
          </w:p>
        </w:tc>
        <w:tc>
          <w:tcPr>
            <w:tcW w:w="1701" w:type="dxa"/>
            <w:vAlign w:val="center"/>
          </w:tcPr>
          <w:p w14:paraId="4E54C99E" w14:textId="77777777" w:rsidR="00561AE3" w:rsidRDefault="007923B0">
            <w:pPr>
              <w:jc w:val="center"/>
            </w:pPr>
            <w:r>
              <w:rPr>
                <w:rFonts w:eastAsiaTheme="minorEastAsia"/>
                <w:kern w:val="0"/>
                <w:szCs w:val="21"/>
              </w:rPr>
              <w:t>美的集团</w:t>
            </w:r>
          </w:p>
        </w:tc>
        <w:tc>
          <w:tcPr>
            <w:tcW w:w="1276" w:type="dxa"/>
            <w:vAlign w:val="center"/>
          </w:tcPr>
          <w:p w14:paraId="25C79455" w14:textId="77777777" w:rsidR="00561AE3" w:rsidRDefault="007923B0">
            <w:pPr>
              <w:jc w:val="right"/>
            </w:pPr>
            <w:r>
              <w:rPr>
                <w:rFonts w:eastAsiaTheme="minorEastAsia"/>
                <w:kern w:val="0"/>
                <w:szCs w:val="21"/>
              </w:rPr>
              <w:t>495,656</w:t>
            </w:r>
          </w:p>
        </w:tc>
        <w:tc>
          <w:tcPr>
            <w:tcW w:w="1842" w:type="dxa"/>
            <w:vAlign w:val="center"/>
          </w:tcPr>
          <w:p w14:paraId="749243DD" w14:textId="77777777" w:rsidR="00561AE3" w:rsidRDefault="007923B0">
            <w:pPr>
              <w:jc w:val="right"/>
            </w:pPr>
            <w:r>
              <w:rPr>
                <w:rFonts w:eastAsiaTheme="minorEastAsia"/>
                <w:kern w:val="0"/>
                <w:szCs w:val="21"/>
              </w:rPr>
              <w:t>37,283,244.32</w:t>
            </w:r>
          </w:p>
        </w:tc>
        <w:tc>
          <w:tcPr>
            <w:tcW w:w="1616" w:type="dxa"/>
            <w:vAlign w:val="center"/>
          </w:tcPr>
          <w:p w14:paraId="2A425DF6" w14:textId="77777777" w:rsidR="00561AE3" w:rsidRDefault="007923B0">
            <w:pPr>
              <w:jc w:val="right"/>
            </w:pPr>
            <w:r>
              <w:rPr>
                <w:rFonts w:eastAsiaTheme="minorEastAsia"/>
                <w:kern w:val="0"/>
                <w:szCs w:val="21"/>
              </w:rPr>
              <w:t>4.62</w:t>
            </w:r>
          </w:p>
        </w:tc>
      </w:tr>
      <w:tr w:rsidR="00561AE3" w14:paraId="002BC7D1" w14:textId="77777777">
        <w:tc>
          <w:tcPr>
            <w:tcW w:w="817" w:type="dxa"/>
            <w:vAlign w:val="center"/>
          </w:tcPr>
          <w:p w14:paraId="6BA81338" w14:textId="77777777" w:rsidR="00561AE3" w:rsidRDefault="007923B0">
            <w:pPr>
              <w:jc w:val="center"/>
            </w:pPr>
            <w:r>
              <w:rPr>
                <w:rFonts w:eastAsiaTheme="minorEastAsia"/>
                <w:kern w:val="0"/>
                <w:szCs w:val="21"/>
              </w:rPr>
              <w:t>7</w:t>
            </w:r>
          </w:p>
        </w:tc>
        <w:tc>
          <w:tcPr>
            <w:tcW w:w="1276" w:type="dxa"/>
            <w:vAlign w:val="center"/>
          </w:tcPr>
          <w:p w14:paraId="29F63944" w14:textId="77777777" w:rsidR="00561AE3" w:rsidRDefault="007923B0">
            <w:pPr>
              <w:jc w:val="center"/>
            </w:pPr>
            <w:r>
              <w:rPr>
                <w:rFonts w:eastAsiaTheme="minorEastAsia"/>
                <w:kern w:val="0"/>
                <w:szCs w:val="21"/>
              </w:rPr>
              <w:t>000651</w:t>
            </w:r>
          </w:p>
        </w:tc>
        <w:tc>
          <w:tcPr>
            <w:tcW w:w="1701" w:type="dxa"/>
            <w:vAlign w:val="center"/>
          </w:tcPr>
          <w:p w14:paraId="65FFAB29" w14:textId="77777777" w:rsidR="00561AE3" w:rsidRDefault="007923B0">
            <w:pPr>
              <w:jc w:val="center"/>
            </w:pPr>
            <w:r>
              <w:rPr>
                <w:rFonts w:eastAsiaTheme="minorEastAsia"/>
                <w:kern w:val="0"/>
                <w:szCs w:val="21"/>
              </w:rPr>
              <w:t>格力电器</w:t>
            </w:r>
          </w:p>
        </w:tc>
        <w:tc>
          <w:tcPr>
            <w:tcW w:w="1276" w:type="dxa"/>
            <w:vAlign w:val="center"/>
          </w:tcPr>
          <w:p w14:paraId="1C562C59" w14:textId="77777777" w:rsidR="00561AE3" w:rsidRDefault="007923B0">
            <w:pPr>
              <w:jc w:val="right"/>
            </w:pPr>
            <w:r>
              <w:rPr>
                <w:rFonts w:eastAsiaTheme="minorEastAsia"/>
                <w:kern w:val="0"/>
                <w:szCs w:val="21"/>
              </w:rPr>
              <w:t>778,900</w:t>
            </w:r>
          </w:p>
        </w:tc>
        <w:tc>
          <w:tcPr>
            <w:tcW w:w="1842" w:type="dxa"/>
            <w:vAlign w:val="center"/>
          </w:tcPr>
          <w:p w14:paraId="30F00DC0" w14:textId="77777777" w:rsidR="00561AE3" w:rsidRDefault="007923B0">
            <w:pPr>
              <w:jc w:val="right"/>
            </w:pPr>
            <w:r>
              <w:rPr>
                <w:rFonts w:eastAsiaTheme="minorEastAsia"/>
                <w:kern w:val="0"/>
                <w:szCs w:val="21"/>
              </w:rPr>
              <w:t>35,401,005.00</w:t>
            </w:r>
          </w:p>
        </w:tc>
        <w:tc>
          <w:tcPr>
            <w:tcW w:w="1616" w:type="dxa"/>
            <w:vAlign w:val="center"/>
          </w:tcPr>
          <w:p w14:paraId="044C5A2B" w14:textId="77777777" w:rsidR="00561AE3" w:rsidRDefault="007923B0">
            <w:pPr>
              <w:jc w:val="right"/>
            </w:pPr>
            <w:r>
              <w:rPr>
                <w:rFonts w:eastAsiaTheme="minorEastAsia"/>
                <w:kern w:val="0"/>
                <w:szCs w:val="21"/>
              </w:rPr>
              <w:t>4.38</w:t>
            </w:r>
          </w:p>
        </w:tc>
      </w:tr>
      <w:tr w:rsidR="00561AE3" w14:paraId="08D3ADE3" w14:textId="77777777">
        <w:tc>
          <w:tcPr>
            <w:tcW w:w="817" w:type="dxa"/>
            <w:vAlign w:val="center"/>
          </w:tcPr>
          <w:p w14:paraId="2A9D4623" w14:textId="77777777" w:rsidR="00561AE3" w:rsidRDefault="007923B0">
            <w:pPr>
              <w:jc w:val="center"/>
            </w:pPr>
            <w:r>
              <w:rPr>
                <w:rFonts w:eastAsiaTheme="minorEastAsia"/>
                <w:kern w:val="0"/>
                <w:szCs w:val="21"/>
              </w:rPr>
              <w:t>8</w:t>
            </w:r>
          </w:p>
        </w:tc>
        <w:tc>
          <w:tcPr>
            <w:tcW w:w="1276" w:type="dxa"/>
            <w:vAlign w:val="center"/>
          </w:tcPr>
          <w:p w14:paraId="6E9882CE" w14:textId="77777777" w:rsidR="00561AE3" w:rsidRDefault="007923B0">
            <w:pPr>
              <w:jc w:val="center"/>
            </w:pPr>
            <w:r>
              <w:rPr>
                <w:rFonts w:eastAsiaTheme="minorEastAsia"/>
                <w:kern w:val="0"/>
                <w:szCs w:val="21"/>
              </w:rPr>
              <w:t>002568</w:t>
            </w:r>
          </w:p>
        </w:tc>
        <w:tc>
          <w:tcPr>
            <w:tcW w:w="1701" w:type="dxa"/>
            <w:vAlign w:val="center"/>
          </w:tcPr>
          <w:p w14:paraId="6BDF1C1C" w14:textId="77777777" w:rsidR="00561AE3" w:rsidRDefault="007923B0">
            <w:pPr>
              <w:jc w:val="center"/>
            </w:pPr>
            <w:proofErr w:type="gramStart"/>
            <w:r>
              <w:rPr>
                <w:rFonts w:eastAsiaTheme="minorEastAsia"/>
                <w:kern w:val="0"/>
                <w:szCs w:val="21"/>
              </w:rPr>
              <w:t>百润股份</w:t>
            </w:r>
            <w:proofErr w:type="gramEnd"/>
          </w:p>
        </w:tc>
        <w:tc>
          <w:tcPr>
            <w:tcW w:w="1276" w:type="dxa"/>
            <w:vAlign w:val="center"/>
          </w:tcPr>
          <w:p w14:paraId="69464100" w14:textId="77777777" w:rsidR="00561AE3" w:rsidRDefault="007923B0">
            <w:pPr>
              <w:jc w:val="right"/>
            </w:pPr>
            <w:r>
              <w:rPr>
                <w:rFonts w:eastAsiaTheme="minorEastAsia"/>
                <w:kern w:val="0"/>
                <w:szCs w:val="21"/>
              </w:rPr>
              <w:t>1,172,214</w:t>
            </w:r>
          </w:p>
        </w:tc>
        <w:tc>
          <w:tcPr>
            <w:tcW w:w="1842" w:type="dxa"/>
            <w:vAlign w:val="center"/>
          </w:tcPr>
          <w:p w14:paraId="47388D51" w14:textId="77777777" w:rsidR="00561AE3" w:rsidRDefault="007923B0">
            <w:pPr>
              <w:jc w:val="right"/>
            </w:pPr>
            <w:r>
              <w:rPr>
                <w:rFonts w:eastAsiaTheme="minorEastAsia"/>
                <w:kern w:val="0"/>
                <w:szCs w:val="21"/>
              </w:rPr>
              <w:t>32,833,714.14</w:t>
            </w:r>
          </w:p>
        </w:tc>
        <w:tc>
          <w:tcPr>
            <w:tcW w:w="1616" w:type="dxa"/>
            <w:vAlign w:val="center"/>
          </w:tcPr>
          <w:p w14:paraId="5F9240FA" w14:textId="77777777" w:rsidR="00561AE3" w:rsidRDefault="007923B0">
            <w:pPr>
              <w:jc w:val="right"/>
            </w:pPr>
            <w:r>
              <w:rPr>
                <w:rFonts w:eastAsiaTheme="minorEastAsia"/>
                <w:kern w:val="0"/>
                <w:szCs w:val="21"/>
              </w:rPr>
              <w:t>4.07</w:t>
            </w:r>
          </w:p>
        </w:tc>
      </w:tr>
      <w:tr w:rsidR="00561AE3" w14:paraId="0A970C2C" w14:textId="77777777">
        <w:tc>
          <w:tcPr>
            <w:tcW w:w="817" w:type="dxa"/>
            <w:vAlign w:val="center"/>
          </w:tcPr>
          <w:p w14:paraId="3BC282A1" w14:textId="77777777" w:rsidR="00561AE3" w:rsidRDefault="007923B0">
            <w:pPr>
              <w:jc w:val="center"/>
            </w:pPr>
            <w:r>
              <w:rPr>
                <w:rFonts w:eastAsiaTheme="minorEastAsia"/>
                <w:kern w:val="0"/>
                <w:szCs w:val="21"/>
              </w:rPr>
              <w:t>9</w:t>
            </w:r>
          </w:p>
        </w:tc>
        <w:tc>
          <w:tcPr>
            <w:tcW w:w="1276" w:type="dxa"/>
            <w:vAlign w:val="center"/>
          </w:tcPr>
          <w:p w14:paraId="301A37ED" w14:textId="77777777" w:rsidR="00561AE3" w:rsidRDefault="007923B0">
            <w:pPr>
              <w:jc w:val="center"/>
            </w:pPr>
            <w:r>
              <w:rPr>
                <w:rFonts w:eastAsiaTheme="minorEastAsia"/>
                <w:kern w:val="0"/>
                <w:szCs w:val="21"/>
              </w:rPr>
              <w:t>002384</w:t>
            </w:r>
          </w:p>
        </w:tc>
        <w:tc>
          <w:tcPr>
            <w:tcW w:w="1701" w:type="dxa"/>
            <w:vAlign w:val="center"/>
          </w:tcPr>
          <w:p w14:paraId="78E045FA" w14:textId="77777777" w:rsidR="00561AE3" w:rsidRDefault="007923B0">
            <w:pPr>
              <w:jc w:val="center"/>
            </w:pPr>
            <w:r>
              <w:rPr>
                <w:rFonts w:eastAsiaTheme="minorEastAsia"/>
                <w:kern w:val="0"/>
                <w:szCs w:val="21"/>
              </w:rPr>
              <w:t>东山精密</w:t>
            </w:r>
          </w:p>
        </w:tc>
        <w:tc>
          <w:tcPr>
            <w:tcW w:w="1276" w:type="dxa"/>
            <w:vAlign w:val="center"/>
          </w:tcPr>
          <w:p w14:paraId="4EE98194" w14:textId="77777777" w:rsidR="00561AE3" w:rsidRDefault="007923B0">
            <w:pPr>
              <w:jc w:val="right"/>
            </w:pPr>
            <w:r>
              <w:rPr>
                <w:rFonts w:eastAsiaTheme="minorEastAsia"/>
                <w:kern w:val="0"/>
                <w:szCs w:val="21"/>
              </w:rPr>
              <w:t>1,019,568</w:t>
            </w:r>
          </w:p>
        </w:tc>
        <w:tc>
          <w:tcPr>
            <w:tcW w:w="1842" w:type="dxa"/>
            <w:vAlign w:val="center"/>
          </w:tcPr>
          <w:p w14:paraId="6F1CEB0C" w14:textId="77777777" w:rsidR="00561AE3" w:rsidRDefault="007923B0">
            <w:pPr>
              <w:jc w:val="right"/>
            </w:pPr>
            <w:r>
              <w:rPr>
                <w:rFonts w:eastAsiaTheme="minorEastAsia"/>
                <w:kern w:val="0"/>
                <w:szCs w:val="21"/>
              </w:rPr>
              <w:t>29,771,385.60</w:t>
            </w:r>
          </w:p>
        </w:tc>
        <w:tc>
          <w:tcPr>
            <w:tcW w:w="1616" w:type="dxa"/>
            <w:vAlign w:val="center"/>
          </w:tcPr>
          <w:p w14:paraId="437214DC" w14:textId="77777777" w:rsidR="00561AE3" w:rsidRDefault="007923B0">
            <w:pPr>
              <w:jc w:val="right"/>
            </w:pPr>
            <w:r>
              <w:rPr>
                <w:rFonts w:eastAsiaTheme="minorEastAsia"/>
                <w:kern w:val="0"/>
                <w:szCs w:val="21"/>
              </w:rPr>
              <w:t>3.69</w:t>
            </w:r>
          </w:p>
        </w:tc>
      </w:tr>
      <w:tr w:rsidR="00561AE3" w14:paraId="7028258A" w14:textId="77777777">
        <w:tc>
          <w:tcPr>
            <w:tcW w:w="817" w:type="dxa"/>
            <w:vAlign w:val="center"/>
          </w:tcPr>
          <w:p w14:paraId="5FBABC10" w14:textId="77777777" w:rsidR="00561AE3" w:rsidRDefault="007923B0">
            <w:pPr>
              <w:jc w:val="center"/>
            </w:pPr>
            <w:r>
              <w:rPr>
                <w:rFonts w:eastAsiaTheme="minorEastAsia"/>
                <w:kern w:val="0"/>
                <w:szCs w:val="21"/>
              </w:rPr>
              <w:t>10</w:t>
            </w:r>
          </w:p>
        </w:tc>
        <w:tc>
          <w:tcPr>
            <w:tcW w:w="1276" w:type="dxa"/>
            <w:vAlign w:val="center"/>
          </w:tcPr>
          <w:p w14:paraId="19CDA7FA" w14:textId="77777777" w:rsidR="00561AE3" w:rsidRDefault="007923B0">
            <w:pPr>
              <w:jc w:val="center"/>
            </w:pPr>
            <w:r>
              <w:rPr>
                <w:rFonts w:eastAsiaTheme="minorEastAsia"/>
                <w:kern w:val="0"/>
                <w:szCs w:val="21"/>
              </w:rPr>
              <w:t>002594</w:t>
            </w:r>
          </w:p>
        </w:tc>
        <w:tc>
          <w:tcPr>
            <w:tcW w:w="1701" w:type="dxa"/>
            <w:vAlign w:val="center"/>
          </w:tcPr>
          <w:p w14:paraId="01B1E675" w14:textId="77777777" w:rsidR="00561AE3" w:rsidRDefault="007923B0">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20E2D8AB" w14:textId="77777777" w:rsidR="00561AE3" w:rsidRDefault="007923B0">
            <w:pPr>
              <w:jc w:val="right"/>
            </w:pPr>
            <w:r>
              <w:rPr>
                <w:rFonts w:eastAsiaTheme="minorEastAsia"/>
                <w:kern w:val="0"/>
                <w:szCs w:val="21"/>
              </w:rPr>
              <w:t>91,600</w:t>
            </w:r>
          </w:p>
        </w:tc>
        <w:tc>
          <w:tcPr>
            <w:tcW w:w="1842" w:type="dxa"/>
            <w:vAlign w:val="center"/>
          </w:tcPr>
          <w:p w14:paraId="399EDA83" w14:textId="77777777" w:rsidR="00561AE3" w:rsidRDefault="007923B0">
            <w:pPr>
              <w:jc w:val="right"/>
            </w:pPr>
            <w:r>
              <w:rPr>
                <w:rFonts w:eastAsiaTheme="minorEastAsia"/>
                <w:kern w:val="0"/>
                <w:szCs w:val="21"/>
              </w:rPr>
              <w:t>25,891,656.00</w:t>
            </w:r>
          </w:p>
        </w:tc>
        <w:tc>
          <w:tcPr>
            <w:tcW w:w="1616" w:type="dxa"/>
            <w:vAlign w:val="center"/>
          </w:tcPr>
          <w:p w14:paraId="1E319B86" w14:textId="77777777" w:rsidR="00561AE3" w:rsidRDefault="007923B0">
            <w:pPr>
              <w:jc w:val="right"/>
            </w:pPr>
            <w:r>
              <w:rPr>
                <w:rFonts w:eastAsiaTheme="minorEastAsia"/>
                <w:kern w:val="0"/>
                <w:szCs w:val="21"/>
              </w:rPr>
              <w:t>3.21</w:t>
            </w:r>
          </w:p>
        </w:tc>
      </w:tr>
    </w:tbl>
    <w:bookmarkEnd w:id="0"/>
    <w:p w14:paraId="4F35125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420EAE7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846D60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608EA8F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5BF5937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727978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14:paraId="44EDA2B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B88EE38"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7F27D81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69922F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2BDE9A3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5CF3D4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A6F561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C4777A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CC5B80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830C7A4"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267D124"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43CF47DE"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7A5C9A30" w14:textId="77777777">
        <w:tc>
          <w:tcPr>
            <w:tcW w:w="1110" w:type="dxa"/>
            <w:vAlign w:val="center"/>
          </w:tcPr>
          <w:p w14:paraId="0204D7C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0ED7D09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86A8AD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8E097DE" w14:textId="77777777">
        <w:tc>
          <w:tcPr>
            <w:tcW w:w="1110" w:type="dxa"/>
            <w:vAlign w:val="center"/>
          </w:tcPr>
          <w:p w14:paraId="4D9425F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4781386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435D2EF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460,403.20</w:t>
            </w:r>
          </w:p>
        </w:tc>
      </w:tr>
      <w:tr w:rsidR="005E6DF3" w:rsidRPr="00B27A29" w14:paraId="112626CA" w14:textId="77777777">
        <w:tc>
          <w:tcPr>
            <w:tcW w:w="1110" w:type="dxa"/>
            <w:vAlign w:val="center"/>
          </w:tcPr>
          <w:p w14:paraId="0B2F187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28C92CA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8C38DD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63,497,328.34</w:t>
            </w:r>
          </w:p>
        </w:tc>
      </w:tr>
      <w:tr w:rsidR="005E6DF3" w:rsidRPr="00B27A29" w14:paraId="1F9510C6" w14:textId="77777777">
        <w:tc>
          <w:tcPr>
            <w:tcW w:w="1110" w:type="dxa"/>
            <w:vAlign w:val="center"/>
          </w:tcPr>
          <w:p w14:paraId="7FAABC2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400AA1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889F55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AF50C5C" w14:textId="77777777">
        <w:tc>
          <w:tcPr>
            <w:tcW w:w="1110" w:type="dxa"/>
            <w:vAlign w:val="center"/>
          </w:tcPr>
          <w:p w14:paraId="34B1486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0348F4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B68B50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48DC541" w14:textId="77777777">
        <w:tc>
          <w:tcPr>
            <w:tcW w:w="1110" w:type="dxa"/>
            <w:vAlign w:val="center"/>
          </w:tcPr>
          <w:p w14:paraId="75E7D7D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5A50830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DBFDCF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116,964.74</w:t>
            </w:r>
          </w:p>
        </w:tc>
      </w:tr>
      <w:tr w:rsidR="005E6DF3" w:rsidRPr="00B27A29" w14:paraId="40087D5A" w14:textId="77777777">
        <w:tc>
          <w:tcPr>
            <w:tcW w:w="1110" w:type="dxa"/>
            <w:vAlign w:val="center"/>
          </w:tcPr>
          <w:p w14:paraId="6DD5254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505013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4C0D948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155EC27" w14:textId="77777777">
        <w:tc>
          <w:tcPr>
            <w:tcW w:w="1110" w:type="dxa"/>
            <w:vAlign w:val="center"/>
          </w:tcPr>
          <w:p w14:paraId="20BDABE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27789E5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95EB51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1130CA" w14:textId="77777777">
        <w:tc>
          <w:tcPr>
            <w:tcW w:w="1110" w:type="dxa"/>
            <w:vAlign w:val="center"/>
          </w:tcPr>
          <w:p w14:paraId="785161D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524695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40EA642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AEBCDEC" w14:textId="77777777">
        <w:tc>
          <w:tcPr>
            <w:tcW w:w="1110" w:type="dxa"/>
            <w:vAlign w:val="center"/>
          </w:tcPr>
          <w:p w14:paraId="5D89A28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042DEE1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113AD4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64,074,696.28</w:t>
            </w:r>
          </w:p>
        </w:tc>
      </w:tr>
    </w:tbl>
    <w:p w14:paraId="634788B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14:paraId="4A548DE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28D3A97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B18DA9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3870B6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4ECD56D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368A646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763BAB5F"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9F37ED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A2A4C6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3C2E79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173C28B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14:paraId="609CA2C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D5640C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0FF9BC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282,429,895.99</w:t>
            </w:r>
          </w:p>
        </w:tc>
        <w:tc>
          <w:tcPr>
            <w:tcW w:w="2367" w:type="dxa"/>
            <w:tcBorders>
              <w:top w:val="single" w:sz="8" w:space="0" w:color="000000"/>
              <w:left w:val="single" w:sz="8" w:space="0" w:color="000000"/>
              <w:bottom w:val="single" w:sz="8" w:space="0" w:color="000000"/>
              <w:right w:val="single" w:sz="8" w:space="0" w:color="000000"/>
            </w:tcBorders>
            <w:vAlign w:val="center"/>
          </w:tcPr>
          <w:p w14:paraId="290930A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117,533,350.72</w:t>
            </w:r>
          </w:p>
        </w:tc>
      </w:tr>
      <w:tr w:rsidR="005E6DF3" w:rsidRPr="00B27A29" w14:paraId="5374F1D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41D8EE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CFFE8E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102,798,511.27</w:t>
            </w:r>
          </w:p>
        </w:tc>
        <w:tc>
          <w:tcPr>
            <w:tcW w:w="2367" w:type="dxa"/>
            <w:tcBorders>
              <w:top w:val="single" w:sz="8" w:space="0" w:color="000000"/>
              <w:left w:val="single" w:sz="8" w:space="0" w:color="000000"/>
              <w:bottom w:val="single" w:sz="8" w:space="0" w:color="000000"/>
              <w:right w:val="single" w:sz="8" w:space="0" w:color="000000"/>
            </w:tcBorders>
            <w:vAlign w:val="center"/>
          </w:tcPr>
          <w:p w14:paraId="70965CD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19,871,761.28</w:t>
            </w:r>
          </w:p>
        </w:tc>
      </w:tr>
      <w:tr w:rsidR="005E6DF3" w:rsidRPr="00B27A29" w14:paraId="1CE9979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86F56A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25CBE7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134,441,494.46</w:t>
            </w:r>
          </w:p>
        </w:tc>
        <w:tc>
          <w:tcPr>
            <w:tcW w:w="2367" w:type="dxa"/>
            <w:tcBorders>
              <w:top w:val="single" w:sz="8" w:space="0" w:color="000000"/>
              <w:left w:val="single" w:sz="8" w:space="0" w:color="000000"/>
              <w:bottom w:val="single" w:sz="8" w:space="0" w:color="000000"/>
              <w:right w:val="single" w:sz="8" w:space="0" w:color="000000"/>
            </w:tcBorders>
            <w:vAlign w:val="center"/>
          </w:tcPr>
          <w:p w14:paraId="6B043EC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112,924,586.80</w:t>
            </w:r>
          </w:p>
        </w:tc>
      </w:tr>
      <w:tr w:rsidR="005E6DF3" w:rsidRPr="00B27A29" w14:paraId="2521544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86924F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4BCF36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FD262B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3912F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AAB0D2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F25219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250,786,912.80</w:t>
            </w:r>
          </w:p>
        </w:tc>
        <w:tc>
          <w:tcPr>
            <w:tcW w:w="2367" w:type="dxa"/>
            <w:tcBorders>
              <w:top w:val="single" w:sz="8" w:space="0" w:color="000000"/>
              <w:left w:val="single" w:sz="8" w:space="0" w:color="000000"/>
              <w:bottom w:val="single" w:sz="8" w:space="0" w:color="000000"/>
              <w:right w:val="single" w:sz="8" w:space="0" w:color="000000"/>
            </w:tcBorders>
            <w:vAlign w:val="center"/>
          </w:tcPr>
          <w:p w14:paraId="2E87223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24,480,525.20</w:t>
            </w:r>
          </w:p>
        </w:tc>
      </w:tr>
    </w:tbl>
    <w:p w14:paraId="559A60C8"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1E7FAF93"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237F68D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6A67473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9E653D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442BB82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5C4551F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14:paraId="3FACBE2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72460A0"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99BAA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49,435.08</w:t>
            </w:r>
          </w:p>
        </w:tc>
        <w:tc>
          <w:tcPr>
            <w:tcW w:w="2693" w:type="dxa"/>
            <w:tcBorders>
              <w:top w:val="single" w:sz="8" w:space="0" w:color="000000"/>
              <w:left w:val="single" w:sz="8" w:space="0" w:color="000000"/>
              <w:bottom w:val="single" w:sz="8" w:space="0" w:color="000000"/>
              <w:right w:val="single" w:sz="8" w:space="0" w:color="000000"/>
            </w:tcBorders>
            <w:vAlign w:val="center"/>
          </w:tcPr>
          <w:p w14:paraId="13F52C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AFB88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1077EAF"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793F95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2D1121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74F421D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546C10D"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668EE6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28FE29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0320B3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4C2A897"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ACA9C5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49,435.08</w:t>
            </w:r>
          </w:p>
        </w:tc>
        <w:tc>
          <w:tcPr>
            <w:tcW w:w="2693" w:type="dxa"/>
            <w:tcBorders>
              <w:top w:val="single" w:sz="8" w:space="0" w:color="000000"/>
              <w:left w:val="single" w:sz="8" w:space="0" w:color="000000"/>
              <w:bottom w:val="single" w:sz="8" w:space="0" w:color="000000"/>
              <w:right w:val="single" w:sz="8" w:space="0" w:color="000000"/>
            </w:tcBorders>
            <w:vAlign w:val="center"/>
          </w:tcPr>
          <w:p w14:paraId="59DBCC1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00005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AE5FE6B"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w:t>
            </w:r>
            <w:r w:rsidRPr="00B27A29">
              <w:rPr>
                <w:color w:val="000000" w:themeColor="text1"/>
                <w:szCs w:val="21"/>
              </w:rPr>
              <w:lastRenderedPageBreak/>
              <w:t>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45E583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lastRenderedPageBreak/>
              <w:t>0.02</w:t>
            </w:r>
          </w:p>
        </w:tc>
        <w:tc>
          <w:tcPr>
            <w:tcW w:w="2693" w:type="dxa"/>
            <w:tcBorders>
              <w:top w:val="single" w:sz="8" w:space="0" w:color="000000"/>
              <w:left w:val="single" w:sz="8" w:space="0" w:color="000000"/>
              <w:bottom w:val="single" w:sz="8" w:space="0" w:color="000000"/>
              <w:right w:val="single" w:sz="8" w:space="0" w:color="000000"/>
            </w:tcBorders>
            <w:vAlign w:val="center"/>
          </w:tcPr>
          <w:p w14:paraId="126B0DE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0B19419A"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62F6756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403D78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427106DA"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66FCF9DA" w14:textId="77777777">
        <w:tc>
          <w:tcPr>
            <w:tcW w:w="993" w:type="dxa"/>
            <w:vMerge w:val="restart"/>
            <w:vAlign w:val="center"/>
          </w:tcPr>
          <w:p w14:paraId="0520AFBE"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5202B7A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4D4B90C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758AB6BD" w14:textId="77777777">
        <w:tc>
          <w:tcPr>
            <w:tcW w:w="993" w:type="dxa"/>
            <w:vMerge/>
            <w:vAlign w:val="center"/>
          </w:tcPr>
          <w:p w14:paraId="120A13D0"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27A6D075"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4597CD5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6BACEB86"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63D475FA"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68BEF33A"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0085D82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29C13E96"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561AE3" w14:paraId="566B4FB6" w14:textId="77777777">
        <w:tc>
          <w:tcPr>
            <w:tcW w:w="993" w:type="dxa"/>
            <w:vMerge w:val="restart"/>
            <w:vAlign w:val="center"/>
          </w:tcPr>
          <w:p w14:paraId="6591697B" w14:textId="77777777" w:rsidR="00561AE3" w:rsidRDefault="007923B0">
            <w:r>
              <w:rPr>
                <w:bCs/>
                <w:color w:val="000000"/>
                <w:kern w:val="0"/>
                <w:szCs w:val="21"/>
              </w:rPr>
              <w:t>机构</w:t>
            </w:r>
          </w:p>
        </w:tc>
        <w:tc>
          <w:tcPr>
            <w:tcW w:w="992" w:type="dxa"/>
            <w:vAlign w:val="center"/>
          </w:tcPr>
          <w:p w14:paraId="16887CD0" w14:textId="77777777" w:rsidR="00561AE3" w:rsidRDefault="007923B0">
            <w:pPr>
              <w:jc w:val="center"/>
            </w:pPr>
            <w:r>
              <w:rPr>
                <w:color w:val="000000"/>
                <w:kern w:val="0"/>
                <w:szCs w:val="21"/>
              </w:rPr>
              <w:t>1</w:t>
            </w:r>
          </w:p>
        </w:tc>
        <w:tc>
          <w:tcPr>
            <w:tcW w:w="1843" w:type="dxa"/>
            <w:vAlign w:val="center"/>
          </w:tcPr>
          <w:p w14:paraId="0D28E4F9" w14:textId="77777777" w:rsidR="00561AE3" w:rsidRDefault="007923B0">
            <w:pPr>
              <w:jc w:val="center"/>
            </w:pPr>
            <w:r>
              <w:rPr>
                <w:color w:val="000000"/>
                <w:kern w:val="0"/>
                <w:szCs w:val="21"/>
              </w:rPr>
              <w:t>20241001-20241231</w:t>
            </w:r>
          </w:p>
        </w:tc>
        <w:tc>
          <w:tcPr>
            <w:tcW w:w="851" w:type="dxa"/>
            <w:vAlign w:val="center"/>
          </w:tcPr>
          <w:p w14:paraId="74E4DAC7" w14:textId="77777777" w:rsidR="00561AE3" w:rsidRDefault="007923B0">
            <w:pPr>
              <w:jc w:val="center"/>
            </w:pPr>
            <w:r>
              <w:rPr>
                <w:color w:val="000000"/>
                <w:kern w:val="0"/>
                <w:szCs w:val="21"/>
              </w:rPr>
              <w:t>94,426,088.92</w:t>
            </w:r>
          </w:p>
        </w:tc>
        <w:tc>
          <w:tcPr>
            <w:tcW w:w="850" w:type="dxa"/>
            <w:vAlign w:val="center"/>
          </w:tcPr>
          <w:p w14:paraId="0AA9F896" w14:textId="77777777" w:rsidR="00561AE3" w:rsidRDefault="007923B0">
            <w:pPr>
              <w:jc w:val="center"/>
            </w:pPr>
            <w:r>
              <w:rPr>
                <w:color w:val="000000"/>
                <w:kern w:val="0"/>
                <w:szCs w:val="21"/>
              </w:rPr>
              <w:t>64,590,120.16</w:t>
            </w:r>
          </w:p>
        </w:tc>
        <w:tc>
          <w:tcPr>
            <w:tcW w:w="1134" w:type="dxa"/>
            <w:vAlign w:val="center"/>
          </w:tcPr>
          <w:p w14:paraId="35B2425F" w14:textId="77777777" w:rsidR="00561AE3" w:rsidRDefault="007923B0">
            <w:pPr>
              <w:jc w:val="center"/>
            </w:pPr>
            <w:r>
              <w:rPr>
                <w:color w:val="000000"/>
                <w:kern w:val="0"/>
                <w:szCs w:val="21"/>
              </w:rPr>
              <w:t>101,055,316.51</w:t>
            </w:r>
          </w:p>
        </w:tc>
        <w:tc>
          <w:tcPr>
            <w:tcW w:w="1419" w:type="dxa"/>
            <w:vAlign w:val="center"/>
          </w:tcPr>
          <w:p w14:paraId="12A912FA" w14:textId="77777777" w:rsidR="00561AE3" w:rsidRDefault="007923B0">
            <w:pPr>
              <w:jc w:val="center"/>
            </w:pPr>
            <w:r>
              <w:rPr>
                <w:color w:val="000000"/>
                <w:kern w:val="0"/>
                <w:szCs w:val="21"/>
              </w:rPr>
              <w:t>57,960,892.57</w:t>
            </w:r>
          </w:p>
        </w:tc>
        <w:tc>
          <w:tcPr>
            <w:tcW w:w="1130" w:type="dxa"/>
            <w:vAlign w:val="center"/>
          </w:tcPr>
          <w:p w14:paraId="7B49B9D6" w14:textId="77777777" w:rsidR="00561AE3" w:rsidRDefault="007923B0">
            <w:pPr>
              <w:jc w:val="center"/>
            </w:pPr>
            <w:r>
              <w:rPr>
                <w:color w:val="000000"/>
                <w:kern w:val="0"/>
                <w:szCs w:val="21"/>
              </w:rPr>
              <w:t>21.06%</w:t>
            </w:r>
          </w:p>
        </w:tc>
      </w:tr>
      <w:tr w:rsidR="00561AE3" w14:paraId="5889DFAD" w14:textId="77777777">
        <w:tc>
          <w:tcPr>
            <w:tcW w:w="993" w:type="dxa"/>
            <w:vMerge/>
          </w:tcPr>
          <w:p w14:paraId="6DDDD474" w14:textId="77777777" w:rsidR="00561AE3" w:rsidRDefault="00561AE3"/>
        </w:tc>
        <w:tc>
          <w:tcPr>
            <w:tcW w:w="992" w:type="dxa"/>
            <w:vAlign w:val="center"/>
          </w:tcPr>
          <w:p w14:paraId="722C5016" w14:textId="77777777" w:rsidR="00561AE3" w:rsidRDefault="007923B0">
            <w:pPr>
              <w:jc w:val="center"/>
            </w:pPr>
            <w:r>
              <w:rPr>
                <w:color w:val="000000"/>
                <w:kern w:val="0"/>
                <w:szCs w:val="21"/>
              </w:rPr>
              <w:t>2</w:t>
            </w:r>
          </w:p>
        </w:tc>
        <w:tc>
          <w:tcPr>
            <w:tcW w:w="1843" w:type="dxa"/>
            <w:vAlign w:val="center"/>
          </w:tcPr>
          <w:p w14:paraId="29095634" w14:textId="77777777" w:rsidR="00561AE3" w:rsidRDefault="007923B0">
            <w:pPr>
              <w:jc w:val="center"/>
            </w:pPr>
            <w:r>
              <w:rPr>
                <w:color w:val="000000"/>
                <w:kern w:val="0"/>
                <w:szCs w:val="21"/>
              </w:rPr>
              <w:t>20241231-20241231</w:t>
            </w:r>
          </w:p>
        </w:tc>
        <w:tc>
          <w:tcPr>
            <w:tcW w:w="851" w:type="dxa"/>
            <w:vAlign w:val="center"/>
          </w:tcPr>
          <w:p w14:paraId="663CC641" w14:textId="77777777" w:rsidR="00561AE3" w:rsidRDefault="007923B0">
            <w:pPr>
              <w:jc w:val="center"/>
            </w:pPr>
            <w:r>
              <w:rPr>
                <w:color w:val="000000"/>
                <w:kern w:val="0"/>
                <w:szCs w:val="21"/>
              </w:rPr>
              <w:t>55,966,132.67</w:t>
            </w:r>
          </w:p>
        </w:tc>
        <w:tc>
          <w:tcPr>
            <w:tcW w:w="850" w:type="dxa"/>
            <w:vAlign w:val="center"/>
          </w:tcPr>
          <w:p w14:paraId="448EA2C0" w14:textId="77777777" w:rsidR="00561AE3" w:rsidRDefault="007923B0">
            <w:pPr>
              <w:jc w:val="center"/>
            </w:pPr>
            <w:r>
              <w:rPr>
                <w:color w:val="000000"/>
                <w:kern w:val="0"/>
                <w:szCs w:val="21"/>
              </w:rPr>
              <w:t>0.00</w:t>
            </w:r>
          </w:p>
        </w:tc>
        <w:tc>
          <w:tcPr>
            <w:tcW w:w="1134" w:type="dxa"/>
            <w:vAlign w:val="center"/>
          </w:tcPr>
          <w:p w14:paraId="2F06723F" w14:textId="77777777" w:rsidR="00561AE3" w:rsidRDefault="007923B0">
            <w:pPr>
              <w:jc w:val="center"/>
            </w:pPr>
            <w:r>
              <w:rPr>
                <w:color w:val="000000"/>
                <w:kern w:val="0"/>
                <w:szCs w:val="21"/>
              </w:rPr>
              <w:t>0.00</w:t>
            </w:r>
          </w:p>
        </w:tc>
        <w:tc>
          <w:tcPr>
            <w:tcW w:w="1419" w:type="dxa"/>
            <w:vAlign w:val="center"/>
          </w:tcPr>
          <w:p w14:paraId="2559B434" w14:textId="77777777" w:rsidR="00561AE3" w:rsidRDefault="007923B0">
            <w:pPr>
              <w:jc w:val="center"/>
            </w:pPr>
            <w:r>
              <w:rPr>
                <w:color w:val="000000"/>
                <w:kern w:val="0"/>
                <w:szCs w:val="21"/>
              </w:rPr>
              <w:t>55,966,132.67</w:t>
            </w:r>
          </w:p>
        </w:tc>
        <w:tc>
          <w:tcPr>
            <w:tcW w:w="1130" w:type="dxa"/>
            <w:vAlign w:val="center"/>
          </w:tcPr>
          <w:p w14:paraId="7D62F625" w14:textId="77777777" w:rsidR="00561AE3" w:rsidRDefault="007923B0">
            <w:pPr>
              <w:jc w:val="center"/>
            </w:pPr>
            <w:r>
              <w:rPr>
                <w:color w:val="000000"/>
                <w:kern w:val="0"/>
                <w:szCs w:val="21"/>
              </w:rPr>
              <w:t>20.33%</w:t>
            </w:r>
          </w:p>
        </w:tc>
      </w:tr>
      <w:tr w:rsidR="005E6DF3" w:rsidRPr="00B27A29" w14:paraId="6C278CB5" w14:textId="77777777">
        <w:tc>
          <w:tcPr>
            <w:tcW w:w="9212" w:type="dxa"/>
            <w:gridSpan w:val="8"/>
            <w:vAlign w:val="center"/>
          </w:tcPr>
          <w:p w14:paraId="3C56E1F7"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7A162DCE" w14:textId="77777777">
        <w:tc>
          <w:tcPr>
            <w:tcW w:w="9212" w:type="dxa"/>
            <w:gridSpan w:val="8"/>
            <w:vAlign w:val="center"/>
          </w:tcPr>
          <w:p w14:paraId="444DDCA3"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3FE83AD0"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14:paraId="4B250485"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662B3CA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23C3BB4D"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26F53584"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2812D9CD"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摩根健康品质生活混合型证券投资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763A66EF"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摩根健康品质生活混合型证券投资基金托管协议</w:t>
      </w:r>
    </w:p>
    <w:p w14:paraId="398BDA62"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4545A94F"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1C7D0F06"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04B60C0F" w14:textId="77777777" w:rsidR="00561AE3" w:rsidRDefault="007923B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56F95BB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374135A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5BB4394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基金管理人或基金托管人住所。</w:t>
      </w:r>
    </w:p>
    <w:p w14:paraId="2C0580E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6A2EF54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684C36B" w14:textId="77777777" w:rsidR="005E6DF3" w:rsidRPr="00B27A29" w:rsidRDefault="005E6DF3">
      <w:pPr>
        <w:spacing w:line="360" w:lineRule="auto"/>
        <w:ind w:left="840"/>
        <w:jc w:val="right"/>
        <w:rPr>
          <w:rFonts w:eastAsiaTheme="minorEastAsia"/>
          <w:color w:val="000000" w:themeColor="text1"/>
          <w:szCs w:val="21"/>
        </w:rPr>
      </w:pPr>
    </w:p>
    <w:p w14:paraId="4E49A7CD" w14:textId="77777777" w:rsidR="005E6DF3" w:rsidRPr="00B27A29" w:rsidRDefault="005E6DF3">
      <w:pPr>
        <w:spacing w:line="360" w:lineRule="auto"/>
        <w:ind w:left="840"/>
        <w:jc w:val="center"/>
        <w:rPr>
          <w:rFonts w:eastAsiaTheme="minorEastAsia"/>
          <w:b/>
          <w:color w:val="000000" w:themeColor="text1"/>
          <w:szCs w:val="21"/>
        </w:rPr>
      </w:pPr>
    </w:p>
    <w:p w14:paraId="7AB74BB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64DFDEE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6DBC" w14:textId="77777777" w:rsidR="005B0387" w:rsidRDefault="005B0387">
      <w:r>
        <w:separator/>
      </w:r>
    </w:p>
  </w:endnote>
  <w:endnote w:type="continuationSeparator" w:id="0">
    <w:p w14:paraId="67149A5E"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DF7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06E1"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A4FA49A"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537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B12D092"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A53B" w14:textId="77777777" w:rsidR="005B0387" w:rsidRDefault="005B0387">
      <w:r>
        <w:separator/>
      </w:r>
    </w:p>
  </w:footnote>
  <w:footnote w:type="continuationSeparator" w:id="0">
    <w:p w14:paraId="00EB5BF9"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C457" w14:textId="77777777" w:rsidR="005C671B" w:rsidRDefault="005C671B">
    <w:pPr>
      <w:pStyle w:val="af"/>
      <w:pBdr>
        <w:bottom w:val="single" w:sz="6" w:space="0" w:color="auto"/>
      </w:pBdr>
      <w:jc w:val="right"/>
    </w:pPr>
    <w:r>
      <w:t>摩根健康品质生活混合型证券投资基金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1AE3"/>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923B0"/>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2F3B9A"/>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1366</Words>
  <Characters>7787</Characters>
  <Application>Microsoft Office Word</Application>
  <DocSecurity>0</DocSecurity>
  <Lines>64</Lines>
  <Paragraphs>18</Paragraphs>
  <ScaleCrop>false</ScaleCrop>
  <Company>TRT. Ltd. Co.</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2025-01-21T07:15:00Z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