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报告送出日期：二〇二三年十月二十五日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A3E5C" w:rsidRDefault="007A3E5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hint="eastAsia"/>
          <w:color w:val="000000" w:themeColor="text1"/>
          <w:szCs w:val="21"/>
        </w:rPr>
        <w:t>香港证监会</w:t>
      </w:r>
      <w:r>
        <w:rPr>
          <w:rFonts w:eastAsiaTheme="minorEastAsia"/>
          <w:color w:val="000000" w:themeColor="text1"/>
          <w:szCs w:val="21"/>
        </w:rPr>
        <w:t>”</w:t>
      </w:r>
      <w:r>
        <w:rPr>
          <w:rFonts w:eastAsiaTheme="minorEastAsia" w:hint="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1,072,080,227.15</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FE1283" w:rsidRDefault="007A3E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991,925,295.71</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28,453,080.75</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51,701,850.69</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-270,328,400.27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-8,200,396.79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-13,881,436.48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-1,013,390,784.09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-31,292,122.52</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-52,193,187.04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-1.0546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-1.0683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-1.0634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4,598,020,010.53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132,093,324.69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237,739,012.01</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4.6354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4.6425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4.5983</w:t>
            </w:r>
          </w:p>
        </w:tc>
      </w:tr>
    </w:tbl>
    <w:p w:rsidR="00FE1283" w:rsidRDefault="007A3E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E1283">
        <w:tc>
          <w:tcPr>
            <w:tcW w:w="1290" w:type="dxa"/>
            <w:vAlign w:val="center"/>
          </w:tcPr>
          <w:p w:rsidR="00FE1283" w:rsidRDefault="007A3E5C">
            <w:pPr>
              <w:jc w:val="left"/>
            </w:pPr>
            <w:r>
              <w:rPr>
                <w:rFonts w:eastAsiaTheme="minorEastAsia"/>
                <w:color w:val="000000" w:themeColor="text1"/>
                <w:szCs w:val="21"/>
              </w:rPr>
              <w:t>过去三个月</w:t>
            </w:r>
          </w:p>
        </w:tc>
        <w:tc>
          <w:tcPr>
            <w:tcW w:w="1291" w:type="dxa"/>
            <w:vAlign w:val="center"/>
          </w:tcPr>
          <w:p w:rsidR="00FE1283" w:rsidRDefault="007A3E5C">
            <w:pPr>
              <w:jc w:val="right"/>
            </w:pPr>
            <w:r>
              <w:rPr>
                <w:rFonts w:eastAsiaTheme="minorEastAsia"/>
                <w:color w:val="000000" w:themeColor="text1"/>
                <w:szCs w:val="21"/>
              </w:rPr>
              <w:t>-18.66%</w:t>
            </w:r>
          </w:p>
        </w:tc>
        <w:tc>
          <w:tcPr>
            <w:tcW w:w="1291" w:type="dxa"/>
            <w:vAlign w:val="center"/>
          </w:tcPr>
          <w:p w:rsidR="00FE1283" w:rsidRDefault="007A3E5C">
            <w:pPr>
              <w:jc w:val="right"/>
            </w:pPr>
            <w:r>
              <w:rPr>
                <w:rFonts w:eastAsiaTheme="minorEastAsia"/>
                <w:color w:val="000000" w:themeColor="text1"/>
                <w:szCs w:val="21"/>
              </w:rPr>
              <w:t>1.64%</w:t>
            </w:r>
          </w:p>
        </w:tc>
        <w:tc>
          <w:tcPr>
            <w:tcW w:w="1291" w:type="dxa"/>
            <w:vAlign w:val="center"/>
          </w:tcPr>
          <w:p w:rsidR="00FE1283" w:rsidRDefault="007A3E5C">
            <w:pPr>
              <w:jc w:val="right"/>
            </w:pPr>
            <w:r>
              <w:rPr>
                <w:rFonts w:eastAsiaTheme="minorEastAsia"/>
                <w:color w:val="000000" w:themeColor="text1"/>
                <w:szCs w:val="21"/>
              </w:rPr>
              <w:t>-9.51%</w:t>
            </w:r>
          </w:p>
        </w:tc>
        <w:tc>
          <w:tcPr>
            <w:tcW w:w="1291" w:type="dxa"/>
            <w:vAlign w:val="center"/>
          </w:tcPr>
          <w:p w:rsidR="00FE1283" w:rsidRDefault="007A3E5C">
            <w:pPr>
              <w:jc w:val="right"/>
            </w:pPr>
            <w:r>
              <w:rPr>
                <w:rFonts w:eastAsiaTheme="minorEastAsia"/>
                <w:color w:val="000000" w:themeColor="text1"/>
                <w:szCs w:val="21"/>
              </w:rPr>
              <w:t>0.96%</w:t>
            </w:r>
          </w:p>
        </w:tc>
        <w:tc>
          <w:tcPr>
            <w:tcW w:w="1291" w:type="dxa"/>
            <w:vAlign w:val="center"/>
          </w:tcPr>
          <w:p w:rsidR="00FE1283" w:rsidRDefault="007A3E5C">
            <w:pPr>
              <w:jc w:val="right"/>
            </w:pPr>
            <w:r>
              <w:rPr>
                <w:rFonts w:eastAsiaTheme="minorEastAsia"/>
                <w:color w:val="000000" w:themeColor="text1"/>
                <w:szCs w:val="21"/>
              </w:rPr>
              <w:t>-9.15%</w:t>
            </w:r>
          </w:p>
        </w:tc>
        <w:tc>
          <w:tcPr>
            <w:tcW w:w="1291" w:type="dxa"/>
            <w:vAlign w:val="center"/>
          </w:tcPr>
          <w:p w:rsidR="00FE1283" w:rsidRDefault="007A3E5C">
            <w:pPr>
              <w:jc w:val="right"/>
            </w:pPr>
            <w:r>
              <w:rPr>
                <w:rFonts w:eastAsiaTheme="minorEastAsia"/>
                <w:color w:val="000000" w:themeColor="text1"/>
                <w:szCs w:val="21"/>
              </w:rPr>
              <w:t>0.68%</w:t>
            </w:r>
          </w:p>
        </w:tc>
      </w:tr>
      <w:tr w:rsidR="00FE1283">
        <w:tc>
          <w:tcPr>
            <w:tcW w:w="1290" w:type="dxa"/>
            <w:vAlign w:val="center"/>
          </w:tcPr>
          <w:p w:rsidR="00FE1283" w:rsidRDefault="007A3E5C">
            <w:pPr>
              <w:jc w:val="left"/>
            </w:pPr>
            <w:r>
              <w:rPr>
                <w:rFonts w:eastAsiaTheme="minorEastAsia"/>
                <w:color w:val="000000" w:themeColor="text1"/>
                <w:szCs w:val="21"/>
              </w:rPr>
              <w:t>过去六个月</w:t>
            </w:r>
          </w:p>
        </w:tc>
        <w:tc>
          <w:tcPr>
            <w:tcW w:w="1291" w:type="dxa"/>
            <w:vAlign w:val="center"/>
          </w:tcPr>
          <w:p w:rsidR="00FE1283" w:rsidRDefault="007A3E5C">
            <w:pPr>
              <w:jc w:val="right"/>
            </w:pPr>
            <w:r>
              <w:rPr>
                <w:rFonts w:eastAsiaTheme="minorEastAsia"/>
                <w:color w:val="000000" w:themeColor="text1"/>
                <w:szCs w:val="21"/>
              </w:rPr>
              <w:t>-11.56%</w:t>
            </w:r>
          </w:p>
        </w:tc>
        <w:tc>
          <w:tcPr>
            <w:tcW w:w="1291" w:type="dxa"/>
            <w:vAlign w:val="center"/>
          </w:tcPr>
          <w:p w:rsidR="00FE1283" w:rsidRDefault="007A3E5C">
            <w:pPr>
              <w:jc w:val="right"/>
            </w:pPr>
            <w:r>
              <w:rPr>
                <w:rFonts w:eastAsiaTheme="minorEastAsia"/>
                <w:color w:val="000000" w:themeColor="text1"/>
                <w:szCs w:val="21"/>
              </w:rPr>
              <w:t>1.77%</w:t>
            </w:r>
          </w:p>
        </w:tc>
        <w:tc>
          <w:tcPr>
            <w:tcW w:w="1291" w:type="dxa"/>
            <w:vAlign w:val="center"/>
          </w:tcPr>
          <w:p w:rsidR="00FE1283" w:rsidRDefault="007A3E5C">
            <w:pPr>
              <w:jc w:val="right"/>
            </w:pPr>
            <w:r>
              <w:rPr>
                <w:rFonts w:eastAsiaTheme="minorEastAsia"/>
                <w:color w:val="000000" w:themeColor="text1"/>
                <w:szCs w:val="21"/>
              </w:rPr>
              <w:t>-16.51%</w:t>
            </w:r>
          </w:p>
        </w:tc>
        <w:tc>
          <w:tcPr>
            <w:tcW w:w="1291" w:type="dxa"/>
            <w:vAlign w:val="center"/>
          </w:tcPr>
          <w:p w:rsidR="00FE1283" w:rsidRDefault="007A3E5C">
            <w:pPr>
              <w:jc w:val="right"/>
            </w:pPr>
            <w:r>
              <w:rPr>
                <w:rFonts w:eastAsiaTheme="minorEastAsia"/>
                <w:color w:val="000000" w:themeColor="text1"/>
                <w:szCs w:val="21"/>
              </w:rPr>
              <w:t>0.99%</w:t>
            </w:r>
          </w:p>
        </w:tc>
        <w:tc>
          <w:tcPr>
            <w:tcW w:w="1291" w:type="dxa"/>
            <w:vAlign w:val="center"/>
          </w:tcPr>
          <w:p w:rsidR="00FE1283" w:rsidRDefault="007A3E5C">
            <w:pPr>
              <w:jc w:val="right"/>
            </w:pPr>
            <w:r>
              <w:rPr>
                <w:rFonts w:eastAsiaTheme="minorEastAsia"/>
                <w:color w:val="000000" w:themeColor="text1"/>
                <w:szCs w:val="21"/>
              </w:rPr>
              <w:t>4.95%</w:t>
            </w:r>
          </w:p>
        </w:tc>
        <w:tc>
          <w:tcPr>
            <w:tcW w:w="1291" w:type="dxa"/>
            <w:vAlign w:val="center"/>
          </w:tcPr>
          <w:p w:rsidR="00FE1283" w:rsidRDefault="007A3E5C">
            <w:pPr>
              <w:jc w:val="right"/>
            </w:pPr>
            <w:r>
              <w:rPr>
                <w:rFonts w:eastAsiaTheme="minorEastAsia"/>
                <w:color w:val="000000" w:themeColor="text1"/>
                <w:szCs w:val="21"/>
              </w:rPr>
              <w:t>0.78%</w:t>
            </w:r>
          </w:p>
        </w:tc>
      </w:tr>
      <w:tr w:rsidR="00FE1283">
        <w:tc>
          <w:tcPr>
            <w:tcW w:w="1290" w:type="dxa"/>
            <w:vAlign w:val="center"/>
          </w:tcPr>
          <w:p w:rsidR="00FE1283" w:rsidRDefault="007A3E5C">
            <w:pPr>
              <w:jc w:val="left"/>
            </w:pPr>
            <w:r>
              <w:rPr>
                <w:rFonts w:eastAsiaTheme="minorEastAsia"/>
                <w:color w:val="000000" w:themeColor="text1"/>
                <w:szCs w:val="21"/>
              </w:rPr>
              <w:t>过去一年</w:t>
            </w:r>
          </w:p>
        </w:tc>
        <w:tc>
          <w:tcPr>
            <w:tcW w:w="1291" w:type="dxa"/>
            <w:vAlign w:val="center"/>
          </w:tcPr>
          <w:p w:rsidR="00FE1283" w:rsidRDefault="007A3E5C">
            <w:pPr>
              <w:jc w:val="right"/>
            </w:pPr>
            <w:r>
              <w:rPr>
                <w:rFonts w:eastAsiaTheme="minorEastAsia"/>
                <w:color w:val="000000" w:themeColor="text1"/>
                <w:szCs w:val="21"/>
              </w:rPr>
              <w:t>-17.48%</w:t>
            </w:r>
          </w:p>
        </w:tc>
        <w:tc>
          <w:tcPr>
            <w:tcW w:w="1291" w:type="dxa"/>
            <w:vAlign w:val="center"/>
          </w:tcPr>
          <w:p w:rsidR="00FE1283" w:rsidRDefault="007A3E5C">
            <w:pPr>
              <w:jc w:val="right"/>
            </w:pPr>
            <w:r>
              <w:rPr>
                <w:rFonts w:eastAsiaTheme="minorEastAsia"/>
                <w:color w:val="000000" w:themeColor="text1"/>
                <w:szCs w:val="21"/>
              </w:rPr>
              <w:t>1.56%</w:t>
            </w:r>
          </w:p>
        </w:tc>
        <w:tc>
          <w:tcPr>
            <w:tcW w:w="1291" w:type="dxa"/>
            <w:vAlign w:val="center"/>
          </w:tcPr>
          <w:p w:rsidR="00FE1283" w:rsidRDefault="007A3E5C">
            <w:pPr>
              <w:jc w:val="right"/>
            </w:pPr>
            <w:r>
              <w:rPr>
                <w:rFonts w:eastAsiaTheme="minorEastAsia"/>
                <w:color w:val="000000" w:themeColor="text1"/>
                <w:szCs w:val="21"/>
              </w:rPr>
              <w:t>-16.83%</w:t>
            </w:r>
          </w:p>
        </w:tc>
        <w:tc>
          <w:tcPr>
            <w:tcW w:w="1291" w:type="dxa"/>
            <w:vAlign w:val="center"/>
          </w:tcPr>
          <w:p w:rsidR="00FE1283" w:rsidRDefault="007A3E5C">
            <w:pPr>
              <w:jc w:val="right"/>
            </w:pPr>
            <w:r>
              <w:rPr>
                <w:rFonts w:eastAsiaTheme="minorEastAsia"/>
                <w:color w:val="000000" w:themeColor="text1"/>
                <w:szCs w:val="21"/>
              </w:rPr>
              <w:t>1.06%</w:t>
            </w:r>
          </w:p>
        </w:tc>
        <w:tc>
          <w:tcPr>
            <w:tcW w:w="1291" w:type="dxa"/>
            <w:vAlign w:val="center"/>
          </w:tcPr>
          <w:p w:rsidR="00FE1283" w:rsidRDefault="007A3E5C">
            <w:pPr>
              <w:jc w:val="right"/>
            </w:pPr>
            <w:r>
              <w:rPr>
                <w:rFonts w:eastAsiaTheme="minorEastAsia"/>
                <w:color w:val="000000" w:themeColor="text1"/>
                <w:szCs w:val="21"/>
              </w:rPr>
              <w:t>-0.65%</w:t>
            </w:r>
          </w:p>
        </w:tc>
        <w:tc>
          <w:tcPr>
            <w:tcW w:w="1291" w:type="dxa"/>
            <w:vAlign w:val="center"/>
          </w:tcPr>
          <w:p w:rsidR="00FE1283" w:rsidRDefault="007A3E5C">
            <w:pPr>
              <w:jc w:val="right"/>
            </w:pPr>
            <w:r>
              <w:rPr>
                <w:rFonts w:eastAsiaTheme="minorEastAsia"/>
                <w:color w:val="000000" w:themeColor="text1"/>
                <w:szCs w:val="21"/>
              </w:rPr>
              <w:t>0.50%</w:t>
            </w:r>
          </w:p>
        </w:tc>
      </w:tr>
      <w:tr w:rsidR="00FE1283">
        <w:tc>
          <w:tcPr>
            <w:tcW w:w="1290" w:type="dxa"/>
            <w:vAlign w:val="center"/>
          </w:tcPr>
          <w:p w:rsidR="00FE1283" w:rsidRDefault="007A3E5C">
            <w:pPr>
              <w:jc w:val="left"/>
            </w:pPr>
            <w:r>
              <w:rPr>
                <w:rFonts w:eastAsiaTheme="minorEastAsia"/>
                <w:color w:val="000000" w:themeColor="text1"/>
                <w:szCs w:val="21"/>
              </w:rPr>
              <w:t>过去三年</w:t>
            </w:r>
          </w:p>
        </w:tc>
        <w:tc>
          <w:tcPr>
            <w:tcW w:w="1291" w:type="dxa"/>
            <w:vAlign w:val="center"/>
          </w:tcPr>
          <w:p w:rsidR="00FE1283" w:rsidRDefault="007A3E5C">
            <w:pPr>
              <w:jc w:val="right"/>
            </w:pPr>
            <w:r>
              <w:rPr>
                <w:rFonts w:eastAsiaTheme="minorEastAsia"/>
                <w:color w:val="000000" w:themeColor="text1"/>
                <w:szCs w:val="21"/>
              </w:rPr>
              <w:t>-6.99%</w:t>
            </w:r>
          </w:p>
        </w:tc>
        <w:tc>
          <w:tcPr>
            <w:tcW w:w="1291" w:type="dxa"/>
            <w:vAlign w:val="center"/>
          </w:tcPr>
          <w:p w:rsidR="00FE1283" w:rsidRDefault="007A3E5C">
            <w:pPr>
              <w:jc w:val="right"/>
            </w:pPr>
            <w:r>
              <w:rPr>
                <w:rFonts w:eastAsiaTheme="minorEastAsia"/>
                <w:color w:val="000000" w:themeColor="text1"/>
                <w:szCs w:val="21"/>
              </w:rPr>
              <w:t>1.86%</w:t>
            </w:r>
          </w:p>
        </w:tc>
        <w:tc>
          <w:tcPr>
            <w:tcW w:w="1291" w:type="dxa"/>
            <w:vAlign w:val="center"/>
          </w:tcPr>
          <w:p w:rsidR="00FE1283" w:rsidRDefault="007A3E5C">
            <w:pPr>
              <w:jc w:val="right"/>
            </w:pPr>
            <w:r>
              <w:rPr>
                <w:rFonts w:eastAsiaTheme="minorEastAsia"/>
                <w:color w:val="000000" w:themeColor="text1"/>
                <w:szCs w:val="21"/>
              </w:rPr>
              <w:t>-27.36%</w:t>
            </w:r>
          </w:p>
        </w:tc>
        <w:tc>
          <w:tcPr>
            <w:tcW w:w="1291" w:type="dxa"/>
            <w:vAlign w:val="center"/>
          </w:tcPr>
          <w:p w:rsidR="00FE1283" w:rsidRDefault="007A3E5C">
            <w:pPr>
              <w:jc w:val="right"/>
            </w:pPr>
            <w:r>
              <w:rPr>
                <w:rFonts w:eastAsiaTheme="minorEastAsia"/>
                <w:color w:val="000000" w:themeColor="text1"/>
                <w:szCs w:val="21"/>
              </w:rPr>
              <w:t>1.33%</w:t>
            </w:r>
          </w:p>
        </w:tc>
        <w:tc>
          <w:tcPr>
            <w:tcW w:w="1291" w:type="dxa"/>
            <w:vAlign w:val="center"/>
          </w:tcPr>
          <w:p w:rsidR="00FE1283" w:rsidRDefault="007A3E5C">
            <w:pPr>
              <w:jc w:val="right"/>
            </w:pPr>
            <w:r>
              <w:rPr>
                <w:rFonts w:eastAsiaTheme="minorEastAsia"/>
                <w:color w:val="000000" w:themeColor="text1"/>
                <w:szCs w:val="21"/>
              </w:rPr>
              <w:t>20.37%</w:t>
            </w:r>
          </w:p>
        </w:tc>
        <w:tc>
          <w:tcPr>
            <w:tcW w:w="1291" w:type="dxa"/>
            <w:vAlign w:val="center"/>
          </w:tcPr>
          <w:p w:rsidR="00FE1283" w:rsidRDefault="007A3E5C">
            <w:pPr>
              <w:jc w:val="right"/>
            </w:pPr>
            <w:r>
              <w:rPr>
                <w:rFonts w:eastAsiaTheme="minorEastAsia"/>
                <w:color w:val="000000" w:themeColor="text1"/>
                <w:szCs w:val="21"/>
              </w:rPr>
              <w:t>0.53%</w:t>
            </w:r>
          </w:p>
        </w:tc>
      </w:tr>
      <w:tr w:rsidR="00FE1283">
        <w:tc>
          <w:tcPr>
            <w:tcW w:w="1290" w:type="dxa"/>
            <w:vAlign w:val="center"/>
          </w:tcPr>
          <w:p w:rsidR="00FE1283" w:rsidRDefault="007A3E5C">
            <w:pPr>
              <w:jc w:val="left"/>
            </w:pPr>
            <w:r>
              <w:rPr>
                <w:rFonts w:eastAsiaTheme="minorEastAsia"/>
                <w:color w:val="000000" w:themeColor="text1"/>
                <w:szCs w:val="21"/>
              </w:rPr>
              <w:t>过去五年</w:t>
            </w:r>
          </w:p>
        </w:tc>
        <w:tc>
          <w:tcPr>
            <w:tcW w:w="1291" w:type="dxa"/>
            <w:vAlign w:val="center"/>
          </w:tcPr>
          <w:p w:rsidR="00FE1283" w:rsidRDefault="007A3E5C">
            <w:pPr>
              <w:jc w:val="right"/>
            </w:pPr>
            <w:r>
              <w:rPr>
                <w:rFonts w:eastAsiaTheme="minorEastAsia"/>
                <w:color w:val="000000" w:themeColor="text1"/>
                <w:szCs w:val="21"/>
              </w:rPr>
              <w:t>111.95%</w:t>
            </w:r>
          </w:p>
        </w:tc>
        <w:tc>
          <w:tcPr>
            <w:tcW w:w="1291" w:type="dxa"/>
            <w:vAlign w:val="center"/>
          </w:tcPr>
          <w:p w:rsidR="00FE1283" w:rsidRDefault="007A3E5C">
            <w:pPr>
              <w:jc w:val="right"/>
            </w:pPr>
            <w:r>
              <w:rPr>
                <w:rFonts w:eastAsiaTheme="minorEastAsia"/>
                <w:color w:val="000000" w:themeColor="text1"/>
                <w:szCs w:val="21"/>
              </w:rPr>
              <w:t>1.86%</w:t>
            </w:r>
          </w:p>
        </w:tc>
        <w:tc>
          <w:tcPr>
            <w:tcW w:w="1291" w:type="dxa"/>
            <w:vAlign w:val="center"/>
          </w:tcPr>
          <w:p w:rsidR="00FE1283" w:rsidRDefault="007A3E5C">
            <w:pPr>
              <w:jc w:val="right"/>
            </w:pPr>
            <w:r>
              <w:rPr>
                <w:rFonts w:eastAsiaTheme="minorEastAsia"/>
                <w:color w:val="000000" w:themeColor="text1"/>
                <w:szCs w:val="21"/>
              </w:rPr>
              <w:t>13.02%</w:t>
            </w:r>
          </w:p>
        </w:tc>
        <w:tc>
          <w:tcPr>
            <w:tcW w:w="1291" w:type="dxa"/>
            <w:vAlign w:val="center"/>
          </w:tcPr>
          <w:p w:rsidR="00FE1283" w:rsidRDefault="007A3E5C">
            <w:pPr>
              <w:jc w:val="right"/>
            </w:pPr>
            <w:r>
              <w:rPr>
                <w:rFonts w:eastAsiaTheme="minorEastAsia"/>
                <w:color w:val="000000" w:themeColor="text1"/>
                <w:szCs w:val="21"/>
              </w:rPr>
              <w:t>1.32%</w:t>
            </w:r>
          </w:p>
        </w:tc>
        <w:tc>
          <w:tcPr>
            <w:tcW w:w="1291" w:type="dxa"/>
            <w:vAlign w:val="center"/>
          </w:tcPr>
          <w:p w:rsidR="00FE1283" w:rsidRDefault="007A3E5C">
            <w:pPr>
              <w:jc w:val="right"/>
            </w:pPr>
            <w:r>
              <w:rPr>
                <w:rFonts w:eastAsiaTheme="minorEastAsia"/>
                <w:color w:val="000000" w:themeColor="text1"/>
                <w:szCs w:val="21"/>
              </w:rPr>
              <w:t>98.93%</w:t>
            </w:r>
          </w:p>
        </w:tc>
        <w:tc>
          <w:tcPr>
            <w:tcW w:w="1291" w:type="dxa"/>
            <w:vAlign w:val="center"/>
          </w:tcPr>
          <w:p w:rsidR="00FE1283" w:rsidRDefault="007A3E5C">
            <w:pPr>
              <w:jc w:val="right"/>
            </w:pPr>
            <w:r>
              <w:rPr>
                <w:rFonts w:eastAsiaTheme="minorEastAsia"/>
                <w:color w:val="000000" w:themeColor="text1"/>
                <w:szCs w:val="21"/>
              </w:rPr>
              <w:t>0.54%</w:t>
            </w:r>
          </w:p>
        </w:tc>
      </w:tr>
      <w:tr w:rsidR="00FE1283">
        <w:tc>
          <w:tcPr>
            <w:tcW w:w="1290" w:type="dxa"/>
            <w:vAlign w:val="center"/>
          </w:tcPr>
          <w:p w:rsidR="00FE1283" w:rsidRDefault="007A3E5C">
            <w:pPr>
              <w:jc w:val="left"/>
            </w:pPr>
            <w:r>
              <w:rPr>
                <w:rFonts w:eastAsiaTheme="minorEastAsia"/>
                <w:color w:val="000000" w:themeColor="text1"/>
                <w:szCs w:val="21"/>
              </w:rPr>
              <w:t>自基金合同生效起至今</w:t>
            </w:r>
          </w:p>
        </w:tc>
        <w:tc>
          <w:tcPr>
            <w:tcW w:w="1291" w:type="dxa"/>
            <w:vAlign w:val="center"/>
          </w:tcPr>
          <w:p w:rsidR="00FE1283" w:rsidRDefault="007A3E5C">
            <w:pPr>
              <w:jc w:val="right"/>
            </w:pPr>
            <w:r>
              <w:rPr>
                <w:rFonts w:eastAsiaTheme="minorEastAsia"/>
                <w:color w:val="000000" w:themeColor="text1"/>
                <w:szCs w:val="21"/>
              </w:rPr>
              <w:t>363.54%</w:t>
            </w:r>
          </w:p>
        </w:tc>
        <w:tc>
          <w:tcPr>
            <w:tcW w:w="1291" w:type="dxa"/>
            <w:vAlign w:val="center"/>
          </w:tcPr>
          <w:p w:rsidR="00FE1283" w:rsidRDefault="007A3E5C">
            <w:pPr>
              <w:jc w:val="right"/>
            </w:pPr>
            <w:r>
              <w:rPr>
                <w:rFonts w:eastAsiaTheme="minorEastAsia"/>
                <w:color w:val="000000" w:themeColor="text1"/>
                <w:szCs w:val="21"/>
              </w:rPr>
              <w:t>1.83%</w:t>
            </w:r>
          </w:p>
        </w:tc>
        <w:tc>
          <w:tcPr>
            <w:tcW w:w="1291" w:type="dxa"/>
            <w:vAlign w:val="center"/>
          </w:tcPr>
          <w:p w:rsidR="00FE1283" w:rsidRDefault="007A3E5C">
            <w:pPr>
              <w:jc w:val="right"/>
            </w:pPr>
            <w:r>
              <w:rPr>
                <w:rFonts w:eastAsiaTheme="minorEastAsia"/>
                <w:color w:val="000000" w:themeColor="text1"/>
                <w:szCs w:val="21"/>
              </w:rPr>
              <w:t>30.70%</w:t>
            </w:r>
          </w:p>
        </w:tc>
        <w:tc>
          <w:tcPr>
            <w:tcW w:w="1291" w:type="dxa"/>
            <w:vAlign w:val="center"/>
          </w:tcPr>
          <w:p w:rsidR="00FE1283" w:rsidRDefault="007A3E5C">
            <w:pPr>
              <w:jc w:val="right"/>
            </w:pPr>
            <w:r>
              <w:rPr>
                <w:rFonts w:eastAsiaTheme="minorEastAsia"/>
                <w:color w:val="000000" w:themeColor="text1"/>
                <w:szCs w:val="21"/>
              </w:rPr>
              <w:t>1.24%</w:t>
            </w:r>
          </w:p>
        </w:tc>
        <w:tc>
          <w:tcPr>
            <w:tcW w:w="1291" w:type="dxa"/>
            <w:vAlign w:val="center"/>
          </w:tcPr>
          <w:p w:rsidR="00FE1283" w:rsidRDefault="007A3E5C">
            <w:pPr>
              <w:jc w:val="right"/>
            </w:pPr>
            <w:r>
              <w:rPr>
                <w:rFonts w:eastAsiaTheme="minorEastAsia"/>
                <w:color w:val="000000" w:themeColor="text1"/>
                <w:szCs w:val="21"/>
              </w:rPr>
              <w:t>332.84%</w:t>
            </w:r>
          </w:p>
        </w:tc>
        <w:tc>
          <w:tcPr>
            <w:tcW w:w="1291" w:type="dxa"/>
            <w:vAlign w:val="center"/>
          </w:tcPr>
          <w:p w:rsidR="00FE1283" w:rsidRDefault="007A3E5C">
            <w:pPr>
              <w:jc w:val="right"/>
            </w:pPr>
            <w:r>
              <w:rPr>
                <w:rFonts w:eastAsiaTheme="minorEastAsia"/>
                <w:color w:val="000000" w:themeColor="text1"/>
                <w:szCs w:val="21"/>
              </w:rPr>
              <w:t>0.59%</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E1283">
        <w:tc>
          <w:tcPr>
            <w:tcW w:w="1290" w:type="dxa"/>
            <w:vAlign w:val="center"/>
          </w:tcPr>
          <w:p w:rsidR="00FE1283" w:rsidRDefault="007A3E5C">
            <w:pPr>
              <w:jc w:val="left"/>
            </w:pPr>
            <w:r>
              <w:rPr>
                <w:rFonts w:eastAsiaTheme="minorEastAsia"/>
                <w:color w:val="000000" w:themeColor="text1"/>
                <w:szCs w:val="21"/>
              </w:rPr>
              <w:t>过去三个月</w:t>
            </w:r>
          </w:p>
        </w:tc>
        <w:tc>
          <w:tcPr>
            <w:tcW w:w="1291" w:type="dxa"/>
            <w:vAlign w:val="center"/>
          </w:tcPr>
          <w:p w:rsidR="00FE1283" w:rsidRDefault="007A3E5C">
            <w:pPr>
              <w:jc w:val="right"/>
            </w:pPr>
            <w:r>
              <w:rPr>
                <w:rFonts w:eastAsiaTheme="minorEastAsia"/>
                <w:color w:val="000000" w:themeColor="text1"/>
                <w:szCs w:val="21"/>
              </w:rPr>
              <w:t>-18.66%</w:t>
            </w:r>
          </w:p>
        </w:tc>
        <w:tc>
          <w:tcPr>
            <w:tcW w:w="1291" w:type="dxa"/>
            <w:vAlign w:val="center"/>
          </w:tcPr>
          <w:p w:rsidR="00FE1283" w:rsidRDefault="007A3E5C">
            <w:pPr>
              <w:jc w:val="right"/>
            </w:pPr>
            <w:r>
              <w:rPr>
                <w:rFonts w:eastAsiaTheme="minorEastAsia"/>
                <w:color w:val="000000" w:themeColor="text1"/>
                <w:szCs w:val="21"/>
              </w:rPr>
              <w:t>1.64%</w:t>
            </w:r>
          </w:p>
        </w:tc>
        <w:tc>
          <w:tcPr>
            <w:tcW w:w="1291" w:type="dxa"/>
            <w:vAlign w:val="center"/>
          </w:tcPr>
          <w:p w:rsidR="00FE1283" w:rsidRDefault="007A3E5C">
            <w:pPr>
              <w:jc w:val="right"/>
            </w:pPr>
            <w:r>
              <w:rPr>
                <w:rFonts w:eastAsiaTheme="minorEastAsia"/>
                <w:color w:val="000000" w:themeColor="text1"/>
                <w:szCs w:val="21"/>
              </w:rPr>
              <w:t>-9.51%</w:t>
            </w:r>
          </w:p>
        </w:tc>
        <w:tc>
          <w:tcPr>
            <w:tcW w:w="1291" w:type="dxa"/>
            <w:vAlign w:val="center"/>
          </w:tcPr>
          <w:p w:rsidR="00FE1283" w:rsidRDefault="007A3E5C">
            <w:pPr>
              <w:jc w:val="right"/>
            </w:pPr>
            <w:r>
              <w:rPr>
                <w:rFonts w:eastAsiaTheme="minorEastAsia"/>
                <w:color w:val="000000" w:themeColor="text1"/>
                <w:szCs w:val="21"/>
              </w:rPr>
              <w:t>0.96%</w:t>
            </w:r>
          </w:p>
        </w:tc>
        <w:tc>
          <w:tcPr>
            <w:tcW w:w="1291" w:type="dxa"/>
            <w:vAlign w:val="center"/>
          </w:tcPr>
          <w:p w:rsidR="00FE1283" w:rsidRDefault="007A3E5C">
            <w:pPr>
              <w:jc w:val="right"/>
            </w:pPr>
            <w:r>
              <w:rPr>
                <w:rFonts w:eastAsiaTheme="minorEastAsia"/>
                <w:color w:val="000000" w:themeColor="text1"/>
                <w:szCs w:val="21"/>
              </w:rPr>
              <w:t>-9.15%</w:t>
            </w:r>
          </w:p>
        </w:tc>
        <w:tc>
          <w:tcPr>
            <w:tcW w:w="1291" w:type="dxa"/>
            <w:vAlign w:val="center"/>
          </w:tcPr>
          <w:p w:rsidR="00FE1283" w:rsidRDefault="007A3E5C">
            <w:pPr>
              <w:jc w:val="right"/>
            </w:pPr>
            <w:r>
              <w:rPr>
                <w:rFonts w:eastAsiaTheme="minorEastAsia"/>
                <w:color w:val="000000" w:themeColor="text1"/>
                <w:szCs w:val="21"/>
              </w:rPr>
              <w:t>0.68%</w:t>
            </w:r>
          </w:p>
        </w:tc>
      </w:tr>
      <w:tr w:rsidR="00FE1283">
        <w:tc>
          <w:tcPr>
            <w:tcW w:w="1290" w:type="dxa"/>
            <w:vAlign w:val="center"/>
          </w:tcPr>
          <w:p w:rsidR="00FE1283" w:rsidRDefault="007A3E5C">
            <w:pPr>
              <w:jc w:val="left"/>
            </w:pPr>
            <w:r>
              <w:rPr>
                <w:rFonts w:eastAsiaTheme="minorEastAsia"/>
                <w:color w:val="000000" w:themeColor="text1"/>
                <w:szCs w:val="21"/>
              </w:rPr>
              <w:t>过去六个月</w:t>
            </w:r>
          </w:p>
        </w:tc>
        <w:tc>
          <w:tcPr>
            <w:tcW w:w="1291" w:type="dxa"/>
            <w:vAlign w:val="center"/>
          </w:tcPr>
          <w:p w:rsidR="00FE1283" w:rsidRDefault="007A3E5C">
            <w:pPr>
              <w:jc w:val="right"/>
            </w:pPr>
            <w:r>
              <w:rPr>
                <w:rFonts w:eastAsiaTheme="minorEastAsia"/>
                <w:color w:val="000000" w:themeColor="text1"/>
                <w:szCs w:val="21"/>
              </w:rPr>
              <w:t>-11.60%</w:t>
            </w:r>
          </w:p>
        </w:tc>
        <w:tc>
          <w:tcPr>
            <w:tcW w:w="1291" w:type="dxa"/>
            <w:vAlign w:val="center"/>
          </w:tcPr>
          <w:p w:rsidR="00FE1283" w:rsidRDefault="007A3E5C">
            <w:pPr>
              <w:jc w:val="right"/>
            </w:pPr>
            <w:r>
              <w:rPr>
                <w:rFonts w:eastAsiaTheme="minorEastAsia"/>
                <w:color w:val="000000" w:themeColor="text1"/>
                <w:szCs w:val="21"/>
              </w:rPr>
              <w:t>1.77%</w:t>
            </w:r>
          </w:p>
        </w:tc>
        <w:tc>
          <w:tcPr>
            <w:tcW w:w="1291" w:type="dxa"/>
            <w:vAlign w:val="center"/>
          </w:tcPr>
          <w:p w:rsidR="00FE1283" w:rsidRDefault="007A3E5C">
            <w:pPr>
              <w:jc w:val="right"/>
            </w:pPr>
            <w:r>
              <w:rPr>
                <w:rFonts w:eastAsiaTheme="minorEastAsia"/>
                <w:color w:val="000000" w:themeColor="text1"/>
                <w:szCs w:val="21"/>
              </w:rPr>
              <w:t>-16.51%</w:t>
            </w:r>
          </w:p>
        </w:tc>
        <w:tc>
          <w:tcPr>
            <w:tcW w:w="1291" w:type="dxa"/>
            <w:vAlign w:val="center"/>
          </w:tcPr>
          <w:p w:rsidR="00FE1283" w:rsidRDefault="007A3E5C">
            <w:pPr>
              <w:jc w:val="right"/>
            </w:pPr>
            <w:r>
              <w:rPr>
                <w:rFonts w:eastAsiaTheme="minorEastAsia"/>
                <w:color w:val="000000" w:themeColor="text1"/>
                <w:szCs w:val="21"/>
              </w:rPr>
              <w:t>0.99%</w:t>
            </w:r>
          </w:p>
        </w:tc>
        <w:tc>
          <w:tcPr>
            <w:tcW w:w="1291" w:type="dxa"/>
            <w:vAlign w:val="center"/>
          </w:tcPr>
          <w:p w:rsidR="00FE1283" w:rsidRDefault="007A3E5C">
            <w:pPr>
              <w:jc w:val="right"/>
            </w:pPr>
            <w:r>
              <w:rPr>
                <w:rFonts w:eastAsiaTheme="minorEastAsia"/>
                <w:color w:val="000000" w:themeColor="text1"/>
                <w:szCs w:val="21"/>
              </w:rPr>
              <w:t>4.91%</w:t>
            </w:r>
          </w:p>
        </w:tc>
        <w:tc>
          <w:tcPr>
            <w:tcW w:w="1291" w:type="dxa"/>
            <w:vAlign w:val="center"/>
          </w:tcPr>
          <w:p w:rsidR="00FE1283" w:rsidRDefault="007A3E5C">
            <w:pPr>
              <w:jc w:val="right"/>
            </w:pPr>
            <w:r>
              <w:rPr>
                <w:rFonts w:eastAsiaTheme="minorEastAsia"/>
                <w:color w:val="000000" w:themeColor="text1"/>
                <w:szCs w:val="21"/>
              </w:rPr>
              <w:t>0.78%</w:t>
            </w:r>
          </w:p>
        </w:tc>
      </w:tr>
      <w:tr w:rsidR="00FE1283">
        <w:tc>
          <w:tcPr>
            <w:tcW w:w="1290" w:type="dxa"/>
            <w:vAlign w:val="center"/>
          </w:tcPr>
          <w:p w:rsidR="00FE1283" w:rsidRDefault="007A3E5C">
            <w:pPr>
              <w:jc w:val="left"/>
            </w:pPr>
            <w:r>
              <w:rPr>
                <w:rFonts w:eastAsiaTheme="minorEastAsia"/>
                <w:color w:val="000000" w:themeColor="text1"/>
                <w:szCs w:val="21"/>
              </w:rPr>
              <w:t>过去一年</w:t>
            </w:r>
          </w:p>
        </w:tc>
        <w:tc>
          <w:tcPr>
            <w:tcW w:w="1291" w:type="dxa"/>
            <w:vAlign w:val="center"/>
          </w:tcPr>
          <w:p w:rsidR="00FE1283" w:rsidRDefault="007A3E5C">
            <w:pPr>
              <w:jc w:val="right"/>
            </w:pPr>
            <w:r>
              <w:rPr>
                <w:rFonts w:eastAsiaTheme="minorEastAsia"/>
                <w:color w:val="000000" w:themeColor="text1"/>
                <w:szCs w:val="21"/>
              </w:rPr>
              <w:t>-17.51%</w:t>
            </w:r>
          </w:p>
        </w:tc>
        <w:tc>
          <w:tcPr>
            <w:tcW w:w="1291" w:type="dxa"/>
            <w:vAlign w:val="center"/>
          </w:tcPr>
          <w:p w:rsidR="00FE1283" w:rsidRDefault="007A3E5C">
            <w:pPr>
              <w:jc w:val="right"/>
            </w:pPr>
            <w:r>
              <w:rPr>
                <w:rFonts w:eastAsiaTheme="minorEastAsia"/>
                <w:color w:val="000000" w:themeColor="text1"/>
                <w:szCs w:val="21"/>
              </w:rPr>
              <w:t>1.56%</w:t>
            </w:r>
          </w:p>
        </w:tc>
        <w:tc>
          <w:tcPr>
            <w:tcW w:w="1291" w:type="dxa"/>
            <w:vAlign w:val="center"/>
          </w:tcPr>
          <w:p w:rsidR="00FE1283" w:rsidRDefault="007A3E5C">
            <w:pPr>
              <w:jc w:val="right"/>
            </w:pPr>
            <w:r>
              <w:rPr>
                <w:rFonts w:eastAsiaTheme="minorEastAsia"/>
                <w:color w:val="000000" w:themeColor="text1"/>
                <w:szCs w:val="21"/>
              </w:rPr>
              <w:t>-16.83%</w:t>
            </w:r>
          </w:p>
        </w:tc>
        <w:tc>
          <w:tcPr>
            <w:tcW w:w="1291" w:type="dxa"/>
            <w:vAlign w:val="center"/>
          </w:tcPr>
          <w:p w:rsidR="00FE1283" w:rsidRDefault="007A3E5C">
            <w:pPr>
              <w:jc w:val="right"/>
            </w:pPr>
            <w:r>
              <w:rPr>
                <w:rFonts w:eastAsiaTheme="minorEastAsia"/>
                <w:color w:val="000000" w:themeColor="text1"/>
                <w:szCs w:val="21"/>
              </w:rPr>
              <w:t>1.06%</w:t>
            </w:r>
          </w:p>
        </w:tc>
        <w:tc>
          <w:tcPr>
            <w:tcW w:w="1291" w:type="dxa"/>
            <w:vAlign w:val="center"/>
          </w:tcPr>
          <w:p w:rsidR="00FE1283" w:rsidRDefault="007A3E5C">
            <w:pPr>
              <w:jc w:val="right"/>
            </w:pPr>
            <w:r>
              <w:rPr>
                <w:rFonts w:eastAsiaTheme="minorEastAsia"/>
                <w:color w:val="000000" w:themeColor="text1"/>
                <w:szCs w:val="21"/>
              </w:rPr>
              <w:t>-0.68%</w:t>
            </w:r>
          </w:p>
        </w:tc>
        <w:tc>
          <w:tcPr>
            <w:tcW w:w="1291" w:type="dxa"/>
            <w:vAlign w:val="center"/>
          </w:tcPr>
          <w:p w:rsidR="00FE1283" w:rsidRDefault="007A3E5C">
            <w:pPr>
              <w:jc w:val="right"/>
            </w:pPr>
            <w:r>
              <w:rPr>
                <w:rFonts w:eastAsiaTheme="minorEastAsia"/>
                <w:color w:val="000000" w:themeColor="text1"/>
                <w:szCs w:val="21"/>
              </w:rPr>
              <w:t>0.50%</w:t>
            </w:r>
          </w:p>
        </w:tc>
      </w:tr>
      <w:tr w:rsidR="00FE1283">
        <w:tc>
          <w:tcPr>
            <w:tcW w:w="1290" w:type="dxa"/>
            <w:vAlign w:val="center"/>
          </w:tcPr>
          <w:p w:rsidR="00FE1283" w:rsidRDefault="007A3E5C">
            <w:pPr>
              <w:jc w:val="left"/>
            </w:pPr>
            <w:r>
              <w:rPr>
                <w:rFonts w:eastAsiaTheme="minorEastAsia"/>
                <w:color w:val="000000" w:themeColor="text1"/>
                <w:szCs w:val="21"/>
              </w:rPr>
              <w:t>过去三年</w:t>
            </w:r>
          </w:p>
        </w:tc>
        <w:tc>
          <w:tcPr>
            <w:tcW w:w="1291" w:type="dxa"/>
            <w:vAlign w:val="center"/>
          </w:tcPr>
          <w:p w:rsidR="00FE1283" w:rsidRDefault="007A3E5C">
            <w:pPr>
              <w:jc w:val="right"/>
            </w:pPr>
            <w:r>
              <w:rPr>
                <w:rFonts w:eastAsiaTheme="minorEastAsia"/>
                <w:color w:val="000000" w:themeColor="text1"/>
                <w:szCs w:val="21"/>
              </w:rPr>
              <w:t>-7.09%</w:t>
            </w:r>
          </w:p>
        </w:tc>
        <w:tc>
          <w:tcPr>
            <w:tcW w:w="1291" w:type="dxa"/>
            <w:vAlign w:val="center"/>
          </w:tcPr>
          <w:p w:rsidR="00FE1283" w:rsidRDefault="007A3E5C">
            <w:pPr>
              <w:jc w:val="right"/>
            </w:pPr>
            <w:r>
              <w:rPr>
                <w:rFonts w:eastAsiaTheme="minorEastAsia"/>
                <w:color w:val="000000" w:themeColor="text1"/>
                <w:szCs w:val="21"/>
              </w:rPr>
              <w:t>1.86%</w:t>
            </w:r>
          </w:p>
        </w:tc>
        <w:tc>
          <w:tcPr>
            <w:tcW w:w="1291" w:type="dxa"/>
            <w:vAlign w:val="center"/>
          </w:tcPr>
          <w:p w:rsidR="00FE1283" w:rsidRDefault="007A3E5C">
            <w:pPr>
              <w:jc w:val="right"/>
            </w:pPr>
            <w:r>
              <w:rPr>
                <w:rFonts w:eastAsiaTheme="minorEastAsia"/>
                <w:color w:val="000000" w:themeColor="text1"/>
                <w:szCs w:val="21"/>
              </w:rPr>
              <w:t>-27.36%</w:t>
            </w:r>
          </w:p>
        </w:tc>
        <w:tc>
          <w:tcPr>
            <w:tcW w:w="1291" w:type="dxa"/>
            <w:vAlign w:val="center"/>
          </w:tcPr>
          <w:p w:rsidR="00FE1283" w:rsidRDefault="007A3E5C">
            <w:pPr>
              <w:jc w:val="right"/>
            </w:pPr>
            <w:r>
              <w:rPr>
                <w:rFonts w:eastAsiaTheme="minorEastAsia"/>
                <w:color w:val="000000" w:themeColor="text1"/>
                <w:szCs w:val="21"/>
              </w:rPr>
              <w:t>1.33%</w:t>
            </w:r>
          </w:p>
        </w:tc>
        <w:tc>
          <w:tcPr>
            <w:tcW w:w="1291" w:type="dxa"/>
            <w:vAlign w:val="center"/>
          </w:tcPr>
          <w:p w:rsidR="00FE1283" w:rsidRDefault="007A3E5C">
            <w:pPr>
              <w:jc w:val="right"/>
            </w:pPr>
            <w:r>
              <w:rPr>
                <w:rFonts w:eastAsiaTheme="minorEastAsia"/>
                <w:color w:val="000000" w:themeColor="text1"/>
                <w:szCs w:val="21"/>
              </w:rPr>
              <w:t>20.27%</w:t>
            </w:r>
          </w:p>
        </w:tc>
        <w:tc>
          <w:tcPr>
            <w:tcW w:w="1291" w:type="dxa"/>
            <w:vAlign w:val="center"/>
          </w:tcPr>
          <w:p w:rsidR="00FE1283" w:rsidRDefault="007A3E5C">
            <w:pPr>
              <w:jc w:val="right"/>
            </w:pPr>
            <w:r>
              <w:rPr>
                <w:rFonts w:eastAsiaTheme="minorEastAsia"/>
                <w:color w:val="000000" w:themeColor="text1"/>
                <w:szCs w:val="21"/>
              </w:rPr>
              <w:t>0.53%</w:t>
            </w:r>
          </w:p>
        </w:tc>
      </w:tr>
      <w:tr w:rsidR="00FE1283">
        <w:tc>
          <w:tcPr>
            <w:tcW w:w="1290" w:type="dxa"/>
            <w:vAlign w:val="center"/>
          </w:tcPr>
          <w:p w:rsidR="00FE1283" w:rsidRDefault="007A3E5C">
            <w:pPr>
              <w:jc w:val="left"/>
            </w:pPr>
            <w:r>
              <w:rPr>
                <w:rFonts w:eastAsiaTheme="minorEastAsia"/>
                <w:color w:val="000000" w:themeColor="text1"/>
                <w:szCs w:val="21"/>
              </w:rPr>
              <w:t>过去五年</w:t>
            </w:r>
          </w:p>
        </w:tc>
        <w:tc>
          <w:tcPr>
            <w:tcW w:w="1291" w:type="dxa"/>
            <w:vAlign w:val="center"/>
          </w:tcPr>
          <w:p w:rsidR="00FE1283" w:rsidRDefault="007A3E5C">
            <w:pPr>
              <w:jc w:val="right"/>
            </w:pPr>
            <w:r>
              <w:rPr>
                <w:rFonts w:eastAsiaTheme="minorEastAsia"/>
                <w:color w:val="000000" w:themeColor="text1"/>
                <w:szCs w:val="21"/>
              </w:rPr>
              <w:t>111.89%</w:t>
            </w:r>
          </w:p>
        </w:tc>
        <w:tc>
          <w:tcPr>
            <w:tcW w:w="1291" w:type="dxa"/>
            <w:vAlign w:val="center"/>
          </w:tcPr>
          <w:p w:rsidR="00FE1283" w:rsidRDefault="007A3E5C">
            <w:pPr>
              <w:jc w:val="right"/>
            </w:pPr>
            <w:r>
              <w:rPr>
                <w:rFonts w:eastAsiaTheme="minorEastAsia"/>
                <w:color w:val="000000" w:themeColor="text1"/>
                <w:szCs w:val="21"/>
              </w:rPr>
              <w:t>1.86%</w:t>
            </w:r>
          </w:p>
        </w:tc>
        <w:tc>
          <w:tcPr>
            <w:tcW w:w="1291" w:type="dxa"/>
            <w:vAlign w:val="center"/>
          </w:tcPr>
          <w:p w:rsidR="00FE1283" w:rsidRDefault="007A3E5C">
            <w:pPr>
              <w:jc w:val="right"/>
            </w:pPr>
            <w:r>
              <w:rPr>
                <w:rFonts w:eastAsiaTheme="minorEastAsia"/>
                <w:color w:val="000000" w:themeColor="text1"/>
                <w:szCs w:val="21"/>
              </w:rPr>
              <w:t>13.02%</w:t>
            </w:r>
          </w:p>
        </w:tc>
        <w:tc>
          <w:tcPr>
            <w:tcW w:w="1291" w:type="dxa"/>
            <w:vAlign w:val="center"/>
          </w:tcPr>
          <w:p w:rsidR="00FE1283" w:rsidRDefault="007A3E5C">
            <w:pPr>
              <w:jc w:val="right"/>
            </w:pPr>
            <w:r>
              <w:rPr>
                <w:rFonts w:eastAsiaTheme="minorEastAsia"/>
                <w:color w:val="000000" w:themeColor="text1"/>
                <w:szCs w:val="21"/>
              </w:rPr>
              <w:t>1.32%</w:t>
            </w:r>
          </w:p>
        </w:tc>
        <w:tc>
          <w:tcPr>
            <w:tcW w:w="1291" w:type="dxa"/>
            <w:vAlign w:val="center"/>
          </w:tcPr>
          <w:p w:rsidR="00FE1283" w:rsidRDefault="007A3E5C">
            <w:pPr>
              <w:jc w:val="right"/>
            </w:pPr>
            <w:r>
              <w:rPr>
                <w:rFonts w:eastAsiaTheme="minorEastAsia"/>
                <w:color w:val="000000" w:themeColor="text1"/>
                <w:szCs w:val="21"/>
              </w:rPr>
              <w:t>98.87%</w:t>
            </w:r>
          </w:p>
        </w:tc>
        <w:tc>
          <w:tcPr>
            <w:tcW w:w="1291" w:type="dxa"/>
            <w:vAlign w:val="center"/>
          </w:tcPr>
          <w:p w:rsidR="00FE1283" w:rsidRDefault="007A3E5C">
            <w:pPr>
              <w:jc w:val="right"/>
            </w:pPr>
            <w:r>
              <w:rPr>
                <w:rFonts w:eastAsiaTheme="minorEastAsia"/>
                <w:color w:val="000000" w:themeColor="text1"/>
                <w:szCs w:val="21"/>
              </w:rPr>
              <w:t>0.54%</w:t>
            </w:r>
          </w:p>
        </w:tc>
      </w:tr>
      <w:tr w:rsidR="00FE1283">
        <w:tc>
          <w:tcPr>
            <w:tcW w:w="1290" w:type="dxa"/>
            <w:vAlign w:val="center"/>
          </w:tcPr>
          <w:p w:rsidR="00FE1283" w:rsidRDefault="007A3E5C">
            <w:pPr>
              <w:jc w:val="left"/>
            </w:pPr>
            <w:r>
              <w:rPr>
                <w:rFonts w:eastAsiaTheme="minorEastAsia"/>
                <w:color w:val="000000" w:themeColor="text1"/>
                <w:szCs w:val="21"/>
              </w:rPr>
              <w:t>自基金合同生效起至今</w:t>
            </w:r>
          </w:p>
        </w:tc>
        <w:tc>
          <w:tcPr>
            <w:tcW w:w="1291" w:type="dxa"/>
            <w:vAlign w:val="center"/>
          </w:tcPr>
          <w:p w:rsidR="00FE1283" w:rsidRDefault="007A3E5C">
            <w:pPr>
              <w:jc w:val="right"/>
            </w:pPr>
            <w:r>
              <w:rPr>
                <w:rFonts w:eastAsiaTheme="minorEastAsia"/>
                <w:color w:val="000000" w:themeColor="text1"/>
                <w:szCs w:val="21"/>
              </w:rPr>
              <w:t>127.35%</w:t>
            </w:r>
          </w:p>
        </w:tc>
        <w:tc>
          <w:tcPr>
            <w:tcW w:w="1291" w:type="dxa"/>
            <w:vAlign w:val="center"/>
          </w:tcPr>
          <w:p w:rsidR="00FE1283" w:rsidRDefault="007A3E5C">
            <w:pPr>
              <w:jc w:val="right"/>
            </w:pPr>
            <w:r>
              <w:rPr>
                <w:rFonts w:eastAsiaTheme="minorEastAsia"/>
                <w:color w:val="000000" w:themeColor="text1"/>
                <w:szCs w:val="21"/>
              </w:rPr>
              <w:t>1.80%</w:t>
            </w:r>
          </w:p>
        </w:tc>
        <w:tc>
          <w:tcPr>
            <w:tcW w:w="1291" w:type="dxa"/>
            <w:vAlign w:val="center"/>
          </w:tcPr>
          <w:p w:rsidR="00FE1283" w:rsidRDefault="007A3E5C">
            <w:pPr>
              <w:jc w:val="right"/>
            </w:pPr>
            <w:r>
              <w:rPr>
                <w:rFonts w:eastAsiaTheme="minorEastAsia"/>
                <w:color w:val="000000" w:themeColor="text1"/>
                <w:szCs w:val="21"/>
              </w:rPr>
              <w:t>23.73%</w:t>
            </w:r>
          </w:p>
        </w:tc>
        <w:tc>
          <w:tcPr>
            <w:tcW w:w="1291" w:type="dxa"/>
            <w:vAlign w:val="center"/>
          </w:tcPr>
          <w:p w:rsidR="00FE1283" w:rsidRDefault="007A3E5C">
            <w:pPr>
              <w:jc w:val="right"/>
            </w:pPr>
            <w:r>
              <w:rPr>
                <w:rFonts w:eastAsiaTheme="minorEastAsia"/>
                <w:color w:val="000000" w:themeColor="text1"/>
                <w:szCs w:val="21"/>
              </w:rPr>
              <w:t>1.17%</w:t>
            </w:r>
          </w:p>
        </w:tc>
        <w:tc>
          <w:tcPr>
            <w:tcW w:w="1291" w:type="dxa"/>
            <w:vAlign w:val="center"/>
          </w:tcPr>
          <w:p w:rsidR="00FE1283" w:rsidRDefault="007A3E5C">
            <w:pPr>
              <w:jc w:val="right"/>
            </w:pPr>
            <w:r>
              <w:rPr>
                <w:rFonts w:eastAsiaTheme="minorEastAsia"/>
                <w:color w:val="000000" w:themeColor="text1"/>
                <w:szCs w:val="21"/>
              </w:rPr>
              <w:t>103.62%</w:t>
            </w:r>
          </w:p>
        </w:tc>
        <w:tc>
          <w:tcPr>
            <w:tcW w:w="1291" w:type="dxa"/>
            <w:vAlign w:val="center"/>
          </w:tcPr>
          <w:p w:rsidR="00FE1283" w:rsidRDefault="007A3E5C">
            <w:pPr>
              <w:jc w:val="right"/>
            </w:pPr>
            <w:r>
              <w:rPr>
                <w:rFonts w:eastAsiaTheme="minorEastAsia"/>
                <w:color w:val="000000" w:themeColor="text1"/>
                <w:szCs w:val="21"/>
              </w:rPr>
              <w:t>0.63%</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E1283">
        <w:tc>
          <w:tcPr>
            <w:tcW w:w="1290" w:type="dxa"/>
            <w:vAlign w:val="center"/>
          </w:tcPr>
          <w:p w:rsidR="00FE1283" w:rsidRDefault="007A3E5C">
            <w:pPr>
              <w:jc w:val="left"/>
            </w:pPr>
            <w:r>
              <w:rPr>
                <w:rFonts w:eastAsiaTheme="minorEastAsia"/>
                <w:color w:val="000000" w:themeColor="text1"/>
                <w:szCs w:val="21"/>
              </w:rPr>
              <w:t>过去三个月</w:t>
            </w:r>
          </w:p>
        </w:tc>
        <w:tc>
          <w:tcPr>
            <w:tcW w:w="1291" w:type="dxa"/>
            <w:vAlign w:val="center"/>
          </w:tcPr>
          <w:p w:rsidR="00FE1283" w:rsidRDefault="007A3E5C">
            <w:pPr>
              <w:jc w:val="right"/>
            </w:pPr>
            <w:r>
              <w:rPr>
                <w:rFonts w:eastAsiaTheme="minorEastAsia"/>
                <w:color w:val="000000" w:themeColor="text1"/>
                <w:szCs w:val="21"/>
              </w:rPr>
              <w:t>-18.76%</w:t>
            </w:r>
          </w:p>
        </w:tc>
        <w:tc>
          <w:tcPr>
            <w:tcW w:w="1291" w:type="dxa"/>
            <w:vAlign w:val="center"/>
          </w:tcPr>
          <w:p w:rsidR="00FE1283" w:rsidRDefault="007A3E5C">
            <w:pPr>
              <w:jc w:val="right"/>
            </w:pPr>
            <w:r>
              <w:rPr>
                <w:rFonts w:eastAsiaTheme="minorEastAsia"/>
                <w:color w:val="000000" w:themeColor="text1"/>
                <w:szCs w:val="21"/>
              </w:rPr>
              <w:t>1.64%</w:t>
            </w:r>
          </w:p>
        </w:tc>
        <w:tc>
          <w:tcPr>
            <w:tcW w:w="1291" w:type="dxa"/>
            <w:vAlign w:val="center"/>
          </w:tcPr>
          <w:p w:rsidR="00FE1283" w:rsidRDefault="007A3E5C">
            <w:pPr>
              <w:jc w:val="right"/>
            </w:pPr>
            <w:r>
              <w:rPr>
                <w:rFonts w:eastAsiaTheme="minorEastAsia"/>
                <w:color w:val="000000" w:themeColor="text1"/>
                <w:szCs w:val="21"/>
              </w:rPr>
              <w:t>-9.51%</w:t>
            </w:r>
          </w:p>
        </w:tc>
        <w:tc>
          <w:tcPr>
            <w:tcW w:w="1291" w:type="dxa"/>
            <w:vAlign w:val="center"/>
          </w:tcPr>
          <w:p w:rsidR="00FE1283" w:rsidRDefault="007A3E5C">
            <w:pPr>
              <w:jc w:val="right"/>
            </w:pPr>
            <w:r>
              <w:rPr>
                <w:rFonts w:eastAsiaTheme="minorEastAsia"/>
                <w:color w:val="000000" w:themeColor="text1"/>
                <w:szCs w:val="21"/>
              </w:rPr>
              <w:t>0.96%</w:t>
            </w:r>
          </w:p>
        </w:tc>
        <w:tc>
          <w:tcPr>
            <w:tcW w:w="1291" w:type="dxa"/>
            <w:vAlign w:val="center"/>
          </w:tcPr>
          <w:p w:rsidR="00FE1283" w:rsidRDefault="007A3E5C">
            <w:pPr>
              <w:jc w:val="right"/>
            </w:pPr>
            <w:r>
              <w:rPr>
                <w:rFonts w:eastAsiaTheme="minorEastAsia"/>
                <w:color w:val="000000" w:themeColor="text1"/>
                <w:szCs w:val="21"/>
              </w:rPr>
              <w:t>-9.25%</w:t>
            </w:r>
          </w:p>
        </w:tc>
        <w:tc>
          <w:tcPr>
            <w:tcW w:w="1291" w:type="dxa"/>
            <w:vAlign w:val="center"/>
          </w:tcPr>
          <w:p w:rsidR="00FE1283" w:rsidRDefault="007A3E5C">
            <w:pPr>
              <w:jc w:val="right"/>
            </w:pPr>
            <w:r>
              <w:rPr>
                <w:rFonts w:eastAsiaTheme="minorEastAsia"/>
                <w:color w:val="000000" w:themeColor="text1"/>
                <w:szCs w:val="21"/>
              </w:rPr>
              <w:t>0.68%</w:t>
            </w:r>
          </w:p>
        </w:tc>
      </w:tr>
      <w:tr w:rsidR="00FE1283">
        <w:tc>
          <w:tcPr>
            <w:tcW w:w="1290" w:type="dxa"/>
            <w:vAlign w:val="center"/>
          </w:tcPr>
          <w:p w:rsidR="00FE1283" w:rsidRDefault="007A3E5C">
            <w:pPr>
              <w:jc w:val="left"/>
            </w:pPr>
            <w:r>
              <w:rPr>
                <w:rFonts w:eastAsiaTheme="minorEastAsia"/>
                <w:color w:val="000000" w:themeColor="text1"/>
                <w:szCs w:val="21"/>
              </w:rPr>
              <w:t>过去六个月</w:t>
            </w:r>
          </w:p>
        </w:tc>
        <w:tc>
          <w:tcPr>
            <w:tcW w:w="1291" w:type="dxa"/>
            <w:vAlign w:val="center"/>
          </w:tcPr>
          <w:p w:rsidR="00FE1283" w:rsidRDefault="007A3E5C">
            <w:pPr>
              <w:jc w:val="right"/>
            </w:pPr>
            <w:r>
              <w:rPr>
                <w:rFonts w:eastAsiaTheme="minorEastAsia"/>
                <w:color w:val="000000" w:themeColor="text1"/>
                <w:szCs w:val="21"/>
              </w:rPr>
              <w:t>-11.78%</w:t>
            </w:r>
          </w:p>
        </w:tc>
        <w:tc>
          <w:tcPr>
            <w:tcW w:w="1291" w:type="dxa"/>
            <w:vAlign w:val="center"/>
          </w:tcPr>
          <w:p w:rsidR="00FE1283" w:rsidRDefault="007A3E5C">
            <w:pPr>
              <w:jc w:val="right"/>
            </w:pPr>
            <w:r>
              <w:rPr>
                <w:rFonts w:eastAsiaTheme="minorEastAsia"/>
                <w:color w:val="000000" w:themeColor="text1"/>
                <w:szCs w:val="21"/>
              </w:rPr>
              <w:t>1.77%</w:t>
            </w:r>
          </w:p>
        </w:tc>
        <w:tc>
          <w:tcPr>
            <w:tcW w:w="1291" w:type="dxa"/>
            <w:vAlign w:val="center"/>
          </w:tcPr>
          <w:p w:rsidR="00FE1283" w:rsidRDefault="007A3E5C">
            <w:pPr>
              <w:jc w:val="right"/>
            </w:pPr>
            <w:r>
              <w:rPr>
                <w:rFonts w:eastAsiaTheme="minorEastAsia"/>
                <w:color w:val="000000" w:themeColor="text1"/>
                <w:szCs w:val="21"/>
              </w:rPr>
              <w:t>-16.51%</w:t>
            </w:r>
          </w:p>
        </w:tc>
        <w:tc>
          <w:tcPr>
            <w:tcW w:w="1291" w:type="dxa"/>
            <w:vAlign w:val="center"/>
          </w:tcPr>
          <w:p w:rsidR="00FE1283" w:rsidRDefault="007A3E5C">
            <w:pPr>
              <w:jc w:val="right"/>
            </w:pPr>
            <w:r>
              <w:rPr>
                <w:rFonts w:eastAsiaTheme="minorEastAsia"/>
                <w:color w:val="000000" w:themeColor="text1"/>
                <w:szCs w:val="21"/>
              </w:rPr>
              <w:t>0.99%</w:t>
            </w:r>
          </w:p>
        </w:tc>
        <w:tc>
          <w:tcPr>
            <w:tcW w:w="1291" w:type="dxa"/>
            <w:vAlign w:val="center"/>
          </w:tcPr>
          <w:p w:rsidR="00FE1283" w:rsidRDefault="007A3E5C">
            <w:pPr>
              <w:jc w:val="right"/>
            </w:pPr>
            <w:r>
              <w:rPr>
                <w:rFonts w:eastAsiaTheme="minorEastAsia"/>
                <w:color w:val="000000" w:themeColor="text1"/>
                <w:szCs w:val="21"/>
              </w:rPr>
              <w:t>4.73%</w:t>
            </w:r>
          </w:p>
        </w:tc>
        <w:tc>
          <w:tcPr>
            <w:tcW w:w="1291" w:type="dxa"/>
            <w:vAlign w:val="center"/>
          </w:tcPr>
          <w:p w:rsidR="00FE1283" w:rsidRDefault="007A3E5C">
            <w:pPr>
              <w:jc w:val="right"/>
            </w:pPr>
            <w:r>
              <w:rPr>
                <w:rFonts w:eastAsiaTheme="minorEastAsia"/>
                <w:color w:val="000000" w:themeColor="text1"/>
                <w:szCs w:val="21"/>
              </w:rPr>
              <w:t>0.78%</w:t>
            </w:r>
          </w:p>
        </w:tc>
      </w:tr>
      <w:tr w:rsidR="00FE1283">
        <w:tc>
          <w:tcPr>
            <w:tcW w:w="1290" w:type="dxa"/>
            <w:vAlign w:val="center"/>
          </w:tcPr>
          <w:p w:rsidR="00FE1283" w:rsidRDefault="007A3E5C">
            <w:pPr>
              <w:jc w:val="left"/>
            </w:pPr>
            <w:r>
              <w:rPr>
                <w:rFonts w:eastAsiaTheme="minorEastAsia"/>
                <w:color w:val="000000" w:themeColor="text1"/>
                <w:szCs w:val="21"/>
              </w:rPr>
              <w:lastRenderedPageBreak/>
              <w:t>过去一年</w:t>
            </w:r>
          </w:p>
        </w:tc>
        <w:tc>
          <w:tcPr>
            <w:tcW w:w="1291" w:type="dxa"/>
            <w:vAlign w:val="center"/>
          </w:tcPr>
          <w:p w:rsidR="00FE1283" w:rsidRDefault="007A3E5C">
            <w:pPr>
              <w:jc w:val="right"/>
            </w:pPr>
            <w:r>
              <w:rPr>
                <w:rFonts w:eastAsiaTheme="minorEastAsia"/>
                <w:color w:val="000000" w:themeColor="text1"/>
                <w:szCs w:val="21"/>
              </w:rPr>
              <w:t>-17.88%</w:t>
            </w:r>
          </w:p>
        </w:tc>
        <w:tc>
          <w:tcPr>
            <w:tcW w:w="1291" w:type="dxa"/>
            <w:vAlign w:val="center"/>
          </w:tcPr>
          <w:p w:rsidR="00FE1283" w:rsidRDefault="007A3E5C">
            <w:pPr>
              <w:jc w:val="right"/>
            </w:pPr>
            <w:r>
              <w:rPr>
                <w:rFonts w:eastAsiaTheme="minorEastAsia"/>
                <w:color w:val="000000" w:themeColor="text1"/>
                <w:szCs w:val="21"/>
              </w:rPr>
              <w:t>1.56%</w:t>
            </w:r>
          </w:p>
        </w:tc>
        <w:tc>
          <w:tcPr>
            <w:tcW w:w="1291" w:type="dxa"/>
            <w:vAlign w:val="center"/>
          </w:tcPr>
          <w:p w:rsidR="00FE1283" w:rsidRDefault="007A3E5C">
            <w:pPr>
              <w:jc w:val="right"/>
            </w:pPr>
            <w:r>
              <w:rPr>
                <w:rFonts w:eastAsiaTheme="minorEastAsia"/>
                <w:color w:val="000000" w:themeColor="text1"/>
                <w:szCs w:val="21"/>
              </w:rPr>
              <w:t>-16.83%</w:t>
            </w:r>
          </w:p>
        </w:tc>
        <w:tc>
          <w:tcPr>
            <w:tcW w:w="1291" w:type="dxa"/>
            <w:vAlign w:val="center"/>
          </w:tcPr>
          <w:p w:rsidR="00FE1283" w:rsidRDefault="007A3E5C">
            <w:pPr>
              <w:jc w:val="right"/>
            </w:pPr>
            <w:r>
              <w:rPr>
                <w:rFonts w:eastAsiaTheme="minorEastAsia"/>
                <w:color w:val="000000" w:themeColor="text1"/>
                <w:szCs w:val="21"/>
              </w:rPr>
              <w:t>1.06%</w:t>
            </w:r>
          </w:p>
        </w:tc>
        <w:tc>
          <w:tcPr>
            <w:tcW w:w="1291" w:type="dxa"/>
            <w:vAlign w:val="center"/>
          </w:tcPr>
          <w:p w:rsidR="00FE1283" w:rsidRDefault="007A3E5C">
            <w:pPr>
              <w:jc w:val="right"/>
            </w:pPr>
            <w:r>
              <w:rPr>
                <w:rFonts w:eastAsiaTheme="minorEastAsia"/>
                <w:color w:val="000000" w:themeColor="text1"/>
                <w:szCs w:val="21"/>
              </w:rPr>
              <w:t>-1.05%</w:t>
            </w:r>
          </w:p>
        </w:tc>
        <w:tc>
          <w:tcPr>
            <w:tcW w:w="1291" w:type="dxa"/>
            <w:vAlign w:val="center"/>
          </w:tcPr>
          <w:p w:rsidR="00FE1283" w:rsidRDefault="007A3E5C">
            <w:pPr>
              <w:jc w:val="right"/>
            </w:pPr>
            <w:r>
              <w:rPr>
                <w:rFonts w:eastAsiaTheme="minorEastAsia"/>
                <w:color w:val="000000" w:themeColor="text1"/>
                <w:szCs w:val="21"/>
              </w:rPr>
              <w:t>0.50%</w:t>
            </w:r>
          </w:p>
        </w:tc>
      </w:tr>
      <w:tr w:rsidR="00FE1283">
        <w:tc>
          <w:tcPr>
            <w:tcW w:w="1290" w:type="dxa"/>
            <w:vAlign w:val="center"/>
          </w:tcPr>
          <w:p w:rsidR="00FE1283" w:rsidRDefault="007A3E5C">
            <w:pPr>
              <w:jc w:val="left"/>
            </w:pPr>
            <w:r>
              <w:rPr>
                <w:rFonts w:eastAsiaTheme="minorEastAsia"/>
                <w:color w:val="000000" w:themeColor="text1"/>
                <w:szCs w:val="21"/>
              </w:rPr>
              <w:t>过去三年</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r>
      <w:tr w:rsidR="00FE1283">
        <w:tc>
          <w:tcPr>
            <w:tcW w:w="1290" w:type="dxa"/>
            <w:vAlign w:val="center"/>
          </w:tcPr>
          <w:p w:rsidR="00FE1283" w:rsidRDefault="007A3E5C">
            <w:pPr>
              <w:jc w:val="left"/>
            </w:pPr>
            <w:r>
              <w:rPr>
                <w:rFonts w:eastAsiaTheme="minorEastAsia"/>
                <w:color w:val="000000" w:themeColor="text1"/>
                <w:szCs w:val="21"/>
              </w:rPr>
              <w:t>过去五年</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c>
          <w:tcPr>
            <w:tcW w:w="1291" w:type="dxa"/>
            <w:vAlign w:val="center"/>
          </w:tcPr>
          <w:p w:rsidR="00FE1283" w:rsidRDefault="007A3E5C">
            <w:pPr>
              <w:jc w:val="right"/>
            </w:pPr>
            <w:r>
              <w:rPr>
                <w:rFonts w:eastAsiaTheme="minorEastAsia"/>
                <w:color w:val="000000" w:themeColor="text1"/>
                <w:szCs w:val="21"/>
              </w:rPr>
              <w:t>-</w:t>
            </w:r>
          </w:p>
        </w:tc>
      </w:tr>
      <w:tr w:rsidR="00FE1283">
        <w:tc>
          <w:tcPr>
            <w:tcW w:w="1290" w:type="dxa"/>
            <w:vAlign w:val="center"/>
          </w:tcPr>
          <w:p w:rsidR="00FE1283" w:rsidRDefault="007A3E5C">
            <w:pPr>
              <w:jc w:val="left"/>
            </w:pPr>
            <w:r>
              <w:rPr>
                <w:rFonts w:eastAsiaTheme="minorEastAsia"/>
                <w:color w:val="000000" w:themeColor="text1"/>
                <w:szCs w:val="21"/>
              </w:rPr>
              <w:t>自基金合同生效起至今</w:t>
            </w:r>
          </w:p>
        </w:tc>
        <w:tc>
          <w:tcPr>
            <w:tcW w:w="1291" w:type="dxa"/>
            <w:vAlign w:val="center"/>
          </w:tcPr>
          <w:p w:rsidR="00FE1283" w:rsidRDefault="007A3E5C">
            <w:pPr>
              <w:jc w:val="right"/>
            </w:pPr>
            <w:r>
              <w:rPr>
                <w:rFonts w:eastAsiaTheme="minorEastAsia"/>
                <w:color w:val="000000" w:themeColor="text1"/>
                <w:szCs w:val="21"/>
              </w:rPr>
              <w:t>-36.68%</w:t>
            </w:r>
          </w:p>
        </w:tc>
        <w:tc>
          <w:tcPr>
            <w:tcW w:w="1291" w:type="dxa"/>
            <w:vAlign w:val="center"/>
          </w:tcPr>
          <w:p w:rsidR="00FE1283" w:rsidRDefault="007A3E5C">
            <w:pPr>
              <w:jc w:val="right"/>
            </w:pPr>
            <w:r>
              <w:rPr>
                <w:rFonts w:eastAsiaTheme="minorEastAsia"/>
                <w:color w:val="000000" w:themeColor="text1"/>
                <w:szCs w:val="21"/>
              </w:rPr>
              <w:t>1.72%</w:t>
            </w:r>
          </w:p>
        </w:tc>
        <w:tc>
          <w:tcPr>
            <w:tcW w:w="1291" w:type="dxa"/>
            <w:vAlign w:val="center"/>
          </w:tcPr>
          <w:p w:rsidR="00FE1283" w:rsidRDefault="007A3E5C">
            <w:pPr>
              <w:jc w:val="right"/>
            </w:pPr>
            <w:r>
              <w:rPr>
                <w:rFonts w:eastAsiaTheme="minorEastAsia"/>
                <w:color w:val="000000" w:themeColor="text1"/>
                <w:szCs w:val="21"/>
              </w:rPr>
              <w:t>-36.93%</w:t>
            </w:r>
          </w:p>
        </w:tc>
        <w:tc>
          <w:tcPr>
            <w:tcW w:w="1291" w:type="dxa"/>
            <w:vAlign w:val="center"/>
          </w:tcPr>
          <w:p w:rsidR="00FE1283" w:rsidRDefault="007A3E5C">
            <w:pPr>
              <w:jc w:val="right"/>
            </w:pPr>
            <w:r>
              <w:rPr>
                <w:rFonts w:eastAsiaTheme="minorEastAsia"/>
                <w:color w:val="000000" w:themeColor="text1"/>
                <w:szCs w:val="21"/>
              </w:rPr>
              <w:t>1.25%</w:t>
            </w:r>
          </w:p>
        </w:tc>
        <w:tc>
          <w:tcPr>
            <w:tcW w:w="1291" w:type="dxa"/>
            <w:vAlign w:val="center"/>
          </w:tcPr>
          <w:p w:rsidR="00FE1283" w:rsidRDefault="007A3E5C">
            <w:pPr>
              <w:jc w:val="right"/>
            </w:pPr>
            <w:r>
              <w:rPr>
                <w:rFonts w:eastAsiaTheme="minorEastAsia"/>
                <w:color w:val="000000" w:themeColor="text1"/>
                <w:szCs w:val="21"/>
              </w:rPr>
              <w:t>0.25%</w:t>
            </w:r>
          </w:p>
        </w:tc>
        <w:tc>
          <w:tcPr>
            <w:tcW w:w="1291" w:type="dxa"/>
            <w:vAlign w:val="center"/>
          </w:tcPr>
          <w:p w:rsidR="00FE1283" w:rsidRDefault="007A3E5C">
            <w:pPr>
              <w:jc w:val="right"/>
            </w:pPr>
            <w:r>
              <w:rPr>
                <w:rFonts w:eastAsiaTheme="minorEastAsia"/>
                <w:color w:val="000000" w:themeColor="text1"/>
                <w:szCs w:val="21"/>
              </w:rPr>
              <w:t>0.47%</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E1283">
        <w:tc>
          <w:tcPr>
            <w:tcW w:w="952" w:type="dxa"/>
            <w:vAlign w:val="center"/>
          </w:tcPr>
          <w:p w:rsidR="00FE1283" w:rsidRDefault="007A3E5C">
            <w:pPr>
              <w:jc w:val="center"/>
            </w:pPr>
            <w:r>
              <w:rPr>
                <w:rFonts w:eastAsiaTheme="minorEastAsia"/>
                <w:color w:val="000000" w:themeColor="text1"/>
                <w:szCs w:val="21"/>
              </w:rPr>
              <w:t>杜猛</w:t>
            </w:r>
          </w:p>
        </w:tc>
        <w:tc>
          <w:tcPr>
            <w:tcW w:w="930" w:type="dxa"/>
            <w:vAlign w:val="center"/>
          </w:tcPr>
          <w:p w:rsidR="00FE1283" w:rsidRDefault="007A3E5C">
            <w:pPr>
              <w:jc w:val="center"/>
            </w:pPr>
            <w:r>
              <w:rPr>
                <w:rFonts w:eastAsiaTheme="minorEastAsia"/>
                <w:color w:val="000000" w:themeColor="text1"/>
                <w:szCs w:val="21"/>
              </w:rPr>
              <w:t>本基金基金经理、副总经理兼投资总监</w:t>
            </w:r>
          </w:p>
        </w:tc>
        <w:tc>
          <w:tcPr>
            <w:tcW w:w="1210" w:type="dxa"/>
            <w:vAlign w:val="center"/>
          </w:tcPr>
          <w:p w:rsidR="00FE1283" w:rsidRDefault="007A3E5C">
            <w:pPr>
              <w:jc w:val="center"/>
            </w:pPr>
            <w:r>
              <w:rPr>
                <w:rFonts w:eastAsiaTheme="minorEastAsia"/>
                <w:color w:val="000000" w:themeColor="text1"/>
                <w:szCs w:val="21"/>
              </w:rPr>
              <w:t>2011-07-13</w:t>
            </w:r>
          </w:p>
        </w:tc>
        <w:tc>
          <w:tcPr>
            <w:tcW w:w="1309" w:type="dxa"/>
            <w:vAlign w:val="center"/>
          </w:tcPr>
          <w:p w:rsidR="00FE1283" w:rsidRDefault="007A3E5C">
            <w:pPr>
              <w:jc w:val="center"/>
            </w:pPr>
            <w:r>
              <w:rPr>
                <w:rFonts w:eastAsiaTheme="minorEastAsia"/>
                <w:color w:val="000000" w:themeColor="text1"/>
                <w:szCs w:val="21"/>
              </w:rPr>
              <w:t>-</w:t>
            </w:r>
          </w:p>
        </w:tc>
        <w:tc>
          <w:tcPr>
            <w:tcW w:w="1254" w:type="dxa"/>
            <w:vAlign w:val="center"/>
          </w:tcPr>
          <w:p w:rsidR="00FE1283" w:rsidRDefault="007A3E5C">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FE1283" w:rsidRDefault="007A3E5C">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w:t>
            </w:r>
            <w:r>
              <w:rPr>
                <w:rFonts w:eastAsiaTheme="minorEastAsia"/>
                <w:color w:val="000000" w:themeColor="text1"/>
                <w:szCs w:val="21"/>
              </w:rPr>
              <w:lastRenderedPageBreak/>
              <w:t>任副总经理兼投资总监。</w:t>
            </w:r>
          </w:p>
        </w:tc>
      </w:tr>
    </w:tbl>
    <w:p w:rsidR="00FE1283" w:rsidRDefault="007A3E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FE1283" w:rsidRDefault="007A3E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w:t>
      </w:r>
      <w:r w:rsidRPr="0073597F">
        <w:rPr>
          <w:rFonts w:eastAsiaTheme="minorEastAsia"/>
          <w:color w:val="000000" w:themeColor="text1"/>
          <w:szCs w:val="21"/>
        </w:rPr>
        <w:lastRenderedPageBreak/>
        <w:t>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年三季度受内外部环境的影响市场继续下行，沪深</w:t>
      </w:r>
      <w:r>
        <w:rPr>
          <w:rFonts w:eastAsiaTheme="minorEastAsia"/>
          <w:color w:val="000000" w:themeColor="text1"/>
          <w:szCs w:val="21"/>
        </w:rPr>
        <w:t>300</w:t>
      </w:r>
      <w:r>
        <w:rPr>
          <w:rFonts w:eastAsiaTheme="minorEastAsia"/>
          <w:color w:val="000000" w:themeColor="text1"/>
          <w:szCs w:val="21"/>
        </w:rPr>
        <w:t>、创业板等指数均创出年内新低，市场成交量也出现萎缩。对于经济复苏的担忧应当是主要原因，另外叠加美国高利率的影响造成了部分资金流出。在三季度政府出台了地产的放松政策，一些经济刺激政策也是可预期的。从市场交易行为看，投资者在缩短自己的投资久期，体现为投资行为更趋短期和对高股息的偏好，对于长期的成长股表现出信心不足。我们认为这种现象的出现可能是阶段性的，也无法对长期投资形成有效的指导，但是也增加了部分低估值高分红股票。本基金基于长期成长的选股逻辑，重点投资了新兴产业中的优质公司。</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有些高开低走，其实可能是符合正常规律的。经济的见底回升和复苏不可能一蹴而就，需要有一个过程，市场在年初过于乐观，但当前又过度的悲观。随着经济和社会的逐步正常化，不同的行业会回到自身的运行规律中去，当然合理有效的经济政策可以更好的推动这一进程，我们已经看到一些提前出清的行业开始出现向上的趋势。对于权益市场，经过两年多的回调股票估值已经到了相当有吸引力的位置，当下是非常好的长期布局时点，信心在目前的情况下是非常重要的。</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人工智能在上半年获得了市场的高度关注，但在三季度有大幅度的回落，这里面有交易层面的因素，也有行业发展的因素。但是作为未来可能深刻影响人类社会的技术，人工智能的发展才刚刚起步，仍然值得我们持续关注。医药行业的吸引力也越来越大，经过两年多的回调，医药股的估值已经回到历史极低区间。虽然有医疗反腐的负面影响，但是我们认为不会改变行业长期发展的逻辑，中国进入老龄化社会对医药的需求是明确。此外医药创新也为医药行业的持续增长提供了极大的动力，对此我们会持续跟踪和研究。</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我们会努力在市场中挑选估值和成长性匹配的优质品种，寻找新兴产业中长期成长的公司，力争为基金持有人创造持续稳定收益。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:-18.66%</w:t>
      </w:r>
      <w:r>
        <w:rPr>
          <w:rFonts w:eastAsiaTheme="minorEastAsia"/>
          <w:color w:val="000000" w:themeColor="text1"/>
          <w:szCs w:val="21"/>
        </w:rPr>
        <w:t>，同期业绩比较基准收益率为</w:t>
      </w:r>
      <w:r>
        <w:rPr>
          <w:rFonts w:eastAsiaTheme="minorEastAsia"/>
          <w:color w:val="000000" w:themeColor="text1"/>
          <w:szCs w:val="21"/>
        </w:rPr>
        <w:t>:-9.51%</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:-18.76%</w:t>
      </w:r>
      <w:r>
        <w:rPr>
          <w:rFonts w:eastAsiaTheme="minorEastAsia"/>
          <w:color w:val="000000" w:themeColor="text1"/>
          <w:szCs w:val="21"/>
        </w:rPr>
        <w:t>，同期业绩比较基准收益率为</w:t>
      </w:r>
      <w:r>
        <w:rPr>
          <w:rFonts w:eastAsiaTheme="minorEastAsia"/>
          <w:color w:val="000000" w:themeColor="text1"/>
          <w:szCs w:val="21"/>
        </w:rPr>
        <w:t>:-9.51%</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:-18.66%</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:-9.51%</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lastRenderedPageBreak/>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4,254,161,567.17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85.30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4,254,161,567.17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85.30</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5,067,042.24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5,067,042.24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699,417,358.34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28,873,973.87</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0.58</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4,987,519,941.62</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47,645,913.09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0.96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4,424,256.65</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0.09</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3,906,311,417.81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78.63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49,922,564.11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146,931,023.55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2.96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2,571,612.00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57,993,468.00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31,218,360.28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0.63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7,142,951.68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4,254,161,567.17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85.63</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FE1283">
        <w:tc>
          <w:tcPr>
            <w:tcW w:w="817" w:type="dxa"/>
            <w:vAlign w:val="center"/>
          </w:tcPr>
          <w:p w:rsidR="00FE1283" w:rsidRDefault="007A3E5C">
            <w:pPr>
              <w:jc w:val="center"/>
            </w:pPr>
            <w:r>
              <w:rPr>
                <w:rFonts w:eastAsiaTheme="minorEastAsia"/>
                <w:color w:val="000000" w:themeColor="text1"/>
                <w:kern w:val="0"/>
                <w:szCs w:val="21"/>
              </w:rPr>
              <w:t>1</w:t>
            </w:r>
          </w:p>
        </w:tc>
        <w:tc>
          <w:tcPr>
            <w:tcW w:w="1276" w:type="dxa"/>
            <w:vAlign w:val="center"/>
          </w:tcPr>
          <w:p w:rsidR="00FE1283" w:rsidRDefault="007A3E5C">
            <w:pPr>
              <w:jc w:val="center"/>
            </w:pPr>
            <w:r>
              <w:rPr>
                <w:rFonts w:eastAsiaTheme="minorEastAsia"/>
                <w:color w:val="000000" w:themeColor="text1"/>
                <w:kern w:val="0"/>
                <w:szCs w:val="21"/>
              </w:rPr>
              <w:t>002236</w:t>
            </w:r>
          </w:p>
        </w:tc>
        <w:tc>
          <w:tcPr>
            <w:tcW w:w="1701" w:type="dxa"/>
            <w:vAlign w:val="center"/>
          </w:tcPr>
          <w:p w:rsidR="00FE1283" w:rsidRDefault="007A3E5C">
            <w:pPr>
              <w:jc w:val="center"/>
            </w:pPr>
            <w:r>
              <w:rPr>
                <w:rFonts w:eastAsiaTheme="minorEastAsia"/>
                <w:color w:val="000000" w:themeColor="text1"/>
                <w:kern w:val="0"/>
                <w:szCs w:val="21"/>
              </w:rPr>
              <w:t>大华股份</w:t>
            </w:r>
          </w:p>
        </w:tc>
        <w:tc>
          <w:tcPr>
            <w:tcW w:w="1276" w:type="dxa"/>
            <w:vAlign w:val="center"/>
          </w:tcPr>
          <w:p w:rsidR="00FE1283" w:rsidRDefault="007A3E5C">
            <w:pPr>
              <w:jc w:val="right"/>
            </w:pPr>
            <w:r>
              <w:rPr>
                <w:rFonts w:eastAsiaTheme="minorEastAsia"/>
                <w:color w:val="000000" w:themeColor="text1"/>
                <w:kern w:val="0"/>
                <w:szCs w:val="21"/>
              </w:rPr>
              <w:t>21,590,209</w:t>
            </w:r>
          </w:p>
        </w:tc>
        <w:tc>
          <w:tcPr>
            <w:tcW w:w="1842" w:type="dxa"/>
            <w:vAlign w:val="center"/>
          </w:tcPr>
          <w:p w:rsidR="00FE1283" w:rsidRDefault="007A3E5C">
            <w:pPr>
              <w:jc w:val="right"/>
            </w:pPr>
            <w:r>
              <w:rPr>
                <w:rFonts w:eastAsiaTheme="minorEastAsia"/>
                <w:color w:val="000000" w:themeColor="text1"/>
                <w:kern w:val="0"/>
                <w:szCs w:val="21"/>
              </w:rPr>
              <w:t>480,813,954.43</w:t>
            </w:r>
          </w:p>
        </w:tc>
        <w:tc>
          <w:tcPr>
            <w:tcW w:w="1616" w:type="dxa"/>
            <w:vAlign w:val="center"/>
          </w:tcPr>
          <w:p w:rsidR="00FE1283" w:rsidRDefault="007A3E5C">
            <w:pPr>
              <w:jc w:val="right"/>
            </w:pPr>
            <w:r>
              <w:rPr>
                <w:rFonts w:eastAsiaTheme="minorEastAsia"/>
                <w:color w:val="000000" w:themeColor="text1"/>
                <w:kern w:val="0"/>
                <w:szCs w:val="21"/>
              </w:rPr>
              <w:t>9.68</w:t>
            </w:r>
          </w:p>
        </w:tc>
      </w:tr>
      <w:tr w:rsidR="00FE1283">
        <w:tc>
          <w:tcPr>
            <w:tcW w:w="817" w:type="dxa"/>
            <w:vAlign w:val="center"/>
          </w:tcPr>
          <w:p w:rsidR="00FE1283" w:rsidRDefault="007A3E5C">
            <w:pPr>
              <w:jc w:val="center"/>
            </w:pPr>
            <w:r>
              <w:rPr>
                <w:rFonts w:eastAsiaTheme="minorEastAsia"/>
                <w:color w:val="000000" w:themeColor="text1"/>
                <w:kern w:val="0"/>
                <w:szCs w:val="21"/>
              </w:rPr>
              <w:t>2</w:t>
            </w:r>
          </w:p>
        </w:tc>
        <w:tc>
          <w:tcPr>
            <w:tcW w:w="1276" w:type="dxa"/>
            <w:vAlign w:val="center"/>
          </w:tcPr>
          <w:p w:rsidR="00FE1283" w:rsidRDefault="007A3E5C">
            <w:pPr>
              <w:jc w:val="center"/>
            </w:pPr>
            <w:r>
              <w:rPr>
                <w:rFonts w:eastAsiaTheme="minorEastAsia"/>
                <w:color w:val="000000" w:themeColor="text1"/>
                <w:kern w:val="0"/>
                <w:szCs w:val="21"/>
              </w:rPr>
              <w:t>300308</w:t>
            </w:r>
          </w:p>
        </w:tc>
        <w:tc>
          <w:tcPr>
            <w:tcW w:w="1701" w:type="dxa"/>
            <w:vAlign w:val="center"/>
          </w:tcPr>
          <w:p w:rsidR="00FE1283" w:rsidRDefault="007A3E5C">
            <w:pPr>
              <w:jc w:val="center"/>
            </w:pPr>
            <w:r>
              <w:rPr>
                <w:rFonts w:eastAsiaTheme="minorEastAsia"/>
                <w:color w:val="000000" w:themeColor="text1"/>
                <w:kern w:val="0"/>
                <w:szCs w:val="21"/>
              </w:rPr>
              <w:t>中际旭创</w:t>
            </w:r>
          </w:p>
        </w:tc>
        <w:tc>
          <w:tcPr>
            <w:tcW w:w="1276" w:type="dxa"/>
            <w:vAlign w:val="center"/>
          </w:tcPr>
          <w:p w:rsidR="00FE1283" w:rsidRDefault="007A3E5C">
            <w:pPr>
              <w:jc w:val="right"/>
            </w:pPr>
            <w:r>
              <w:rPr>
                <w:rFonts w:eastAsiaTheme="minorEastAsia"/>
                <w:color w:val="000000" w:themeColor="text1"/>
                <w:kern w:val="0"/>
                <w:szCs w:val="21"/>
              </w:rPr>
              <w:t>3,789,996</w:t>
            </w:r>
          </w:p>
        </w:tc>
        <w:tc>
          <w:tcPr>
            <w:tcW w:w="1842" w:type="dxa"/>
            <w:vAlign w:val="center"/>
          </w:tcPr>
          <w:p w:rsidR="00FE1283" w:rsidRDefault="007A3E5C">
            <w:pPr>
              <w:jc w:val="right"/>
            </w:pPr>
            <w:r>
              <w:rPr>
                <w:rFonts w:eastAsiaTheme="minorEastAsia"/>
                <w:color w:val="000000" w:themeColor="text1"/>
                <w:kern w:val="0"/>
                <w:szCs w:val="21"/>
              </w:rPr>
              <w:t>438,881,536.80</w:t>
            </w:r>
          </w:p>
        </w:tc>
        <w:tc>
          <w:tcPr>
            <w:tcW w:w="1616" w:type="dxa"/>
            <w:vAlign w:val="center"/>
          </w:tcPr>
          <w:p w:rsidR="00FE1283" w:rsidRDefault="007A3E5C">
            <w:pPr>
              <w:jc w:val="right"/>
            </w:pPr>
            <w:r>
              <w:rPr>
                <w:rFonts w:eastAsiaTheme="minorEastAsia"/>
                <w:color w:val="000000" w:themeColor="text1"/>
                <w:kern w:val="0"/>
                <w:szCs w:val="21"/>
              </w:rPr>
              <w:t>8.83</w:t>
            </w:r>
          </w:p>
        </w:tc>
      </w:tr>
      <w:tr w:rsidR="00FE1283">
        <w:tc>
          <w:tcPr>
            <w:tcW w:w="817" w:type="dxa"/>
            <w:vAlign w:val="center"/>
          </w:tcPr>
          <w:p w:rsidR="00FE1283" w:rsidRDefault="007A3E5C">
            <w:pPr>
              <w:jc w:val="center"/>
            </w:pPr>
            <w:r>
              <w:rPr>
                <w:rFonts w:eastAsiaTheme="minorEastAsia"/>
                <w:color w:val="000000" w:themeColor="text1"/>
                <w:kern w:val="0"/>
                <w:szCs w:val="21"/>
              </w:rPr>
              <w:t>3</w:t>
            </w:r>
          </w:p>
        </w:tc>
        <w:tc>
          <w:tcPr>
            <w:tcW w:w="1276" w:type="dxa"/>
            <w:vAlign w:val="center"/>
          </w:tcPr>
          <w:p w:rsidR="00FE1283" w:rsidRDefault="007A3E5C">
            <w:pPr>
              <w:jc w:val="center"/>
            </w:pPr>
            <w:r>
              <w:rPr>
                <w:rFonts w:eastAsiaTheme="minorEastAsia"/>
                <w:color w:val="000000" w:themeColor="text1"/>
                <w:kern w:val="0"/>
                <w:szCs w:val="21"/>
              </w:rPr>
              <w:t>300394</w:t>
            </w:r>
          </w:p>
        </w:tc>
        <w:tc>
          <w:tcPr>
            <w:tcW w:w="1701" w:type="dxa"/>
            <w:vAlign w:val="center"/>
          </w:tcPr>
          <w:p w:rsidR="00FE1283" w:rsidRDefault="007A3E5C">
            <w:pPr>
              <w:jc w:val="center"/>
            </w:pPr>
            <w:r>
              <w:rPr>
                <w:rFonts w:eastAsiaTheme="minorEastAsia"/>
                <w:color w:val="000000" w:themeColor="text1"/>
                <w:kern w:val="0"/>
                <w:szCs w:val="21"/>
              </w:rPr>
              <w:t>天孚通信</w:t>
            </w:r>
          </w:p>
        </w:tc>
        <w:tc>
          <w:tcPr>
            <w:tcW w:w="1276" w:type="dxa"/>
            <w:vAlign w:val="center"/>
          </w:tcPr>
          <w:p w:rsidR="00FE1283" w:rsidRDefault="007A3E5C">
            <w:pPr>
              <w:jc w:val="right"/>
            </w:pPr>
            <w:r>
              <w:rPr>
                <w:rFonts w:eastAsiaTheme="minorEastAsia"/>
                <w:color w:val="000000" w:themeColor="text1"/>
                <w:kern w:val="0"/>
                <w:szCs w:val="21"/>
              </w:rPr>
              <w:t>3,899,075</w:t>
            </w:r>
          </w:p>
        </w:tc>
        <w:tc>
          <w:tcPr>
            <w:tcW w:w="1842" w:type="dxa"/>
            <w:vAlign w:val="center"/>
          </w:tcPr>
          <w:p w:rsidR="00FE1283" w:rsidRDefault="007A3E5C">
            <w:pPr>
              <w:jc w:val="right"/>
            </w:pPr>
            <w:r>
              <w:rPr>
                <w:rFonts w:eastAsiaTheme="minorEastAsia"/>
                <w:color w:val="000000" w:themeColor="text1"/>
                <w:kern w:val="0"/>
                <w:szCs w:val="21"/>
              </w:rPr>
              <w:t>370,412,125.00</w:t>
            </w:r>
          </w:p>
        </w:tc>
        <w:tc>
          <w:tcPr>
            <w:tcW w:w="1616" w:type="dxa"/>
            <w:vAlign w:val="center"/>
          </w:tcPr>
          <w:p w:rsidR="00FE1283" w:rsidRDefault="007A3E5C">
            <w:pPr>
              <w:jc w:val="right"/>
            </w:pPr>
            <w:r>
              <w:rPr>
                <w:rFonts w:eastAsiaTheme="minorEastAsia"/>
                <w:color w:val="000000" w:themeColor="text1"/>
                <w:kern w:val="0"/>
                <w:szCs w:val="21"/>
              </w:rPr>
              <w:t>7.46</w:t>
            </w:r>
          </w:p>
        </w:tc>
      </w:tr>
      <w:tr w:rsidR="00FE1283">
        <w:tc>
          <w:tcPr>
            <w:tcW w:w="817" w:type="dxa"/>
            <w:vAlign w:val="center"/>
          </w:tcPr>
          <w:p w:rsidR="00FE1283" w:rsidRDefault="007A3E5C">
            <w:pPr>
              <w:jc w:val="center"/>
            </w:pPr>
            <w:r>
              <w:rPr>
                <w:rFonts w:eastAsiaTheme="minorEastAsia"/>
                <w:color w:val="000000" w:themeColor="text1"/>
                <w:kern w:val="0"/>
                <w:szCs w:val="21"/>
              </w:rPr>
              <w:t>4</w:t>
            </w:r>
          </w:p>
        </w:tc>
        <w:tc>
          <w:tcPr>
            <w:tcW w:w="1276" w:type="dxa"/>
            <w:vAlign w:val="center"/>
          </w:tcPr>
          <w:p w:rsidR="00FE1283" w:rsidRDefault="007A3E5C">
            <w:pPr>
              <w:jc w:val="center"/>
            </w:pPr>
            <w:r>
              <w:rPr>
                <w:rFonts w:eastAsiaTheme="minorEastAsia"/>
                <w:color w:val="000000" w:themeColor="text1"/>
                <w:kern w:val="0"/>
                <w:szCs w:val="21"/>
              </w:rPr>
              <w:t>300750</w:t>
            </w:r>
          </w:p>
        </w:tc>
        <w:tc>
          <w:tcPr>
            <w:tcW w:w="1701" w:type="dxa"/>
            <w:vAlign w:val="center"/>
          </w:tcPr>
          <w:p w:rsidR="00FE1283" w:rsidRDefault="007A3E5C">
            <w:pPr>
              <w:jc w:val="center"/>
            </w:pPr>
            <w:r>
              <w:rPr>
                <w:rFonts w:eastAsiaTheme="minorEastAsia"/>
                <w:color w:val="000000" w:themeColor="text1"/>
                <w:kern w:val="0"/>
                <w:szCs w:val="21"/>
              </w:rPr>
              <w:t>宁德时代</w:t>
            </w:r>
          </w:p>
        </w:tc>
        <w:tc>
          <w:tcPr>
            <w:tcW w:w="1276" w:type="dxa"/>
            <w:vAlign w:val="center"/>
          </w:tcPr>
          <w:p w:rsidR="00FE1283" w:rsidRDefault="007A3E5C">
            <w:pPr>
              <w:jc w:val="right"/>
            </w:pPr>
            <w:r>
              <w:rPr>
                <w:rFonts w:eastAsiaTheme="minorEastAsia"/>
                <w:color w:val="000000" w:themeColor="text1"/>
                <w:kern w:val="0"/>
                <w:szCs w:val="21"/>
              </w:rPr>
              <w:t>1,808,194</w:t>
            </w:r>
          </w:p>
        </w:tc>
        <w:tc>
          <w:tcPr>
            <w:tcW w:w="1842" w:type="dxa"/>
            <w:vAlign w:val="center"/>
          </w:tcPr>
          <w:p w:rsidR="00FE1283" w:rsidRDefault="007A3E5C">
            <w:pPr>
              <w:jc w:val="right"/>
            </w:pPr>
            <w:r>
              <w:rPr>
                <w:rFonts w:eastAsiaTheme="minorEastAsia"/>
                <w:color w:val="000000" w:themeColor="text1"/>
                <w:kern w:val="0"/>
                <w:szCs w:val="21"/>
              </w:rPr>
              <w:t>367,117,627.82</w:t>
            </w:r>
          </w:p>
        </w:tc>
        <w:tc>
          <w:tcPr>
            <w:tcW w:w="1616" w:type="dxa"/>
            <w:vAlign w:val="center"/>
          </w:tcPr>
          <w:p w:rsidR="00FE1283" w:rsidRDefault="007A3E5C">
            <w:pPr>
              <w:jc w:val="right"/>
            </w:pPr>
            <w:r>
              <w:rPr>
                <w:rFonts w:eastAsiaTheme="minorEastAsia"/>
                <w:color w:val="000000" w:themeColor="text1"/>
                <w:kern w:val="0"/>
                <w:szCs w:val="21"/>
              </w:rPr>
              <w:t>7.39</w:t>
            </w:r>
          </w:p>
        </w:tc>
      </w:tr>
      <w:tr w:rsidR="00FE1283">
        <w:tc>
          <w:tcPr>
            <w:tcW w:w="817" w:type="dxa"/>
            <w:vAlign w:val="center"/>
          </w:tcPr>
          <w:p w:rsidR="00FE1283" w:rsidRDefault="007A3E5C">
            <w:pPr>
              <w:jc w:val="center"/>
            </w:pPr>
            <w:r>
              <w:rPr>
                <w:rFonts w:eastAsiaTheme="minorEastAsia"/>
                <w:color w:val="000000" w:themeColor="text1"/>
                <w:kern w:val="0"/>
                <w:szCs w:val="21"/>
              </w:rPr>
              <w:t>5</w:t>
            </w:r>
          </w:p>
        </w:tc>
        <w:tc>
          <w:tcPr>
            <w:tcW w:w="1276" w:type="dxa"/>
            <w:vAlign w:val="center"/>
          </w:tcPr>
          <w:p w:rsidR="00FE1283" w:rsidRDefault="007A3E5C">
            <w:pPr>
              <w:jc w:val="center"/>
            </w:pPr>
            <w:r>
              <w:rPr>
                <w:rFonts w:eastAsiaTheme="minorEastAsia"/>
                <w:color w:val="000000" w:themeColor="text1"/>
                <w:kern w:val="0"/>
                <w:szCs w:val="21"/>
              </w:rPr>
              <w:t>601138</w:t>
            </w:r>
          </w:p>
        </w:tc>
        <w:tc>
          <w:tcPr>
            <w:tcW w:w="1701" w:type="dxa"/>
            <w:vAlign w:val="center"/>
          </w:tcPr>
          <w:p w:rsidR="00FE1283" w:rsidRDefault="007A3E5C">
            <w:pPr>
              <w:jc w:val="center"/>
            </w:pPr>
            <w:r>
              <w:rPr>
                <w:rFonts w:eastAsiaTheme="minorEastAsia"/>
                <w:color w:val="000000" w:themeColor="text1"/>
                <w:kern w:val="0"/>
                <w:szCs w:val="21"/>
              </w:rPr>
              <w:t>工业富联</w:t>
            </w:r>
          </w:p>
        </w:tc>
        <w:tc>
          <w:tcPr>
            <w:tcW w:w="1276" w:type="dxa"/>
            <w:vAlign w:val="center"/>
          </w:tcPr>
          <w:p w:rsidR="00FE1283" w:rsidRDefault="007A3E5C">
            <w:pPr>
              <w:jc w:val="right"/>
            </w:pPr>
            <w:r>
              <w:rPr>
                <w:rFonts w:eastAsiaTheme="minorEastAsia"/>
                <w:color w:val="000000" w:themeColor="text1"/>
                <w:kern w:val="0"/>
                <w:szCs w:val="21"/>
              </w:rPr>
              <w:t>14,465,849</w:t>
            </w:r>
          </w:p>
        </w:tc>
        <w:tc>
          <w:tcPr>
            <w:tcW w:w="1842" w:type="dxa"/>
            <w:vAlign w:val="center"/>
          </w:tcPr>
          <w:p w:rsidR="00FE1283" w:rsidRDefault="007A3E5C">
            <w:pPr>
              <w:jc w:val="right"/>
            </w:pPr>
            <w:r>
              <w:rPr>
                <w:rFonts w:eastAsiaTheme="minorEastAsia"/>
                <w:color w:val="000000" w:themeColor="text1"/>
                <w:kern w:val="0"/>
                <w:szCs w:val="21"/>
              </w:rPr>
              <w:t>284,977,225.30</w:t>
            </w:r>
          </w:p>
        </w:tc>
        <w:tc>
          <w:tcPr>
            <w:tcW w:w="1616" w:type="dxa"/>
            <w:vAlign w:val="center"/>
          </w:tcPr>
          <w:p w:rsidR="00FE1283" w:rsidRDefault="007A3E5C">
            <w:pPr>
              <w:jc w:val="right"/>
            </w:pPr>
            <w:r>
              <w:rPr>
                <w:rFonts w:eastAsiaTheme="minorEastAsia"/>
                <w:color w:val="000000" w:themeColor="text1"/>
                <w:kern w:val="0"/>
                <w:szCs w:val="21"/>
              </w:rPr>
              <w:t>5.74</w:t>
            </w:r>
          </w:p>
        </w:tc>
      </w:tr>
      <w:tr w:rsidR="00FE1283">
        <w:tc>
          <w:tcPr>
            <w:tcW w:w="817" w:type="dxa"/>
            <w:vAlign w:val="center"/>
          </w:tcPr>
          <w:p w:rsidR="00FE1283" w:rsidRDefault="007A3E5C">
            <w:pPr>
              <w:jc w:val="center"/>
            </w:pPr>
            <w:r>
              <w:rPr>
                <w:rFonts w:eastAsiaTheme="minorEastAsia"/>
                <w:color w:val="000000" w:themeColor="text1"/>
                <w:kern w:val="0"/>
                <w:szCs w:val="21"/>
              </w:rPr>
              <w:t>6</w:t>
            </w:r>
          </w:p>
        </w:tc>
        <w:tc>
          <w:tcPr>
            <w:tcW w:w="1276" w:type="dxa"/>
            <w:vAlign w:val="center"/>
          </w:tcPr>
          <w:p w:rsidR="00FE1283" w:rsidRDefault="007A3E5C">
            <w:pPr>
              <w:jc w:val="center"/>
            </w:pPr>
            <w:r>
              <w:rPr>
                <w:rFonts w:eastAsiaTheme="minorEastAsia"/>
                <w:color w:val="000000" w:themeColor="text1"/>
                <w:kern w:val="0"/>
                <w:szCs w:val="21"/>
              </w:rPr>
              <w:t>002475</w:t>
            </w:r>
          </w:p>
        </w:tc>
        <w:tc>
          <w:tcPr>
            <w:tcW w:w="1701" w:type="dxa"/>
            <w:vAlign w:val="center"/>
          </w:tcPr>
          <w:p w:rsidR="00FE1283" w:rsidRDefault="007A3E5C">
            <w:pPr>
              <w:jc w:val="center"/>
            </w:pPr>
            <w:r>
              <w:rPr>
                <w:rFonts w:eastAsiaTheme="minorEastAsia"/>
                <w:color w:val="000000" w:themeColor="text1"/>
                <w:kern w:val="0"/>
                <w:szCs w:val="21"/>
              </w:rPr>
              <w:t>立讯精密</w:t>
            </w:r>
          </w:p>
        </w:tc>
        <w:tc>
          <w:tcPr>
            <w:tcW w:w="1276" w:type="dxa"/>
            <w:vAlign w:val="center"/>
          </w:tcPr>
          <w:p w:rsidR="00FE1283" w:rsidRDefault="007A3E5C">
            <w:pPr>
              <w:jc w:val="right"/>
            </w:pPr>
            <w:r>
              <w:rPr>
                <w:rFonts w:eastAsiaTheme="minorEastAsia"/>
                <w:color w:val="000000" w:themeColor="text1"/>
                <w:kern w:val="0"/>
                <w:szCs w:val="21"/>
              </w:rPr>
              <w:t>7,212,700</w:t>
            </w:r>
          </w:p>
        </w:tc>
        <w:tc>
          <w:tcPr>
            <w:tcW w:w="1842" w:type="dxa"/>
            <w:vAlign w:val="center"/>
          </w:tcPr>
          <w:p w:rsidR="00FE1283" w:rsidRDefault="007A3E5C">
            <w:pPr>
              <w:jc w:val="right"/>
            </w:pPr>
            <w:r>
              <w:rPr>
                <w:rFonts w:eastAsiaTheme="minorEastAsia"/>
                <w:color w:val="000000" w:themeColor="text1"/>
                <w:kern w:val="0"/>
                <w:szCs w:val="21"/>
              </w:rPr>
              <w:t>215,082,714.00</w:t>
            </w:r>
          </w:p>
        </w:tc>
        <w:tc>
          <w:tcPr>
            <w:tcW w:w="1616" w:type="dxa"/>
            <w:vAlign w:val="center"/>
          </w:tcPr>
          <w:p w:rsidR="00FE1283" w:rsidRDefault="007A3E5C">
            <w:pPr>
              <w:jc w:val="right"/>
            </w:pPr>
            <w:r>
              <w:rPr>
                <w:rFonts w:eastAsiaTheme="minorEastAsia"/>
                <w:color w:val="000000" w:themeColor="text1"/>
                <w:kern w:val="0"/>
                <w:szCs w:val="21"/>
              </w:rPr>
              <w:t>4.33</w:t>
            </w:r>
          </w:p>
        </w:tc>
      </w:tr>
      <w:tr w:rsidR="00FE1283">
        <w:tc>
          <w:tcPr>
            <w:tcW w:w="817" w:type="dxa"/>
            <w:vAlign w:val="center"/>
          </w:tcPr>
          <w:p w:rsidR="00FE1283" w:rsidRDefault="007A3E5C">
            <w:pPr>
              <w:jc w:val="center"/>
            </w:pPr>
            <w:r>
              <w:rPr>
                <w:rFonts w:eastAsiaTheme="minorEastAsia"/>
                <w:color w:val="000000" w:themeColor="text1"/>
                <w:kern w:val="0"/>
                <w:szCs w:val="21"/>
              </w:rPr>
              <w:t>7</w:t>
            </w:r>
          </w:p>
        </w:tc>
        <w:tc>
          <w:tcPr>
            <w:tcW w:w="1276" w:type="dxa"/>
            <w:vAlign w:val="center"/>
          </w:tcPr>
          <w:p w:rsidR="00FE1283" w:rsidRDefault="007A3E5C">
            <w:pPr>
              <w:jc w:val="center"/>
            </w:pPr>
            <w:r>
              <w:rPr>
                <w:rFonts w:eastAsiaTheme="minorEastAsia"/>
                <w:color w:val="000000" w:themeColor="text1"/>
                <w:kern w:val="0"/>
                <w:szCs w:val="21"/>
              </w:rPr>
              <w:t>002180</w:t>
            </w:r>
          </w:p>
        </w:tc>
        <w:tc>
          <w:tcPr>
            <w:tcW w:w="1701" w:type="dxa"/>
            <w:vAlign w:val="center"/>
          </w:tcPr>
          <w:p w:rsidR="00FE1283" w:rsidRDefault="007A3E5C">
            <w:pPr>
              <w:jc w:val="center"/>
            </w:pPr>
            <w:r>
              <w:rPr>
                <w:rFonts w:eastAsiaTheme="minorEastAsia"/>
                <w:color w:val="000000" w:themeColor="text1"/>
                <w:kern w:val="0"/>
                <w:szCs w:val="21"/>
              </w:rPr>
              <w:t>纳思达</w:t>
            </w:r>
          </w:p>
        </w:tc>
        <w:tc>
          <w:tcPr>
            <w:tcW w:w="1276" w:type="dxa"/>
            <w:vAlign w:val="center"/>
          </w:tcPr>
          <w:p w:rsidR="00FE1283" w:rsidRDefault="007A3E5C">
            <w:pPr>
              <w:jc w:val="right"/>
            </w:pPr>
            <w:r>
              <w:rPr>
                <w:rFonts w:eastAsiaTheme="minorEastAsia"/>
                <w:color w:val="000000" w:themeColor="text1"/>
                <w:kern w:val="0"/>
                <w:szCs w:val="21"/>
              </w:rPr>
              <w:t>7,057,413</w:t>
            </w:r>
          </w:p>
        </w:tc>
        <w:tc>
          <w:tcPr>
            <w:tcW w:w="1842" w:type="dxa"/>
            <w:vAlign w:val="center"/>
          </w:tcPr>
          <w:p w:rsidR="00FE1283" w:rsidRDefault="007A3E5C">
            <w:pPr>
              <w:jc w:val="right"/>
            </w:pPr>
            <w:r>
              <w:rPr>
                <w:rFonts w:eastAsiaTheme="minorEastAsia"/>
                <w:color w:val="000000" w:themeColor="text1"/>
                <w:kern w:val="0"/>
                <w:szCs w:val="21"/>
              </w:rPr>
              <w:t>182,504,700.18</w:t>
            </w:r>
          </w:p>
        </w:tc>
        <w:tc>
          <w:tcPr>
            <w:tcW w:w="1616" w:type="dxa"/>
            <w:vAlign w:val="center"/>
          </w:tcPr>
          <w:p w:rsidR="00FE1283" w:rsidRDefault="007A3E5C">
            <w:pPr>
              <w:jc w:val="right"/>
            </w:pPr>
            <w:r>
              <w:rPr>
                <w:rFonts w:eastAsiaTheme="minorEastAsia"/>
                <w:color w:val="000000" w:themeColor="text1"/>
                <w:kern w:val="0"/>
                <w:szCs w:val="21"/>
              </w:rPr>
              <w:t>3.67</w:t>
            </w:r>
          </w:p>
        </w:tc>
      </w:tr>
      <w:tr w:rsidR="00FE1283">
        <w:tc>
          <w:tcPr>
            <w:tcW w:w="817" w:type="dxa"/>
            <w:vAlign w:val="center"/>
          </w:tcPr>
          <w:p w:rsidR="00FE1283" w:rsidRDefault="007A3E5C">
            <w:pPr>
              <w:jc w:val="center"/>
            </w:pPr>
            <w:r>
              <w:rPr>
                <w:rFonts w:eastAsiaTheme="minorEastAsia"/>
                <w:color w:val="000000" w:themeColor="text1"/>
                <w:kern w:val="0"/>
                <w:szCs w:val="21"/>
              </w:rPr>
              <w:t>8</w:t>
            </w:r>
          </w:p>
        </w:tc>
        <w:tc>
          <w:tcPr>
            <w:tcW w:w="1276" w:type="dxa"/>
            <w:vAlign w:val="center"/>
          </w:tcPr>
          <w:p w:rsidR="00FE1283" w:rsidRDefault="007A3E5C">
            <w:pPr>
              <w:jc w:val="center"/>
            </w:pPr>
            <w:r>
              <w:rPr>
                <w:rFonts w:eastAsiaTheme="minorEastAsia"/>
                <w:color w:val="000000" w:themeColor="text1"/>
                <w:kern w:val="0"/>
                <w:szCs w:val="21"/>
              </w:rPr>
              <w:t>688472</w:t>
            </w:r>
          </w:p>
        </w:tc>
        <w:tc>
          <w:tcPr>
            <w:tcW w:w="1701" w:type="dxa"/>
            <w:vAlign w:val="center"/>
          </w:tcPr>
          <w:p w:rsidR="00FE1283" w:rsidRDefault="007A3E5C">
            <w:pPr>
              <w:jc w:val="center"/>
            </w:pPr>
            <w:r>
              <w:rPr>
                <w:rFonts w:eastAsiaTheme="minorEastAsia"/>
                <w:color w:val="000000" w:themeColor="text1"/>
                <w:kern w:val="0"/>
                <w:szCs w:val="21"/>
              </w:rPr>
              <w:t>阿特斯</w:t>
            </w:r>
          </w:p>
        </w:tc>
        <w:tc>
          <w:tcPr>
            <w:tcW w:w="1276" w:type="dxa"/>
            <w:vAlign w:val="center"/>
          </w:tcPr>
          <w:p w:rsidR="00FE1283" w:rsidRDefault="007A3E5C">
            <w:pPr>
              <w:jc w:val="right"/>
            </w:pPr>
            <w:r>
              <w:rPr>
                <w:rFonts w:eastAsiaTheme="minorEastAsia"/>
                <w:color w:val="000000" w:themeColor="text1"/>
                <w:kern w:val="0"/>
                <w:szCs w:val="21"/>
              </w:rPr>
              <w:t>10,311,150</w:t>
            </w:r>
          </w:p>
        </w:tc>
        <w:tc>
          <w:tcPr>
            <w:tcW w:w="1842" w:type="dxa"/>
            <w:vAlign w:val="center"/>
          </w:tcPr>
          <w:p w:rsidR="00FE1283" w:rsidRDefault="007A3E5C">
            <w:pPr>
              <w:jc w:val="right"/>
            </w:pPr>
            <w:r>
              <w:rPr>
                <w:rFonts w:eastAsiaTheme="minorEastAsia"/>
                <w:color w:val="000000" w:themeColor="text1"/>
                <w:kern w:val="0"/>
                <w:szCs w:val="21"/>
              </w:rPr>
              <w:t>146,624,553.00</w:t>
            </w:r>
          </w:p>
        </w:tc>
        <w:tc>
          <w:tcPr>
            <w:tcW w:w="1616" w:type="dxa"/>
            <w:vAlign w:val="center"/>
          </w:tcPr>
          <w:p w:rsidR="00FE1283" w:rsidRDefault="007A3E5C">
            <w:pPr>
              <w:jc w:val="right"/>
            </w:pPr>
            <w:r>
              <w:rPr>
                <w:rFonts w:eastAsiaTheme="minorEastAsia"/>
                <w:color w:val="000000" w:themeColor="text1"/>
                <w:kern w:val="0"/>
                <w:szCs w:val="21"/>
              </w:rPr>
              <w:t>2.95</w:t>
            </w:r>
          </w:p>
        </w:tc>
      </w:tr>
      <w:tr w:rsidR="00FE1283">
        <w:tc>
          <w:tcPr>
            <w:tcW w:w="817" w:type="dxa"/>
            <w:vAlign w:val="center"/>
          </w:tcPr>
          <w:p w:rsidR="00FE1283" w:rsidRDefault="007A3E5C">
            <w:pPr>
              <w:jc w:val="center"/>
            </w:pPr>
            <w:r>
              <w:rPr>
                <w:rFonts w:eastAsiaTheme="minorEastAsia"/>
                <w:color w:val="000000" w:themeColor="text1"/>
                <w:kern w:val="0"/>
                <w:szCs w:val="21"/>
              </w:rPr>
              <w:t>9</w:t>
            </w:r>
          </w:p>
        </w:tc>
        <w:tc>
          <w:tcPr>
            <w:tcW w:w="1276" w:type="dxa"/>
            <w:vAlign w:val="center"/>
          </w:tcPr>
          <w:p w:rsidR="00FE1283" w:rsidRDefault="007A3E5C">
            <w:pPr>
              <w:jc w:val="center"/>
            </w:pPr>
            <w:r>
              <w:rPr>
                <w:rFonts w:eastAsiaTheme="minorEastAsia"/>
                <w:color w:val="000000" w:themeColor="text1"/>
                <w:kern w:val="0"/>
                <w:szCs w:val="21"/>
              </w:rPr>
              <w:t>300274</w:t>
            </w:r>
          </w:p>
        </w:tc>
        <w:tc>
          <w:tcPr>
            <w:tcW w:w="1701" w:type="dxa"/>
            <w:vAlign w:val="center"/>
          </w:tcPr>
          <w:p w:rsidR="00FE1283" w:rsidRDefault="007A3E5C">
            <w:pPr>
              <w:jc w:val="center"/>
            </w:pPr>
            <w:r>
              <w:rPr>
                <w:rFonts w:eastAsiaTheme="minorEastAsia"/>
                <w:color w:val="000000" w:themeColor="text1"/>
                <w:kern w:val="0"/>
                <w:szCs w:val="21"/>
              </w:rPr>
              <w:t>阳光电源</w:t>
            </w:r>
          </w:p>
        </w:tc>
        <w:tc>
          <w:tcPr>
            <w:tcW w:w="1276" w:type="dxa"/>
            <w:vAlign w:val="center"/>
          </w:tcPr>
          <w:p w:rsidR="00FE1283" w:rsidRDefault="007A3E5C">
            <w:pPr>
              <w:jc w:val="right"/>
            </w:pPr>
            <w:r>
              <w:rPr>
                <w:rFonts w:eastAsiaTheme="minorEastAsia"/>
                <w:color w:val="000000" w:themeColor="text1"/>
                <w:kern w:val="0"/>
                <w:szCs w:val="21"/>
              </w:rPr>
              <w:t>1,622,080</w:t>
            </w:r>
          </w:p>
        </w:tc>
        <w:tc>
          <w:tcPr>
            <w:tcW w:w="1842" w:type="dxa"/>
            <w:vAlign w:val="center"/>
          </w:tcPr>
          <w:p w:rsidR="00FE1283" w:rsidRDefault="007A3E5C">
            <w:pPr>
              <w:jc w:val="right"/>
            </w:pPr>
            <w:r>
              <w:rPr>
                <w:rFonts w:eastAsiaTheme="minorEastAsia"/>
                <w:color w:val="000000" w:themeColor="text1"/>
                <w:kern w:val="0"/>
                <w:szCs w:val="21"/>
              </w:rPr>
              <w:t>145,192,380.80</w:t>
            </w:r>
          </w:p>
        </w:tc>
        <w:tc>
          <w:tcPr>
            <w:tcW w:w="1616" w:type="dxa"/>
            <w:vAlign w:val="center"/>
          </w:tcPr>
          <w:p w:rsidR="00FE1283" w:rsidRDefault="007A3E5C">
            <w:pPr>
              <w:jc w:val="right"/>
            </w:pPr>
            <w:r>
              <w:rPr>
                <w:rFonts w:eastAsiaTheme="minorEastAsia"/>
                <w:color w:val="000000" w:themeColor="text1"/>
                <w:kern w:val="0"/>
                <w:szCs w:val="21"/>
              </w:rPr>
              <w:t>2.92</w:t>
            </w:r>
          </w:p>
        </w:tc>
      </w:tr>
      <w:tr w:rsidR="00FE1283">
        <w:tc>
          <w:tcPr>
            <w:tcW w:w="817" w:type="dxa"/>
            <w:vAlign w:val="center"/>
          </w:tcPr>
          <w:p w:rsidR="00FE1283" w:rsidRDefault="007A3E5C">
            <w:pPr>
              <w:jc w:val="center"/>
            </w:pPr>
            <w:r>
              <w:rPr>
                <w:rFonts w:eastAsiaTheme="minorEastAsia"/>
                <w:color w:val="000000" w:themeColor="text1"/>
                <w:kern w:val="0"/>
                <w:szCs w:val="21"/>
              </w:rPr>
              <w:t>10</w:t>
            </w:r>
          </w:p>
        </w:tc>
        <w:tc>
          <w:tcPr>
            <w:tcW w:w="1276" w:type="dxa"/>
            <w:vAlign w:val="center"/>
          </w:tcPr>
          <w:p w:rsidR="00FE1283" w:rsidRDefault="007A3E5C">
            <w:pPr>
              <w:jc w:val="center"/>
            </w:pPr>
            <w:r>
              <w:rPr>
                <w:rFonts w:eastAsiaTheme="minorEastAsia"/>
                <w:color w:val="000000" w:themeColor="text1"/>
                <w:kern w:val="0"/>
                <w:szCs w:val="21"/>
              </w:rPr>
              <w:t>002050</w:t>
            </w:r>
          </w:p>
        </w:tc>
        <w:tc>
          <w:tcPr>
            <w:tcW w:w="1701" w:type="dxa"/>
            <w:vAlign w:val="center"/>
          </w:tcPr>
          <w:p w:rsidR="00FE1283" w:rsidRDefault="007A3E5C">
            <w:pPr>
              <w:jc w:val="center"/>
            </w:pPr>
            <w:r>
              <w:rPr>
                <w:rFonts w:eastAsiaTheme="minorEastAsia"/>
                <w:color w:val="000000" w:themeColor="text1"/>
                <w:kern w:val="0"/>
                <w:szCs w:val="21"/>
              </w:rPr>
              <w:t>三花智控</w:t>
            </w:r>
          </w:p>
        </w:tc>
        <w:tc>
          <w:tcPr>
            <w:tcW w:w="1276" w:type="dxa"/>
            <w:vAlign w:val="center"/>
          </w:tcPr>
          <w:p w:rsidR="00FE1283" w:rsidRDefault="007A3E5C">
            <w:pPr>
              <w:jc w:val="right"/>
            </w:pPr>
            <w:r>
              <w:rPr>
                <w:rFonts w:eastAsiaTheme="minorEastAsia"/>
                <w:color w:val="000000" w:themeColor="text1"/>
                <w:kern w:val="0"/>
                <w:szCs w:val="21"/>
              </w:rPr>
              <w:t>4,786,308</w:t>
            </w:r>
          </w:p>
        </w:tc>
        <w:tc>
          <w:tcPr>
            <w:tcW w:w="1842" w:type="dxa"/>
            <w:vAlign w:val="center"/>
          </w:tcPr>
          <w:p w:rsidR="00FE1283" w:rsidRDefault="007A3E5C">
            <w:pPr>
              <w:jc w:val="right"/>
            </w:pPr>
            <w:r>
              <w:rPr>
                <w:rFonts w:eastAsiaTheme="minorEastAsia"/>
                <w:color w:val="000000" w:themeColor="text1"/>
                <w:kern w:val="0"/>
                <w:szCs w:val="21"/>
              </w:rPr>
              <w:t>142,153,347.60</w:t>
            </w:r>
          </w:p>
        </w:tc>
        <w:tc>
          <w:tcPr>
            <w:tcW w:w="1616" w:type="dxa"/>
            <w:vAlign w:val="center"/>
          </w:tcPr>
          <w:p w:rsidR="00FE1283" w:rsidRDefault="007A3E5C">
            <w:pPr>
              <w:jc w:val="right"/>
            </w:pPr>
            <w:r>
              <w:rPr>
                <w:rFonts w:eastAsiaTheme="minorEastAsia"/>
                <w:color w:val="000000" w:themeColor="text1"/>
                <w:kern w:val="0"/>
                <w:szCs w:val="21"/>
              </w:rPr>
              <w:t>2.86</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w:t>
            </w:r>
            <w:r w:rsidRPr="0073597F">
              <w:rPr>
                <w:rFonts w:eastAsiaTheme="minorEastAsia"/>
                <w:color w:val="000000" w:themeColor="text1"/>
                <w:szCs w:val="21"/>
              </w:rPr>
              <w:lastRenderedPageBreak/>
              <w:t>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5,067,042.24</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5,067,042.24</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FE1283">
        <w:tc>
          <w:tcPr>
            <w:tcW w:w="1504" w:type="dxa"/>
            <w:vAlign w:val="center"/>
          </w:tcPr>
          <w:p w:rsidR="00FE1283" w:rsidRDefault="007A3E5C">
            <w:pPr>
              <w:jc w:val="center"/>
            </w:pPr>
            <w:r>
              <w:rPr>
                <w:rFonts w:eastAsiaTheme="minorEastAsia"/>
                <w:color w:val="000000" w:themeColor="text1"/>
                <w:szCs w:val="21"/>
              </w:rPr>
              <w:t>1</w:t>
            </w:r>
          </w:p>
        </w:tc>
        <w:tc>
          <w:tcPr>
            <w:tcW w:w="1504" w:type="dxa"/>
            <w:vAlign w:val="center"/>
          </w:tcPr>
          <w:p w:rsidR="00FE1283" w:rsidRDefault="007A3E5C">
            <w:pPr>
              <w:jc w:val="center"/>
            </w:pPr>
            <w:r>
              <w:rPr>
                <w:rFonts w:eastAsiaTheme="minorEastAsia"/>
                <w:color w:val="000000" w:themeColor="text1"/>
                <w:szCs w:val="21"/>
              </w:rPr>
              <w:t>113616</w:t>
            </w:r>
          </w:p>
        </w:tc>
        <w:tc>
          <w:tcPr>
            <w:tcW w:w="1504" w:type="dxa"/>
            <w:vAlign w:val="center"/>
          </w:tcPr>
          <w:p w:rsidR="00FE1283" w:rsidRDefault="007A3E5C">
            <w:pPr>
              <w:jc w:val="center"/>
            </w:pPr>
            <w:r>
              <w:rPr>
                <w:rFonts w:eastAsiaTheme="minorEastAsia"/>
                <w:color w:val="000000" w:themeColor="text1"/>
                <w:szCs w:val="21"/>
              </w:rPr>
              <w:t>韦尔转债</w:t>
            </w:r>
          </w:p>
        </w:tc>
        <w:tc>
          <w:tcPr>
            <w:tcW w:w="1503" w:type="dxa"/>
            <w:vAlign w:val="center"/>
          </w:tcPr>
          <w:p w:rsidR="00FE1283" w:rsidRDefault="007A3E5C">
            <w:pPr>
              <w:jc w:val="right"/>
            </w:pPr>
            <w:r>
              <w:rPr>
                <w:rFonts w:eastAsiaTheme="minorEastAsia"/>
                <w:color w:val="000000" w:themeColor="text1"/>
                <w:szCs w:val="21"/>
              </w:rPr>
              <w:t>26,310</w:t>
            </w:r>
          </w:p>
        </w:tc>
        <w:tc>
          <w:tcPr>
            <w:tcW w:w="1503" w:type="dxa"/>
            <w:vAlign w:val="center"/>
          </w:tcPr>
          <w:p w:rsidR="00FE1283" w:rsidRDefault="007A3E5C">
            <w:pPr>
              <w:jc w:val="right"/>
            </w:pPr>
            <w:r>
              <w:rPr>
                <w:rFonts w:eastAsiaTheme="minorEastAsia"/>
                <w:color w:val="000000" w:themeColor="text1"/>
                <w:szCs w:val="21"/>
              </w:rPr>
              <w:t>2,973,931.75</w:t>
            </w:r>
          </w:p>
        </w:tc>
        <w:tc>
          <w:tcPr>
            <w:tcW w:w="1503" w:type="dxa"/>
            <w:vAlign w:val="center"/>
          </w:tcPr>
          <w:p w:rsidR="00FE1283" w:rsidRDefault="007A3E5C">
            <w:pPr>
              <w:jc w:val="right"/>
            </w:pPr>
            <w:r>
              <w:rPr>
                <w:rFonts w:eastAsiaTheme="minorEastAsia"/>
                <w:color w:val="000000" w:themeColor="text1"/>
                <w:szCs w:val="21"/>
              </w:rPr>
              <w:t>0.06</w:t>
            </w:r>
          </w:p>
        </w:tc>
      </w:tr>
      <w:tr w:rsidR="00FE1283">
        <w:tc>
          <w:tcPr>
            <w:tcW w:w="1504" w:type="dxa"/>
            <w:vAlign w:val="center"/>
          </w:tcPr>
          <w:p w:rsidR="00FE1283" w:rsidRDefault="007A3E5C">
            <w:pPr>
              <w:jc w:val="center"/>
            </w:pPr>
            <w:r>
              <w:rPr>
                <w:rFonts w:eastAsiaTheme="minorEastAsia"/>
                <w:color w:val="000000" w:themeColor="text1"/>
                <w:szCs w:val="21"/>
              </w:rPr>
              <w:t>2</w:t>
            </w:r>
          </w:p>
        </w:tc>
        <w:tc>
          <w:tcPr>
            <w:tcW w:w="1504" w:type="dxa"/>
            <w:vAlign w:val="center"/>
          </w:tcPr>
          <w:p w:rsidR="00FE1283" w:rsidRDefault="007A3E5C">
            <w:pPr>
              <w:jc w:val="center"/>
            </w:pPr>
            <w:r>
              <w:rPr>
                <w:rFonts w:eastAsiaTheme="minorEastAsia"/>
                <w:color w:val="000000" w:themeColor="text1"/>
                <w:szCs w:val="21"/>
              </w:rPr>
              <w:t>118005</w:t>
            </w:r>
          </w:p>
        </w:tc>
        <w:tc>
          <w:tcPr>
            <w:tcW w:w="1504" w:type="dxa"/>
            <w:vAlign w:val="center"/>
          </w:tcPr>
          <w:p w:rsidR="00FE1283" w:rsidRDefault="007A3E5C">
            <w:pPr>
              <w:jc w:val="center"/>
            </w:pPr>
            <w:r>
              <w:rPr>
                <w:rFonts w:eastAsiaTheme="minorEastAsia"/>
                <w:color w:val="000000" w:themeColor="text1"/>
                <w:szCs w:val="21"/>
              </w:rPr>
              <w:t>天奈转债</w:t>
            </w:r>
          </w:p>
        </w:tc>
        <w:tc>
          <w:tcPr>
            <w:tcW w:w="1503" w:type="dxa"/>
            <w:vAlign w:val="center"/>
          </w:tcPr>
          <w:p w:rsidR="00FE1283" w:rsidRDefault="007A3E5C">
            <w:pPr>
              <w:jc w:val="right"/>
            </w:pPr>
            <w:r>
              <w:rPr>
                <w:rFonts w:eastAsiaTheme="minorEastAsia"/>
                <w:color w:val="000000" w:themeColor="text1"/>
                <w:szCs w:val="21"/>
              </w:rPr>
              <w:t>18,280</w:t>
            </w:r>
          </w:p>
        </w:tc>
        <w:tc>
          <w:tcPr>
            <w:tcW w:w="1503" w:type="dxa"/>
            <w:vAlign w:val="center"/>
          </w:tcPr>
          <w:p w:rsidR="00FE1283" w:rsidRDefault="007A3E5C">
            <w:pPr>
              <w:jc w:val="right"/>
            </w:pPr>
            <w:r>
              <w:rPr>
                <w:rFonts w:eastAsiaTheme="minorEastAsia"/>
                <w:color w:val="000000" w:themeColor="text1"/>
                <w:szCs w:val="21"/>
              </w:rPr>
              <w:t>1,885,046.12</w:t>
            </w:r>
          </w:p>
        </w:tc>
        <w:tc>
          <w:tcPr>
            <w:tcW w:w="1503" w:type="dxa"/>
            <w:vAlign w:val="center"/>
          </w:tcPr>
          <w:p w:rsidR="00FE1283" w:rsidRDefault="007A3E5C">
            <w:pPr>
              <w:jc w:val="right"/>
            </w:pPr>
            <w:r>
              <w:rPr>
                <w:rFonts w:eastAsiaTheme="minorEastAsia"/>
                <w:color w:val="000000" w:themeColor="text1"/>
                <w:szCs w:val="21"/>
              </w:rPr>
              <w:t>0.04</w:t>
            </w:r>
          </w:p>
        </w:tc>
      </w:tr>
      <w:tr w:rsidR="00FE1283">
        <w:tc>
          <w:tcPr>
            <w:tcW w:w="1504" w:type="dxa"/>
            <w:vAlign w:val="center"/>
          </w:tcPr>
          <w:p w:rsidR="00FE1283" w:rsidRDefault="007A3E5C">
            <w:pPr>
              <w:jc w:val="center"/>
            </w:pPr>
            <w:r>
              <w:rPr>
                <w:rFonts w:eastAsiaTheme="minorEastAsia"/>
                <w:color w:val="000000" w:themeColor="text1"/>
                <w:szCs w:val="21"/>
              </w:rPr>
              <w:t>3</w:t>
            </w:r>
          </w:p>
        </w:tc>
        <w:tc>
          <w:tcPr>
            <w:tcW w:w="1504" w:type="dxa"/>
            <w:vAlign w:val="center"/>
          </w:tcPr>
          <w:p w:rsidR="00FE1283" w:rsidRDefault="007A3E5C">
            <w:pPr>
              <w:jc w:val="center"/>
            </w:pPr>
            <w:r>
              <w:rPr>
                <w:rFonts w:eastAsiaTheme="minorEastAsia"/>
                <w:color w:val="000000" w:themeColor="text1"/>
                <w:szCs w:val="21"/>
              </w:rPr>
              <w:t>127089</w:t>
            </w:r>
          </w:p>
        </w:tc>
        <w:tc>
          <w:tcPr>
            <w:tcW w:w="1504" w:type="dxa"/>
            <w:vAlign w:val="center"/>
          </w:tcPr>
          <w:p w:rsidR="00FE1283" w:rsidRDefault="007A3E5C">
            <w:pPr>
              <w:jc w:val="center"/>
            </w:pPr>
            <w:r>
              <w:rPr>
                <w:rFonts w:eastAsiaTheme="minorEastAsia"/>
                <w:color w:val="000000" w:themeColor="text1"/>
                <w:szCs w:val="21"/>
              </w:rPr>
              <w:t>晶澳转债</w:t>
            </w:r>
          </w:p>
        </w:tc>
        <w:tc>
          <w:tcPr>
            <w:tcW w:w="1503" w:type="dxa"/>
            <w:vAlign w:val="center"/>
          </w:tcPr>
          <w:p w:rsidR="00FE1283" w:rsidRDefault="007A3E5C">
            <w:pPr>
              <w:jc w:val="right"/>
            </w:pPr>
            <w:r>
              <w:rPr>
                <w:rFonts w:eastAsiaTheme="minorEastAsia"/>
                <w:color w:val="000000" w:themeColor="text1"/>
                <w:szCs w:val="21"/>
              </w:rPr>
              <w:t>1,866</w:t>
            </w:r>
          </w:p>
        </w:tc>
        <w:tc>
          <w:tcPr>
            <w:tcW w:w="1503" w:type="dxa"/>
            <w:vAlign w:val="center"/>
          </w:tcPr>
          <w:p w:rsidR="00FE1283" w:rsidRDefault="007A3E5C">
            <w:pPr>
              <w:jc w:val="right"/>
            </w:pPr>
            <w:r>
              <w:rPr>
                <w:rFonts w:eastAsiaTheme="minorEastAsia"/>
                <w:color w:val="000000" w:themeColor="text1"/>
                <w:szCs w:val="21"/>
              </w:rPr>
              <w:t>208,064.37</w:t>
            </w:r>
          </w:p>
        </w:tc>
        <w:tc>
          <w:tcPr>
            <w:tcW w:w="1503" w:type="dxa"/>
            <w:vAlign w:val="center"/>
          </w:tcPr>
          <w:p w:rsidR="00FE1283" w:rsidRDefault="007A3E5C">
            <w:pPr>
              <w:jc w:val="right"/>
            </w:pPr>
            <w:r>
              <w:rPr>
                <w:rFonts w:eastAsiaTheme="minorEastAsia"/>
                <w:color w:val="000000" w:themeColor="text1"/>
                <w:szCs w:val="21"/>
              </w:rPr>
              <w:t>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lastRenderedPageBreak/>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1,214,770.35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25,406,742.12</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2,252,461.40</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28,873,973.87</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FE1283">
        <w:tc>
          <w:tcPr>
            <w:tcW w:w="1181" w:type="dxa"/>
            <w:vAlign w:val="center"/>
          </w:tcPr>
          <w:p w:rsidR="00FE1283" w:rsidRDefault="007A3E5C">
            <w:pPr>
              <w:jc w:val="center"/>
            </w:pPr>
            <w:r>
              <w:rPr>
                <w:rFonts w:eastAsiaTheme="minorEastAsia"/>
                <w:color w:val="000000" w:themeColor="text1"/>
                <w:szCs w:val="21"/>
              </w:rPr>
              <w:t>1</w:t>
            </w:r>
          </w:p>
        </w:tc>
        <w:tc>
          <w:tcPr>
            <w:tcW w:w="2497" w:type="dxa"/>
            <w:vAlign w:val="center"/>
          </w:tcPr>
          <w:p w:rsidR="00FE1283" w:rsidRDefault="007A3E5C">
            <w:pPr>
              <w:jc w:val="center"/>
            </w:pPr>
            <w:r>
              <w:rPr>
                <w:rFonts w:eastAsiaTheme="minorEastAsia"/>
                <w:color w:val="000000" w:themeColor="text1"/>
                <w:szCs w:val="21"/>
              </w:rPr>
              <w:t>113616</w:t>
            </w:r>
          </w:p>
        </w:tc>
        <w:tc>
          <w:tcPr>
            <w:tcW w:w="1746" w:type="dxa"/>
            <w:vAlign w:val="center"/>
          </w:tcPr>
          <w:p w:rsidR="00FE1283" w:rsidRDefault="007A3E5C">
            <w:pPr>
              <w:jc w:val="center"/>
            </w:pPr>
            <w:r>
              <w:rPr>
                <w:rFonts w:eastAsiaTheme="minorEastAsia"/>
                <w:color w:val="000000" w:themeColor="text1"/>
                <w:szCs w:val="21"/>
              </w:rPr>
              <w:t>韦尔转债</w:t>
            </w:r>
          </w:p>
        </w:tc>
        <w:tc>
          <w:tcPr>
            <w:tcW w:w="1825" w:type="dxa"/>
            <w:vAlign w:val="center"/>
          </w:tcPr>
          <w:p w:rsidR="00FE1283" w:rsidRDefault="007A3E5C">
            <w:pPr>
              <w:jc w:val="right"/>
            </w:pPr>
            <w:r>
              <w:rPr>
                <w:rFonts w:eastAsiaTheme="minorEastAsia"/>
                <w:color w:val="000000" w:themeColor="text1"/>
                <w:szCs w:val="21"/>
              </w:rPr>
              <w:t>2,973,931.75</w:t>
            </w:r>
          </w:p>
        </w:tc>
        <w:tc>
          <w:tcPr>
            <w:tcW w:w="1679" w:type="dxa"/>
            <w:vAlign w:val="center"/>
          </w:tcPr>
          <w:p w:rsidR="00FE1283" w:rsidRDefault="007A3E5C">
            <w:pPr>
              <w:jc w:val="right"/>
            </w:pPr>
            <w:r>
              <w:rPr>
                <w:rFonts w:eastAsiaTheme="minorEastAsia"/>
                <w:color w:val="000000" w:themeColor="text1"/>
                <w:szCs w:val="21"/>
              </w:rPr>
              <w:t>0.06</w:t>
            </w:r>
          </w:p>
        </w:tc>
      </w:tr>
      <w:tr w:rsidR="00FE1283">
        <w:tc>
          <w:tcPr>
            <w:tcW w:w="1181" w:type="dxa"/>
            <w:vAlign w:val="center"/>
          </w:tcPr>
          <w:p w:rsidR="00FE1283" w:rsidRDefault="007A3E5C">
            <w:pPr>
              <w:jc w:val="center"/>
            </w:pPr>
            <w:r>
              <w:rPr>
                <w:rFonts w:eastAsiaTheme="minorEastAsia"/>
                <w:color w:val="000000" w:themeColor="text1"/>
                <w:szCs w:val="21"/>
              </w:rPr>
              <w:t>2</w:t>
            </w:r>
          </w:p>
        </w:tc>
        <w:tc>
          <w:tcPr>
            <w:tcW w:w="2497" w:type="dxa"/>
            <w:vAlign w:val="center"/>
          </w:tcPr>
          <w:p w:rsidR="00FE1283" w:rsidRDefault="007A3E5C">
            <w:pPr>
              <w:jc w:val="center"/>
            </w:pPr>
            <w:r>
              <w:rPr>
                <w:rFonts w:eastAsiaTheme="minorEastAsia"/>
                <w:color w:val="000000" w:themeColor="text1"/>
                <w:szCs w:val="21"/>
              </w:rPr>
              <w:t>118005</w:t>
            </w:r>
          </w:p>
        </w:tc>
        <w:tc>
          <w:tcPr>
            <w:tcW w:w="1746" w:type="dxa"/>
            <w:vAlign w:val="center"/>
          </w:tcPr>
          <w:p w:rsidR="00FE1283" w:rsidRDefault="007A3E5C">
            <w:pPr>
              <w:jc w:val="center"/>
            </w:pPr>
            <w:r>
              <w:rPr>
                <w:rFonts w:eastAsiaTheme="minorEastAsia"/>
                <w:color w:val="000000" w:themeColor="text1"/>
                <w:szCs w:val="21"/>
              </w:rPr>
              <w:t>天奈转债</w:t>
            </w:r>
          </w:p>
        </w:tc>
        <w:tc>
          <w:tcPr>
            <w:tcW w:w="1825" w:type="dxa"/>
            <w:vAlign w:val="center"/>
          </w:tcPr>
          <w:p w:rsidR="00FE1283" w:rsidRDefault="007A3E5C">
            <w:pPr>
              <w:jc w:val="right"/>
            </w:pPr>
            <w:r>
              <w:rPr>
                <w:rFonts w:eastAsiaTheme="minorEastAsia"/>
                <w:color w:val="000000" w:themeColor="text1"/>
                <w:szCs w:val="21"/>
              </w:rPr>
              <w:t>1,885,046.12</w:t>
            </w:r>
          </w:p>
        </w:tc>
        <w:tc>
          <w:tcPr>
            <w:tcW w:w="1679" w:type="dxa"/>
            <w:vAlign w:val="center"/>
          </w:tcPr>
          <w:p w:rsidR="00FE1283" w:rsidRDefault="007A3E5C">
            <w:pPr>
              <w:jc w:val="right"/>
            </w:pPr>
            <w:r>
              <w:rPr>
                <w:rFonts w:eastAsiaTheme="minorEastAsia"/>
                <w:color w:val="000000" w:themeColor="text1"/>
                <w:szCs w:val="21"/>
              </w:rPr>
              <w:t>0.04</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lastRenderedPageBreak/>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920,171,278.46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29,093,081.64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47,563,941.75</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113,504,663.40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1,265,826.50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14,981,723.09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41,750,646.15</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1,905,827.39</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10,843,814.15</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991,925,295.71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28,453,080.75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51,701,850.69</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1,914,180.60</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1,914,180.60</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lastRenderedPageBreak/>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0.18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r>
      <w:bookmarkEnd w:id="3"/>
    </w:tbl>
    <w:p w:rsidR="00085C36" w:rsidRDefault="00085C36" w:rsidP="00085C36">
      <w:pPr>
        <w:spacing w:line="360" w:lineRule="auto"/>
        <w:jc w:val="left"/>
        <w:rPr>
          <w:b/>
          <w:color w:val="000000" w:themeColor="text1"/>
          <w:szCs w:val="21"/>
        </w:rPr>
      </w:pPr>
    </w:p>
    <w:p w:rsidR="00085C36" w:rsidRDefault="00085C36" w:rsidP="00085C36">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085C36" w:rsidRDefault="00085C36" w:rsidP="00085C36">
      <w:pPr>
        <w:spacing w:line="360" w:lineRule="auto"/>
        <w:jc w:val="left"/>
        <w:rPr>
          <w:color w:val="000000" w:themeColor="text1"/>
          <w:szCs w:val="21"/>
        </w:rPr>
      </w:pPr>
      <w:r>
        <w:rPr>
          <w:rFonts w:hint="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摩根新兴动力混合型证券投资基金基金合同</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FE1283" w:rsidRDefault="007A3E5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二〇二三年十月二十五日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4E" w:rsidRDefault="007C134E">
      <w:r>
        <w:separator/>
      </w:r>
    </w:p>
  </w:endnote>
  <w:endnote w:type="continuationSeparator" w:id="0">
    <w:p w:rsidR="007C134E" w:rsidRDefault="007C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F7CE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F7CE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F7CE3">
      <w:rPr>
        <w:rStyle w:val="af6"/>
        <w:noProof/>
      </w:rPr>
      <w:t>16</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4E" w:rsidRDefault="007C134E">
      <w:r>
        <w:separator/>
      </w:r>
    </w:p>
  </w:footnote>
  <w:footnote w:type="continuationSeparator" w:id="0">
    <w:p w:rsidR="007C134E" w:rsidRDefault="007C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摩根新兴动力混合型证券投资基金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5C36"/>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3E5C"/>
    <w:rsid w:val="007A4409"/>
    <w:rsid w:val="007A4F37"/>
    <w:rsid w:val="007A5241"/>
    <w:rsid w:val="007A59B8"/>
    <w:rsid w:val="007B06C7"/>
    <w:rsid w:val="007B3D06"/>
    <w:rsid w:val="007B42F5"/>
    <w:rsid w:val="007B5157"/>
    <w:rsid w:val="007B5CD8"/>
    <w:rsid w:val="007C1122"/>
    <w:rsid w:val="007C134E"/>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BF7CE3"/>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283"/>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8841">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DAE1F-F5B1-4E6C-8079-8DEBA2B5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183</TotalTime>
  <Pages>16</Pages>
  <Words>1443</Words>
  <Characters>8227</Characters>
  <Application>Microsoft Office Word</Application>
  <DocSecurity>0</DocSecurity>
  <Lines>68</Lines>
  <Paragraphs>19</Paragraphs>
  <ScaleCrop>false</ScaleCrop>
  <Company>TRT. Ltd. Co.</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238</cp:revision>
  <cp:lastPrinted>2007-07-19T00:46:00Z</cp:lastPrinted>
  <dcterms:created xsi:type="dcterms:W3CDTF">2013-06-21T06:56:00Z</dcterms:created>
  <dcterms:modified xsi:type="dcterms:W3CDTF">2023-10-24T07:45:00Z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