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bookmarkStart w:id="0" w:name="_GoBack"/>
      <w:bookmarkEnd w:id="0"/>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211,195,274.77</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本基金重点投资于强势行业中获益程度最高且具有核心竞争优势的上市公司。</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B37A73" w:rsidRDefault="00590A1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182,656,451.73</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28,087,544.96</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451,278.08</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-36,164,741.20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-5,754,412.49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-90,451.07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7,492,315.11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807,729.73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25,993.54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0.0399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0.0271</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0.0599</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390,142,723.35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60,340,646.24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1,016,922.34</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2.1359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2.1483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2.2534</w:t>
            </w:r>
          </w:p>
        </w:tc>
      </w:tr>
    </w:tbl>
    <w:p w:rsidR="00B37A73" w:rsidRDefault="00590A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37A73">
        <w:tc>
          <w:tcPr>
            <w:tcW w:w="1290" w:type="dxa"/>
            <w:vAlign w:val="center"/>
          </w:tcPr>
          <w:p w:rsidR="00B37A73" w:rsidRDefault="00590A19">
            <w:pPr>
              <w:jc w:val="left"/>
            </w:pPr>
            <w:r>
              <w:rPr>
                <w:rFonts w:eastAsiaTheme="minorEastAsia"/>
                <w:color w:val="000000" w:themeColor="text1"/>
                <w:szCs w:val="21"/>
              </w:rPr>
              <w:t>过去三个月</w:t>
            </w:r>
          </w:p>
        </w:tc>
        <w:tc>
          <w:tcPr>
            <w:tcW w:w="1291" w:type="dxa"/>
            <w:vAlign w:val="center"/>
          </w:tcPr>
          <w:p w:rsidR="00B37A73" w:rsidRDefault="00590A19">
            <w:pPr>
              <w:jc w:val="right"/>
            </w:pPr>
            <w:r>
              <w:rPr>
                <w:rFonts w:eastAsiaTheme="minorEastAsia"/>
                <w:color w:val="000000" w:themeColor="text1"/>
                <w:szCs w:val="21"/>
              </w:rPr>
              <w:t>2.54%</w:t>
            </w:r>
          </w:p>
        </w:tc>
        <w:tc>
          <w:tcPr>
            <w:tcW w:w="1291" w:type="dxa"/>
            <w:vAlign w:val="center"/>
          </w:tcPr>
          <w:p w:rsidR="00B37A73" w:rsidRDefault="00590A19">
            <w:pPr>
              <w:jc w:val="right"/>
            </w:pPr>
            <w:r>
              <w:rPr>
                <w:rFonts w:eastAsiaTheme="minorEastAsia"/>
                <w:color w:val="000000" w:themeColor="text1"/>
                <w:szCs w:val="21"/>
              </w:rPr>
              <w:t>1.80%</w:t>
            </w:r>
          </w:p>
        </w:tc>
        <w:tc>
          <w:tcPr>
            <w:tcW w:w="1291" w:type="dxa"/>
            <w:vAlign w:val="center"/>
          </w:tcPr>
          <w:p w:rsidR="00B37A73" w:rsidRDefault="00590A19">
            <w:pPr>
              <w:jc w:val="right"/>
            </w:pPr>
            <w:r>
              <w:rPr>
                <w:rFonts w:eastAsiaTheme="minorEastAsia"/>
                <w:color w:val="000000" w:themeColor="text1"/>
                <w:szCs w:val="21"/>
              </w:rPr>
              <w:t>13.12%</w:t>
            </w:r>
          </w:p>
        </w:tc>
        <w:tc>
          <w:tcPr>
            <w:tcW w:w="1291" w:type="dxa"/>
            <w:vAlign w:val="center"/>
          </w:tcPr>
          <w:p w:rsidR="00B37A73" w:rsidRDefault="00590A19">
            <w:pPr>
              <w:jc w:val="right"/>
            </w:pPr>
            <w:r>
              <w:rPr>
                <w:rFonts w:eastAsiaTheme="minorEastAsia"/>
                <w:color w:val="000000" w:themeColor="text1"/>
                <w:szCs w:val="21"/>
              </w:rPr>
              <w:t>1.26%</w:t>
            </w:r>
          </w:p>
        </w:tc>
        <w:tc>
          <w:tcPr>
            <w:tcW w:w="1291" w:type="dxa"/>
            <w:vAlign w:val="center"/>
          </w:tcPr>
          <w:p w:rsidR="00B37A73" w:rsidRDefault="00590A19">
            <w:pPr>
              <w:jc w:val="right"/>
            </w:pPr>
            <w:r>
              <w:rPr>
                <w:rFonts w:eastAsiaTheme="minorEastAsia"/>
                <w:color w:val="000000" w:themeColor="text1"/>
                <w:szCs w:val="21"/>
              </w:rPr>
              <w:t>-10.58%</w:t>
            </w:r>
          </w:p>
        </w:tc>
        <w:tc>
          <w:tcPr>
            <w:tcW w:w="1291" w:type="dxa"/>
            <w:vAlign w:val="center"/>
          </w:tcPr>
          <w:p w:rsidR="00B37A73" w:rsidRDefault="00590A19">
            <w:pPr>
              <w:jc w:val="right"/>
            </w:pPr>
            <w:r>
              <w:rPr>
                <w:rFonts w:eastAsiaTheme="minorEastAsia"/>
                <w:color w:val="000000" w:themeColor="text1"/>
                <w:szCs w:val="21"/>
              </w:rPr>
              <w:t>0.54%</w:t>
            </w:r>
          </w:p>
        </w:tc>
      </w:tr>
      <w:tr w:rsidR="00B37A73">
        <w:tc>
          <w:tcPr>
            <w:tcW w:w="1290" w:type="dxa"/>
            <w:vAlign w:val="center"/>
          </w:tcPr>
          <w:p w:rsidR="00B37A73" w:rsidRDefault="00590A19">
            <w:pPr>
              <w:jc w:val="left"/>
            </w:pPr>
            <w:r>
              <w:rPr>
                <w:rFonts w:eastAsiaTheme="minorEastAsia"/>
                <w:color w:val="000000" w:themeColor="text1"/>
                <w:szCs w:val="21"/>
              </w:rPr>
              <w:t>过去六个月</w:t>
            </w:r>
          </w:p>
        </w:tc>
        <w:tc>
          <w:tcPr>
            <w:tcW w:w="1291" w:type="dxa"/>
            <w:vAlign w:val="center"/>
          </w:tcPr>
          <w:p w:rsidR="00B37A73" w:rsidRDefault="00590A19">
            <w:pPr>
              <w:jc w:val="right"/>
            </w:pPr>
            <w:r>
              <w:rPr>
                <w:rFonts w:eastAsiaTheme="minorEastAsia"/>
                <w:color w:val="000000" w:themeColor="text1"/>
                <w:szCs w:val="21"/>
              </w:rPr>
              <w:t>-4.57%</w:t>
            </w:r>
          </w:p>
        </w:tc>
        <w:tc>
          <w:tcPr>
            <w:tcW w:w="1291" w:type="dxa"/>
            <w:vAlign w:val="center"/>
          </w:tcPr>
          <w:p w:rsidR="00B37A73" w:rsidRDefault="00590A19">
            <w:pPr>
              <w:jc w:val="right"/>
            </w:pPr>
            <w:r>
              <w:rPr>
                <w:rFonts w:eastAsiaTheme="minorEastAsia"/>
                <w:color w:val="000000" w:themeColor="text1"/>
                <w:szCs w:val="21"/>
              </w:rPr>
              <w:t>1.48%</w:t>
            </w:r>
          </w:p>
        </w:tc>
        <w:tc>
          <w:tcPr>
            <w:tcW w:w="1291" w:type="dxa"/>
            <w:vAlign w:val="center"/>
          </w:tcPr>
          <w:p w:rsidR="00B37A73" w:rsidRDefault="00590A19">
            <w:pPr>
              <w:jc w:val="right"/>
            </w:pPr>
            <w:r>
              <w:rPr>
                <w:rFonts w:eastAsiaTheme="minorEastAsia"/>
                <w:color w:val="000000" w:themeColor="text1"/>
                <w:szCs w:val="21"/>
              </w:rPr>
              <w:t>11.52%</w:t>
            </w:r>
          </w:p>
        </w:tc>
        <w:tc>
          <w:tcPr>
            <w:tcW w:w="1291" w:type="dxa"/>
            <w:vAlign w:val="center"/>
          </w:tcPr>
          <w:p w:rsidR="00B37A73" w:rsidRDefault="00590A19">
            <w:pPr>
              <w:jc w:val="right"/>
            </w:pPr>
            <w:r>
              <w:rPr>
                <w:rFonts w:eastAsiaTheme="minorEastAsia"/>
                <w:color w:val="000000" w:themeColor="text1"/>
                <w:szCs w:val="21"/>
              </w:rPr>
              <w:t>1.00%</w:t>
            </w:r>
          </w:p>
        </w:tc>
        <w:tc>
          <w:tcPr>
            <w:tcW w:w="1291" w:type="dxa"/>
            <w:vAlign w:val="center"/>
          </w:tcPr>
          <w:p w:rsidR="00B37A73" w:rsidRDefault="00590A19">
            <w:pPr>
              <w:jc w:val="right"/>
            </w:pPr>
            <w:r>
              <w:rPr>
                <w:rFonts w:eastAsiaTheme="minorEastAsia"/>
                <w:color w:val="000000" w:themeColor="text1"/>
                <w:szCs w:val="21"/>
              </w:rPr>
              <w:t>-16.09%</w:t>
            </w:r>
          </w:p>
        </w:tc>
        <w:tc>
          <w:tcPr>
            <w:tcW w:w="1291" w:type="dxa"/>
            <w:vAlign w:val="center"/>
          </w:tcPr>
          <w:p w:rsidR="00B37A73" w:rsidRDefault="00590A19">
            <w:pPr>
              <w:jc w:val="right"/>
            </w:pPr>
            <w:r>
              <w:rPr>
                <w:rFonts w:eastAsiaTheme="minorEastAsia"/>
                <w:color w:val="000000" w:themeColor="text1"/>
                <w:szCs w:val="21"/>
              </w:rPr>
              <w:t>0.48%</w:t>
            </w:r>
          </w:p>
        </w:tc>
      </w:tr>
      <w:tr w:rsidR="00B37A73">
        <w:tc>
          <w:tcPr>
            <w:tcW w:w="1290" w:type="dxa"/>
            <w:vAlign w:val="center"/>
          </w:tcPr>
          <w:p w:rsidR="00B37A73" w:rsidRDefault="00590A19">
            <w:pPr>
              <w:jc w:val="left"/>
            </w:pPr>
            <w:r>
              <w:rPr>
                <w:rFonts w:eastAsiaTheme="minorEastAsia"/>
                <w:color w:val="000000" w:themeColor="text1"/>
                <w:szCs w:val="21"/>
              </w:rPr>
              <w:t>过去一年</w:t>
            </w:r>
          </w:p>
        </w:tc>
        <w:tc>
          <w:tcPr>
            <w:tcW w:w="1291" w:type="dxa"/>
            <w:vAlign w:val="center"/>
          </w:tcPr>
          <w:p w:rsidR="00B37A73" w:rsidRDefault="00590A19">
            <w:pPr>
              <w:jc w:val="right"/>
            </w:pPr>
            <w:r>
              <w:rPr>
                <w:rFonts w:eastAsiaTheme="minorEastAsia"/>
                <w:color w:val="000000" w:themeColor="text1"/>
                <w:szCs w:val="21"/>
              </w:rPr>
              <w:t>-2.50%</w:t>
            </w:r>
          </w:p>
        </w:tc>
        <w:tc>
          <w:tcPr>
            <w:tcW w:w="1291" w:type="dxa"/>
            <w:vAlign w:val="center"/>
          </w:tcPr>
          <w:p w:rsidR="00B37A73" w:rsidRDefault="00590A19">
            <w:pPr>
              <w:jc w:val="right"/>
            </w:pPr>
            <w:r>
              <w:rPr>
                <w:rFonts w:eastAsiaTheme="minorEastAsia"/>
                <w:color w:val="000000" w:themeColor="text1"/>
                <w:szCs w:val="21"/>
              </w:rPr>
              <w:t>1.38%</w:t>
            </w:r>
          </w:p>
        </w:tc>
        <w:tc>
          <w:tcPr>
            <w:tcW w:w="1291" w:type="dxa"/>
            <w:vAlign w:val="center"/>
          </w:tcPr>
          <w:p w:rsidR="00B37A73" w:rsidRDefault="00590A19">
            <w:pPr>
              <w:jc w:val="right"/>
            </w:pPr>
            <w:r>
              <w:rPr>
                <w:rFonts w:eastAsiaTheme="minorEastAsia"/>
                <w:color w:val="000000" w:themeColor="text1"/>
                <w:szCs w:val="21"/>
              </w:rPr>
              <w:t>8.34%</w:t>
            </w:r>
          </w:p>
        </w:tc>
        <w:tc>
          <w:tcPr>
            <w:tcW w:w="1291" w:type="dxa"/>
            <w:vAlign w:val="center"/>
          </w:tcPr>
          <w:p w:rsidR="00B37A73" w:rsidRDefault="00590A19">
            <w:pPr>
              <w:jc w:val="right"/>
            </w:pPr>
            <w:r>
              <w:rPr>
                <w:rFonts w:eastAsiaTheme="minorEastAsia"/>
                <w:color w:val="000000" w:themeColor="text1"/>
                <w:szCs w:val="21"/>
              </w:rPr>
              <w:t>0.88%</w:t>
            </w:r>
          </w:p>
        </w:tc>
        <w:tc>
          <w:tcPr>
            <w:tcW w:w="1291" w:type="dxa"/>
            <w:vAlign w:val="center"/>
          </w:tcPr>
          <w:p w:rsidR="00B37A73" w:rsidRDefault="00590A19">
            <w:pPr>
              <w:jc w:val="right"/>
            </w:pPr>
            <w:r>
              <w:rPr>
                <w:rFonts w:eastAsiaTheme="minorEastAsia"/>
                <w:color w:val="000000" w:themeColor="text1"/>
                <w:szCs w:val="21"/>
              </w:rPr>
              <w:t>-10.84%</w:t>
            </w:r>
          </w:p>
        </w:tc>
        <w:tc>
          <w:tcPr>
            <w:tcW w:w="1291" w:type="dxa"/>
            <w:vAlign w:val="center"/>
          </w:tcPr>
          <w:p w:rsidR="00B37A73" w:rsidRDefault="00590A19">
            <w:pPr>
              <w:jc w:val="right"/>
            </w:pPr>
            <w:r>
              <w:rPr>
                <w:rFonts w:eastAsiaTheme="minorEastAsia"/>
                <w:color w:val="000000" w:themeColor="text1"/>
                <w:szCs w:val="21"/>
              </w:rPr>
              <w:t>0.50%</w:t>
            </w:r>
          </w:p>
        </w:tc>
      </w:tr>
      <w:tr w:rsidR="00B37A73">
        <w:tc>
          <w:tcPr>
            <w:tcW w:w="1290" w:type="dxa"/>
            <w:vAlign w:val="center"/>
          </w:tcPr>
          <w:p w:rsidR="00B37A73" w:rsidRDefault="00590A19">
            <w:pPr>
              <w:jc w:val="left"/>
            </w:pPr>
            <w:r>
              <w:rPr>
                <w:rFonts w:eastAsiaTheme="minorEastAsia"/>
                <w:color w:val="000000" w:themeColor="text1"/>
                <w:szCs w:val="21"/>
              </w:rPr>
              <w:t>过去三年</w:t>
            </w:r>
          </w:p>
        </w:tc>
        <w:tc>
          <w:tcPr>
            <w:tcW w:w="1291" w:type="dxa"/>
            <w:vAlign w:val="center"/>
          </w:tcPr>
          <w:p w:rsidR="00B37A73" w:rsidRDefault="00590A19">
            <w:pPr>
              <w:jc w:val="right"/>
            </w:pPr>
            <w:r>
              <w:rPr>
                <w:rFonts w:eastAsiaTheme="minorEastAsia"/>
                <w:color w:val="000000" w:themeColor="text1"/>
                <w:szCs w:val="21"/>
              </w:rPr>
              <w:t>-52.47%</w:t>
            </w:r>
          </w:p>
        </w:tc>
        <w:tc>
          <w:tcPr>
            <w:tcW w:w="1291" w:type="dxa"/>
            <w:vAlign w:val="center"/>
          </w:tcPr>
          <w:p w:rsidR="00B37A73" w:rsidRDefault="00590A19">
            <w:pPr>
              <w:jc w:val="right"/>
            </w:pPr>
            <w:r>
              <w:rPr>
                <w:rFonts w:eastAsiaTheme="minorEastAsia"/>
                <w:color w:val="000000" w:themeColor="text1"/>
                <w:szCs w:val="21"/>
              </w:rPr>
              <w:t>1.42%</w:t>
            </w:r>
          </w:p>
        </w:tc>
        <w:tc>
          <w:tcPr>
            <w:tcW w:w="1291" w:type="dxa"/>
            <w:vAlign w:val="center"/>
          </w:tcPr>
          <w:p w:rsidR="00B37A73" w:rsidRDefault="00590A19">
            <w:pPr>
              <w:jc w:val="right"/>
            </w:pPr>
            <w:r>
              <w:rPr>
                <w:rFonts w:eastAsiaTheme="minorEastAsia"/>
                <w:color w:val="000000" w:themeColor="text1"/>
                <w:szCs w:val="21"/>
              </w:rPr>
              <w:t>-11.07%</w:t>
            </w:r>
          </w:p>
        </w:tc>
        <w:tc>
          <w:tcPr>
            <w:tcW w:w="1291" w:type="dxa"/>
            <w:vAlign w:val="center"/>
          </w:tcPr>
          <w:p w:rsidR="00B37A73" w:rsidRDefault="00590A19">
            <w:pPr>
              <w:jc w:val="right"/>
            </w:pPr>
            <w:r>
              <w:rPr>
                <w:rFonts w:eastAsiaTheme="minorEastAsia"/>
                <w:color w:val="000000" w:themeColor="text1"/>
                <w:szCs w:val="21"/>
              </w:rPr>
              <w:t>0.87%</w:t>
            </w:r>
          </w:p>
        </w:tc>
        <w:tc>
          <w:tcPr>
            <w:tcW w:w="1291" w:type="dxa"/>
            <w:vAlign w:val="center"/>
          </w:tcPr>
          <w:p w:rsidR="00B37A73" w:rsidRDefault="00590A19">
            <w:pPr>
              <w:jc w:val="right"/>
            </w:pPr>
            <w:r>
              <w:rPr>
                <w:rFonts w:eastAsiaTheme="minorEastAsia"/>
                <w:color w:val="000000" w:themeColor="text1"/>
                <w:szCs w:val="21"/>
              </w:rPr>
              <w:t>-41.40%</w:t>
            </w:r>
          </w:p>
        </w:tc>
        <w:tc>
          <w:tcPr>
            <w:tcW w:w="1291" w:type="dxa"/>
            <w:vAlign w:val="center"/>
          </w:tcPr>
          <w:p w:rsidR="00B37A73" w:rsidRDefault="00590A19">
            <w:pPr>
              <w:jc w:val="right"/>
            </w:pPr>
            <w:r>
              <w:rPr>
                <w:rFonts w:eastAsiaTheme="minorEastAsia"/>
                <w:color w:val="000000" w:themeColor="text1"/>
                <w:szCs w:val="21"/>
              </w:rPr>
              <w:t>0.55%</w:t>
            </w:r>
          </w:p>
        </w:tc>
      </w:tr>
      <w:tr w:rsidR="00B37A73">
        <w:tc>
          <w:tcPr>
            <w:tcW w:w="1290" w:type="dxa"/>
            <w:vAlign w:val="center"/>
          </w:tcPr>
          <w:p w:rsidR="00B37A73" w:rsidRDefault="00590A19">
            <w:pPr>
              <w:jc w:val="left"/>
            </w:pPr>
            <w:r>
              <w:rPr>
                <w:rFonts w:eastAsiaTheme="minorEastAsia"/>
                <w:color w:val="000000" w:themeColor="text1"/>
                <w:szCs w:val="21"/>
              </w:rPr>
              <w:t>过去五年</w:t>
            </w:r>
          </w:p>
        </w:tc>
        <w:tc>
          <w:tcPr>
            <w:tcW w:w="1291" w:type="dxa"/>
            <w:vAlign w:val="center"/>
          </w:tcPr>
          <w:p w:rsidR="00B37A73" w:rsidRDefault="00590A19">
            <w:pPr>
              <w:jc w:val="right"/>
            </w:pPr>
            <w:r>
              <w:rPr>
                <w:rFonts w:eastAsiaTheme="minorEastAsia"/>
                <w:color w:val="000000" w:themeColor="text1"/>
                <w:szCs w:val="21"/>
              </w:rPr>
              <w:t>20.20%</w:t>
            </w:r>
          </w:p>
        </w:tc>
        <w:tc>
          <w:tcPr>
            <w:tcW w:w="1291" w:type="dxa"/>
            <w:vAlign w:val="center"/>
          </w:tcPr>
          <w:p w:rsidR="00B37A73" w:rsidRDefault="00590A19">
            <w:pPr>
              <w:jc w:val="right"/>
            </w:pPr>
            <w:r>
              <w:rPr>
                <w:rFonts w:eastAsiaTheme="minorEastAsia"/>
                <w:color w:val="000000" w:themeColor="text1"/>
                <w:szCs w:val="21"/>
              </w:rPr>
              <w:t>1.67%</w:t>
            </w:r>
          </w:p>
        </w:tc>
        <w:tc>
          <w:tcPr>
            <w:tcW w:w="1291" w:type="dxa"/>
            <w:vAlign w:val="center"/>
          </w:tcPr>
          <w:p w:rsidR="00B37A73" w:rsidRDefault="00590A19">
            <w:pPr>
              <w:jc w:val="right"/>
            </w:pPr>
            <w:r>
              <w:rPr>
                <w:rFonts w:eastAsiaTheme="minorEastAsia"/>
                <w:color w:val="000000" w:themeColor="text1"/>
                <w:szCs w:val="21"/>
              </w:rPr>
              <w:t>8.98%</w:t>
            </w:r>
          </w:p>
        </w:tc>
        <w:tc>
          <w:tcPr>
            <w:tcW w:w="1291" w:type="dxa"/>
            <w:vAlign w:val="center"/>
          </w:tcPr>
          <w:p w:rsidR="00B37A73" w:rsidRDefault="00590A19">
            <w:pPr>
              <w:jc w:val="right"/>
            </w:pPr>
            <w:r>
              <w:rPr>
                <w:rFonts w:eastAsiaTheme="minorEastAsia"/>
                <w:color w:val="000000" w:themeColor="text1"/>
                <w:szCs w:val="21"/>
              </w:rPr>
              <w:t>0.94%</w:t>
            </w:r>
          </w:p>
        </w:tc>
        <w:tc>
          <w:tcPr>
            <w:tcW w:w="1291" w:type="dxa"/>
            <w:vAlign w:val="center"/>
          </w:tcPr>
          <w:p w:rsidR="00B37A73" w:rsidRDefault="00590A19">
            <w:pPr>
              <w:jc w:val="right"/>
            </w:pPr>
            <w:r>
              <w:rPr>
                <w:rFonts w:eastAsiaTheme="minorEastAsia"/>
                <w:color w:val="000000" w:themeColor="text1"/>
                <w:szCs w:val="21"/>
              </w:rPr>
              <w:t>11.22%</w:t>
            </w:r>
          </w:p>
        </w:tc>
        <w:tc>
          <w:tcPr>
            <w:tcW w:w="1291" w:type="dxa"/>
            <w:vAlign w:val="center"/>
          </w:tcPr>
          <w:p w:rsidR="00B37A73" w:rsidRDefault="00590A19">
            <w:pPr>
              <w:jc w:val="right"/>
            </w:pPr>
            <w:r>
              <w:rPr>
                <w:rFonts w:eastAsiaTheme="minorEastAsia"/>
                <w:color w:val="000000" w:themeColor="text1"/>
                <w:szCs w:val="21"/>
              </w:rPr>
              <w:t>0.73%</w:t>
            </w:r>
          </w:p>
        </w:tc>
      </w:tr>
      <w:tr w:rsidR="00B37A73">
        <w:tc>
          <w:tcPr>
            <w:tcW w:w="1290" w:type="dxa"/>
            <w:vAlign w:val="center"/>
          </w:tcPr>
          <w:p w:rsidR="00B37A73" w:rsidRDefault="00590A19">
            <w:pPr>
              <w:jc w:val="left"/>
            </w:pPr>
            <w:r>
              <w:rPr>
                <w:rFonts w:eastAsiaTheme="minorEastAsia"/>
                <w:color w:val="000000" w:themeColor="text1"/>
                <w:szCs w:val="21"/>
              </w:rPr>
              <w:t>自基金合同生效起至今</w:t>
            </w:r>
          </w:p>
        </w:tc>
        <w:tc>
          <w:tcPr>
            <w:tcW w:w="1291" w:type="dxa"/>
            <w:vAlign w:val="center"/>
          </w:tcPr>
          <w:p w:rsidR="00B37A73" w:rsidRDefault="00590A19">
            <w:pPr>
              <w:jc w:val="right"/>
            </w:pPr>
            <w:r>
              <w:rPr>
                <w:rFonts w:eastAsiaTheme="minorEastAsia"/>
                <w:color w:val="000000" w:themeColor="text1"/>
                <w:szCs w:val="21"/>
              </w:rPr>
              <w:t>152.30%</w:t>
            </w:r>
          </w:p>
        </w:tc>
        <w:tc>
          <w:tcPr>
            <w:tcW w:w="1291" w:type="dxa"/>
            <w:vAlign w:val="center"/>
          </w:tcPr>
          <w:p w:rsidR="00B37A73" w:rsidRDefault="00590A19">
            <w:pPr>
              <w:jc w:val="right"/>
            </w:pPr>
            <w:r>
              <w:rPr>
                <w:rFonts w:eastAsiaTheme="minorEastAsia"/>
                <w:color w:val="000000" w:themeColor="text1"/>
                <w:szCs w:val="21"/>
              </w:rPr>
              <w:t>1.66%</w:t>
            </w:r>
          </w:p>
        </w:tc>
        <w:tc>
          <w:tcPr>
            <w:tcW w:w="1291" w:type="dxa"/>
            <w:vAlign w:val="center"/>
          </w:tcPr>
          <w:p w:rsidR="00B37A73" w:rsidRDefault="00590A19">
            <w:pPr>
              <w:jc w:val="right"/>
            </w:pPr>
            <w:r>
              <w:rPr>
                <w:rFonts w:eastAsiaTheme="minorEastAsia"/>
                <w:color w:val="000000" w:themeColor="text1"/>
                <w:szCs w:val="21"/>
              </w:rPr>
              <w:t>35.90%</w:t>
            </w:r>
          </w:p>
        </w:tc>
        <w:tc>
          <w:tcPr>
            <w:tcW w:w="1291" w:type="dxa"/>
            <w:vAlign w:val="center"/>
          </w:tcPr>
          <w:p w:rsidR="00B37A73" w:rsidRDefault="00590A19">
            <w:pPr>
              <w:jc w:val="right"/>
            </w:pPr>
            <w:r>
              <w:rPr>
                <w:rFonts w:eastAsiaTheme="minorEastAsia"/>
                <w:color w:val="000000" w:themeColor="text1"/>
                <w:szCs w:val="21"/>
              </w:rPr>
              <w:t>1.10%</w:t>
            </w:r>
          </w:p>
        </w:tc>
        <w:tc>
          <w:tcPr>
            <w:tcW w:w="1291" w:type="dxa"/>
            <w:vAlign w:val="center"/>
          </w:tcPr>
          <w:p w:rsidR="00B37A73" w:rsidRDefault="00590A19">
            <w:pPr>
              <w:jc w:val="right"/>
            </w:pPr>
            <w:r>
              <w:rPr>
                <w:rFonts w:eastAsiaTheme="minorEastAsia"/>
                <w:color w:val="000000" w:themeColor="text1"/>
                <w:szCs w:val="21"/>
              </w:rPr>
              <w:t>116.40%</w:t>
            </w:r>
          </w:p>
        </w:tc>
        <w:tc>
          <w:tcPr>
            <w:tcW w:w="1291" w:type="dxa"/>
            <w:vAlign w:val="center"/>
          </w:tcPr>
          <w:p w:rsidR="00B37A73" w:rsidRDefault="00590A19">
            <w:pPr>
              <w:jc w:val="right"/>
            </w:pPr>
            <w:r>
              <w:rPr>
                <w:rFonts w:eastAsiaTheme="minorEastAsia"/>
                <w:color w:val="000000" w:themeColor="text1"/>
                <w:szCs w:val="21"/>
              </w:rPr>
              <w:t>0.56%</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37A73">
        <w:tc>
          <w:tcPr>
            <w:tcW w:w="1290" w:type="dxa"/>
            <w:vAlign w:val="center"/>
          </w:tcPr>
          <w:p w:rsidR="00B37A73" w:rsidRDefault="00590A19">
            <w:pPr>
              <w:jc w:val="left"/>
            </w:pPr>
            <w:r>
              <w:rPr>
                <w:rFonts w:eastAsiaTheme="minorEastAsia"/>
                <w:color w:val="000000" w:themeColor="text1"/>
                <w:szCs w:val="21"/>
              </w:rPr>
              <w:t>过去三个月</w:t>
            </w:r>
          </w:p>
        </w:tc>
        <w:tc>
          <w:tcPr>
            <w:tcW w:w="1291" w:type="dxa"/>
            <w:vAlign w:val="center"/>
          </w:tcPr>
          <w:p w:rsidR="00B37A73" w:rsidRDefault="00590A19">
            <w:pPr>
              <w:jc w:val="right"/>
            </w:pPr>
            <w:r>
              <w:rPr>
                <w:rFonts w:eastAsiaTheme="minorEastAsia"/>
                <w:color w:val="000000" w:themeColor="text1"/>
                <w:szCs w:val="21"/>
              </w:rPr>
              <w:t>2.57%</w:t>
            </w:r>
          </w:p>
        </w:tc>
        <w:tc>
          <w:tcPr>
            <w:tcW w:w="1291" w:type="dxa"/>
            <w:vAlign w:val="center"/>
          </w:tcPr>
          <w:p w:rsidR="00B37A73" w:rsidRDefault="00590A19">
            <w:pPr>
              <w:jc w:val="right"/>
            </w:pPr>
            <w:r>
              <w:rPr>
                <w:rFonts w:eastAsiaTheme="minorEastAsia"/>
                <w:color w:val="000000" w:themeColor="text1"/>
                <w:szCs w:val="21"/>
              </w:rPr>
              <w:t>1.80%</w:t>
            </w:r>
          </w:p>
        </w:tc>
        <w:tc>
          <w:tcPr>
            <w:tcW w:w="1291" w:type="dxa"/>
            <w:vAlign w:val="center"/>
          </w:tcPr>
          <w:p w:rsidR="00B37A73" w:rsidRDefault="00590A19">
            <w:pPr>
              <w:jc w:val="right"/>
            </w:pPr>
            <w:r>
              <w:rPr>
                <w:rFonts w:eastAsiaTheme="minorEastAsia"/>
                <w:color w:val="000000" w:themeColor="text1"/>
                <w:szCs w:val="21"/>
              </w:rPr>
              <w:t>13.12%</w:t>
            </w:r>
          </w:p>
        </w:tc>
        <w:tc>
          <w:tcPr>
            <w:tcW w:w="1291" w:type="dxa"/>
            <w:vAlign w:val="center"/>
          </w:tcPr>
          <w:p w:rsidR="00B37A73" w:rsidRDefault="00590A19">
            <w:pPr>
              <w:jc w:val="right"/>
            </w:pPr>
            <w:r>
              <w:rPr>
                <w:rFonts w:eastAsiaTheme="minorEastAsia"/>
                <w:color w:val="000000" w:themeColor="text1"/>
                <w:szCs w:val="21"/>
              </w:rPr>
              <w:t>1.26%</w:t>
            </w:r>
          </w:p>
        </w:tc>
        <w:tc>
          <w:tcPr>
            <w:tcW w:w="1291" w:type="dxa"/>
            <w:vAlign w:val="center"/>
          </w:tcPr>
          <w:p w:rsidR="00B37A73" w:rsidRDefault="00590A19">
            <w:pPr>
              <w:jc w:val="right"/>
            </w:pPr>
            <w:r>
              <w:rPr>
                <w:rFonts w:eastAsiaTheme="minorEastAsia"/>
                <w:color w:val="000000" w:themeColor="text1"/>
                <w:szCs w:val="21"/>
              </w:rPr>
              <w:t>-10.55%</w:t>
            </w:r>
          </w:p>
        </w:tc>
        <w:tc>
          <w:tcPr>
            <w:tcW w:w="1291" w:type="dxa"/>
            <w:vAlign w:val="center"/>
          </w:tcPr>
          <w:p w:rsidR="00B37A73" w:rsidRDefault="00590A19">
            <w:pPr>
              <w:jc w:val="right"/>
            </w:pPr>
            <w:r>
              <w:rPr>
                <w:rFonts w:eastAsiaTheme="minorEastAsia"/>
                <w:color w:val="000000" w:themeColor="text1"/>
                <w:szCs w:val="21"/>
              </w:rPr>
              <w:t>0.54%</w:t>
            </w:r>
          </w:p>
        </w:tc>
      </w:tr>
      <w:tr w:rsidR="00B37A73">
        <w:tc>
          <w:tcPr>
            <w:tcW w:w="1290" w:type="dxa"/>
            <w:vAlign w:val="center"/>
          </w:tcPr>
          <w:p w:rsidR="00B37A73" w:rsidRDefault="00590A19">
            <w:pPr>
              <w:jc w:val="left"/>
            </w:pPr>
            <w:r>
              <w:rPr>
                <w:rFonts w:eastAsiaTheme="minorEastAsia"/>
                <w:color w:val="000000" w:themeColor="text1"/>
                <w:szCs w:val="21"/>
              </w:rPr>
              <w:t>过去六个月</w:t>
            </w:r>
          </w:p>
        </w:tc>
        <w:tc>
          <w:tcPr>
            <w:tcW w:w="1291" w:type="dxa"/>
            <w:vAlign w:val="center"/>
          </w:tcPr>
          <w:p w:rsidR="00B37A73" w:rsidRDefault="00590A19">
            <w:pPr>
              <w:jc w:val="right"/>
            </w:pPr>
            <w:r>
              <w:rPr>
                <w:rFonts w:eastAsiaTheme="minorEastAsia"/>
                <w:color w:val="000000" w:themeColor="text1"/>
                <w:szCs w:val="21"/>
              </w:rPr>
              <w:t>-4.57%</w:t>
            </w:r>
          </w:p>
        </w:tc>
        <w:tc>
          <w:tcPr>
            <w:tcW w:w="1291" w:type="dxa"/>
            <w:vAlign w:val="center"/>
          </w:tcPr>
          <w:p w:rsidR="00B37A73" w:rsidRDefault="00590A19">
            <w:pPr>
              <w:jc w:val="right"/>
            </w:pPr>
            <w:r>
              <w:rPr>
                <w:rFonts w:eastAsiaTheme="minorEastAsia"/>
                <w:color w:val="000000" w:themeColor="text1"/>
                <w:szCs w:val="21"/>
              </w:rPr>
              <w:t>1.48%</w:t>
            </w:r>
          </w:p>
        </w:tc>
        <w:tc>
          <w:tcPr>
            <w:tcW w:w="1291" w:type="dxa"/>
            <w:vAlign w:val="center"/>
          </w:tcPr>
          <w:p w:rsidR="00B37A73" w:rsidRDefault="00590A19">
            <w:pPr>
              <w:jc w:val="right"/>
            </w:pPr>
            <w:r>
              <w:rPr>
                <w:rFonts w:eastAsiaTheme="minorEastAsia"/>
                <w:color w:val="000000" w:themeColor="text1"/>
                <w:szCs w:val="21"/>
              </w:rPr>
              <w:t>11.52%</w:t>
            </w:r>
          </w:p>
        </w:tc>
        <w:tc>
          <w:tcPr>
            <w:tcW w:w="1291" w:type="dxa"/>
            <w:vAlign w:val="center"/>
          </w:tcPr>
          <w:p w:rsidR="00B37A73" w:rsidRDefault="00590A19">
            <w:pPr>
              <w:jc w:val="right"/>
            </w:pPr>
            <w:r>
              <w:rPr>
                <w:rFonts w:eastAsiaTheme="minorEastAsia"/>
                <w:color w:val="000000" w:themeColor="text1"/>
                <w:szCs w:val="21"/>
              </w:rPr>
              <w:t>1.00%</w:t>
            </w:r>
          </w:p>
        </w:tc>
        <w:tc>
          <w:tcPr>
            <w:tcW w:w="1291" w:type="dxa"/>
            <w:vAlign w:val="center"/>
          </w:tcPr>
          <w:p w:rsidR="00B37A73" w:rsidRDefault="00590A19">
            <w:pPr>
              <w:jc w:val="right"/>
            </w:pPr>
            <w:r>
              <w:rPr>
                <w:rFonts w:eastAsiaTheme="minorEastAsia"/>
                <w:color w:val="000000" w:themeColor="text1"/>
                <w:szCs w:val="21"/>
              </w:rPr>
              <w:t>-16.09%</w:t>
            </w:r>
          </w:p>
        </w:tc>
        <w:tc>
          <w:tcPr>
            <w:tcW w:w="1291" w:type="dxa"/>
            <w:vAlign w:val="center"/>
          </w:tcPr>
          <w:p w:rsidR="00B37A73" w:rsidRDefault="00590A19">
            <w:pPr>
              <w:jc w:val="right"/>
            </w:pPr>
            <w:r>
              <w:rPr>
                <w:rFonts w:eastAsiaTheme="minorEastAsia"/>
                <w:color w:val="000000" w:themeColor="text1"/>
                <w:szCs w:val="21"/>
              </w:rPr>
              <w:t>0.48%</w:t>
            </w:r>
          </w:p>
        </w:tc>
      </w:tr>
      <w:tr w:rsidR="00B37A73">
        <w:tc>
          <w:tcPr>
            <w:tcW w:w="1290" w:type="dxa"/>
            <w:vAlign w:val="center"/>
          </w:tcPr>
          <w:p w:rsidR="00B37A73" w:rsidRDefault="00590A19">
            <w:pPr>
              <w:jc w:val="left"/>
            </w:pPr>
            <w:r>
              <w:rPr>
                <w:rFonts w:eastAsiaTheme="minorEastAsia"/>
                <w:color w:val="000000" w:themeColor="text1"/>
                <w:szCs w:val="21"/>
              </w:rPr>
              <w:t>过去一年</w:t>
            </w:r>
          </w:p>
        </w:tc>
        <w:tc>
          <w:tcPr>
            <w:tcW w:w="1291" w:type="dxa"/>
            <w:vAlign w:val="center"/>
          </w:tcPr>
          <w:p w:rsidR="00B37A73" w:rsidRDefault="00590A19">
            <w:pPr>
              <w:jc w:val="right"/>
            </w:pPr>
            <w:r>
              <w:rPr>
                <w:rFonts w:eastAsiaTheme="minorEastAsia"/>
                <w:color w:val="000000" w:themeColor="text1"/>
                <w:szCs w:val="21"/>
              </w:rPr>
              <w:t>-2.44%</w:t>
            </w:r>
          </w:p>
        </w:tc>
        <w:tc>
          <w:tcPr>
            <w:tcW w:w="1291" w:type="dxa"/>
            <w:vAlign w:val="center"/>
          </w:tcPr>
          <w:p w:rsidR="00B37A73" w:rsidRDefault="00590A19">
            <w:pPr>
              <w:jc w:val="right"/>
            </w:pPr>
            <w:r>
              <w:rPr>
                <w:rFonts w:eastAsiaTheme="minorEastAsia"/>
                <w:color w:val="000000" w:themeColor="text1"/>
                <w:szCs w:val="21"/>
              </w:rPr>
              <w:t>1.38%</w:t>
            </w:r>
          </w:p>
        </w:tc>
        <w:tc>
          <w:tcPr>
            <w:tcW w:w="1291" w:type="dxa"/>
            <w:vAlign w:val="center"/>
          </w:tcPr>
          <w:p w:rsidR="00B37A73" w:rsidRDefault="00590A19">
            <w:pPr>
              <w:jc w:val="right"/>
            </w:pPr>
            <w:r>
              <w:rPr>
                <w:rFonts w:eastAsiaTheme="minorEastAsia"/>
                <w:color w:val="000000" w:themeColor="text1"/>
                <w:szCs w:val="21"/>
              </w:rPr>
              <w:t>8.34%</w:t>
            </w:r>
          </w:p>
        </w:tc>
        <w:tc>
          <w:tcPr>
            <w:tcW w:w="1291" w:type="dxa"/>
            <w:vAlign w:val="center"/>
          </w:tcPr>
          <w:p w:rsidR="00B37A73" w:rsidRDefault="00590A19">
            <w:pPr>
              <w:jc w:val="right"/>
            </w:pPr>
            <w:r>
              <w:rPr>
                <w:rFonts w:eastAsiaTheme="minorEastAsia"/>
                <w:color w:val="000000" w:themeColor="text1"/>
                <w:szCs w:val="21"/>
              </w:rPr>
              <w:t>0.88%</w:t>
            </w:r>
          </w:p>
        </w:tc>
        <w:tc>
          <w:tcPr>
            <w:tcW w:w="1291" w:type="dxa"/>
            <w:vAlign w:val="center"/>
          </w:tcPr>
          <w:p w:rsidR="00B37A73" w:rsidRDefault="00590A19">
            <w:pPr>
              <w:jc w:val="right"/>
            </w:pPr>
            <w:r>
              <w:rPr>
                <w:rFonts w:eastAsiaTheme="minorEastAsia"/>
                <w:color w:val="000000" w:themeColor="text1"/>
                <w:szCs w:val="21"/>
              </w:rPr>
              <w:t>-10.78%</w:t>
            </w:r>
          </w:p>
        </w:tc>
        <w:tc>
          <w:tcPr>
            <w:tcW w:w="1291" w:type="dxa"/>
            <w:vAlign w:val="center"/>
          </w:tcPr>
          <w:p w:rsidR="00B37A73" w:rsidRDefault="00590A19">
            <w:pPr>
              <w:jc w:val="right"/>
            </w:pPr>
            <w:r>
              <w:rPr>
                <w:rFonts w:eastAsiaTheme="minorEastAsia"/>
                <w:color w:val="000000" w:themeColor="text1"/>
                <w:szCs w:val="21"/>
              </w:rPr>
              <w:t>0.50%</w:t>
            </w:r>
          </w:p>
        </w:tc>
      </w:tr>
      <w:tr w:rsidR="00B37A73">
        <w:tc>
          <w:tcPr>
            <w:tcW w:w="1290" w:type="dxa"/>
            <w:vAlign w:val="center"/>
          </w:tcPr>
          <w:p w:rsidR="00B37A73" w:rsidRDefault="00590A19">
            <w:pPr>
              <w:jc w:val="left"/>
            </w:pPr>
            <w:r>
              <w:rPr>
                <w:rFonts w:eastAsiaTheme="minorEastAsia"/>
                <w:color w:val="000000" w:themeColor="text1"/>
                <w:szCs w:val="21"/>
              </w:rPr>
              <w:t>过去三年</w:t>
            </w:r>
          </w:p>
        </w:tc>
        <w:tc>
          <w:tcPr>
            <w:tcW w:w="1291" w:type="dxa"/>
            <w:vAlign w:val="center"/>
          </w:tcPr>
          <w:p w:rsidR="00B37A73" w:rsidRDefault="00590A19">
            <w:pPr>
              <w:jc w:val="right"/>
            </w:pPr>
            <w:r>
              <w:rPr>
                <w:rFonts w:eastAsiaTheme="minorEastAsia"/>
                <w:color w:val="000000" w:themeColor="text1"/>
                <w:szCs w:val="21"/>
              </w:rPr>
              <w:t>-52.46%</w:t>
            </w:r>
          </w:p>
        </w:tc>
        <w:tc>
          <w:tcPr>
            <w:tcW w:w="1291" w:type="dxa"/>
            <w:vAlign w:val="center"/>
          </w:tcPr>
          <w:p w:rsidR="00B37A73" w:rsidRDefault="00590A19">
            <w:pPr>
              <w:jc w:val="right"/>
            </w:pPr>
            <w:r>
              <w:rPr>
                <w:rFonts w:eastAsiaTheme="minorEastAsia"/>
                <w:color w:val="000000" w:themeColor="text1"/>
                <w:szCs w:val="21"/>
              </w:rPr>
              <w:t>1.42%</w:t>
            </w:r>
          </w:p>
        </w:tc>
        <w:tc>
          <w:tcPr>
            <w:tcW w:w="1291" w:type="dxa"/>
            <w:vAlign w:val="center"/>
          </w:tcPr>
          <w:p w:rsidR="00B37A73" w:rsidRDefault="00590A19">
            <w:pPr>
              <w:jc w:val="right"/>
            </w:pPr>
            <w:r>
              <w:rPr>
                <w:rFonts w:eastAsiaTheme="minorEastAsia"/>
                <w:color w:val="000000" w:themeColor="text1"/>
                <w:szCs w:val="21"/>
              </w:rPr>
              <w:t>-11.07%</w:t>
            </w:r>
          </w:p>
        </w:tc>
        <w:tc>
          <w:tcPr>
            <w:tcW w:w="1291" w:type="dxa"/>
            <w:vAlign w:val="center"/>
          </w:tcPr>
          <w:p w:rsidR="00B37A73" w:rsidRDefault="00590A19">
            <w:pPr>
              <w:jc w:val="right"/>
            </w:pPr>
            <w:r>
              <w:rPr>
                <w:rFonts w:eastAsiaTheme="minorEastAsia"/>
                <w:color w:val="000000" w:themeColor="text1"/>
                <w:szCs w:val="21"/>
              </w:rPr>
              <w:t>0.87%</w:t>
            </w:r>
          </w:p>
        </w:tc>
        <w:tc>
          <w:tcPr>
            <w:tcW w:w="1291" w:type="dxa"/>
            <w:vAlign w:val="center"/>
          </w:tcPr>
          <w:p w:rsidR="00B37A73" w:rsidRDefault="00590A19">
            <w:pPr>
              <w:jc w:val="right"/>
            </w:pPr>
            <w:r>
              <w:rPr>
                <w:rFonts w:eastAsiaTheme="minorEastAsia"/>
                <w:color w:val="000000" w:themeColor="text1"/>
                <w:szCs w:val="21"/>
              </w:rPr>
              <w:t>-41.39%</w:t>
            </w:r>
          </w:p>
        </w:tc>
        <w:tc>
          <w:tcPr>
            <w:tcW w:w="1291" w:type="dxa"/>
            <w:vAlign w:val="center"/>
          </w:tcPr>
          <w:p w:rsidR="00B37A73" w:rsidRDefault="00590A19">
            <w:pPr>
              <w:jc w:val="right"/>
            </w:pPr>
            <w:r>
              <w:rPr>
                <w:rFonts w:eastAsiaTheme="minorEastAsia"/>
                <w:color w:val="000000" w:themeColor="text1"/>
                <w:szCs w:val="21"/>
              </w:rPr>
              <w:t>0.55%</w:t>
            </w:r>
          </w:p>
        </w:tc>
      </w:tr>
      <w:tr w:rsidR="00B37A73">
        <w:tc>
          <w:tcPr>
            <w:tcW w:w="1290" w:type="dxa"/>
            <w:vAlign w:val="center"/>
          </w:tcPr>
          <w:p w:rsidR="00B37A73" w:rsidRDefault="00590A19">
            <w:pPr>
              <w:jc w:val="left"/>
            </w:pPr>
            <w:r>
              <w:rPr>
                <w:rFonts w:eastAsiaTheme="minorEastAsia"/>
                <w:color w:val="000000" w:themeColor="text1"/>
                <w:szCs w:val="21"/>
              </w:rPr>
              <w:t>过去五年</w:t>
            </w:r>
          </w:p>
        </w:tc>
        <w:tc>
          <w:tcPr>
            <w:tcW w:w="1291" w:type="dxa"/>
            <w:vAlign w:val="center"/>
          </w:tcPr>
          <w:p w:rsidR="00B37A73" w:rsidRDefault="00590A19">
            <w:pPr>
              <w:jc w:val="right"/>
            </w:pPr>
            <w:r>
              <w:rPr>
                <w:rFonts w:eastAsiaTheme="minorEastAsia"/>
                <w:color w:val="000000" w:themeColor="text1"/>
                <w:szCs w:val="21"/>
              </w:rPr>
              <w:t>20.22%</w:t>
            </w:r>
          </w:p>
        </w:tc>
        <w:tc>
          <w:tcPr>
            <w:tcW w:w="1291" w:type="dxa"/>
            <w:vAlign w:val="center"/>
          </w:tcPr>
          <w:p w:rsidR="00B37A73" w:rsidRDefault="00590A19">
            <w:pPr>
              <w:jc w:val="right"/>
            </w:pPr>
            <w:r>
              <w:rPr>
                <w:rFonts w:eastAsiaTheme="minorEastAsia"/>
                <w:color w:val="000000" w:themeColor="text1"/>
                <w:szCs w:val="21"/>
              </w:rPr>
              <w:t>1.67%</w:t>
            </w:r>
          </w:p>
        </w:tc>
        <w:tc>
          <w:tcPr>
            <w:tcW w:w="1291" w:type="dxa"/>
            <w:vAlign w:val="center"/>
          </w:tcPr>
          <w:p w:rsidR="00B37A73" w:rsidRDefault="00590A19">
            <w:pPr>
              <w:jc w:val="right"/>
            </w:pPr>
            <w:r>
              <w:rPr>
                <w:rFonts w:eastAsiaTheme="minorEastAsia"/>
                <w:color w:val="000000" w:themeColor="text1"/>
                <w:szCs w:val="21"/>
              </w:rPr>
              <w:t>8.98%</w:t>
            </w:r>
          </w:p>
        </w:tc>
        <w:tc>
          <w:tcPr>
            <w:tcW w:w="1291" w:type="dxa"/>
            <w:vAlign w:val="center"/>
          </w:tcPr>
          <w:p w:rsidR="00B37A73" w:rsidRDefault="00590A19">
            <w:pPr>
              <w:jc w:val="right"/>
            </w:pPr>
            <w:r>
              <w:rPr>
                <w:rFonts w:eastAsiaTheme="minorEastAsia"/>
                <w:color w:val="000000" w:themeColor="text1"/>
                <w:szCs w:val="21"/>
              </w:rPr>
              <w:t>0.94%</w:t>
            </w:r>
          </w:p>
        </w:tc>
        <w:tc>
          <w:tcPr>
            <w:tcW w:w="1291" w:type="dxa"/>
            <w:vAlign w:val="center"/>
          </w:tcPr>
          <w:p w:rsidR="00B37A73" w:rsidRDefault="00590A19">
            <w:pPr>
              <w:jc w:val="right"/>
            </w:pPr>
            <w:r>
              <w:rPr>
                <w:rFonts w:eastAsiaTheme="minorEastAsia"/>
                <w:color w:val="000000" w:themeColor="text1"/>
                <w:szCs w:val="21"/>
              </w:rPr>
              <w:t>11.24%</w:t>
            </w:r>
          </w:p>
        </w:tc>
        <w:tc>
          <w:tcPr>
            <w:tcW w:w="1291" w:type="dxa"/>
            <w:vAlign w:val="center"/>
          </w:tcPr>
          <w:p w:rsidR="00B37A73" w:rsidRDefault="00590A19">
            <w:pPr>
              <w:jc w:val="right"/>
            </w:pPr>
            <w:r>
              <w:rPr>
                <w:rFonts w:eastAsiaTheme="minorEastAsia"/>
                <w:color w:val="000000" w:themeColor="text1"/>
                <w:szCs w:val="21"/>
              </w:rPr>
              <w:t>0.73%</w:t>
            </w:r>
          </w:p>
        </w:tc>
      </w:tr>
      <w:tr w:rsidR="00B37A73">
        <w:tc>
          <w:tcPr>
            <w:tcW w:w="1290" w:type="dxa"/>
            <w:vAlign w:val="center"/>
          </w:tcPr>
          <w:p w:rsidR="00B37A73" w:rsidRDefault="00590A19">
            <w:pPr>
              <w:jc w:val="left"/>
            </w:pPr>
            <w:r>
              <w:rPr>
                <w:rFonts w:eastAsiaTheme="minorEastAsia"/>
                <w:color w:val="000000" w:themeColor="text1"/>
                <w:szCs w:val="21"/>
              </w:rPr>
              <w:t>自基金合同生效起至今</w:t>
            </w:r>
          </w:p>
        </w:tc>
        <w:tc>
          <w:tcPr>
            <w:tcW w:w="1291" w:type="dxa"/>
            <w:vAlign w:val="center"/>
          </w:tcPr>
          <w:p w:rsidR="00B37A73" w:rsidRDefault="00590A19">
            <w:pPr>
              <w:jc w:val="right"/>
            </w:pPr>
            <w:r>
              <w:rPr>
                <w:rFonts w:eastAsiaTheme="minorEastAsia"/>
                <w:color w:val="000000" w:themeColor="text1"/>
                <w:szCs w:val="21"/>
              </w:rPr>
              <w:t>43.69%</w:t>
            </w:r>
          </w:p>
        </w:tc>
        <w:tc>
          <w:tcPr>
            <w:tcW w:w="1291" w:type="dxa"/>
            <w:vAlign w:val="center"/>
          </w:tcPr>
          <w:p w:rsidR="00B37A73" w:rsidRDefault="00590A19">
            <w:pPr>
              <w:jc w:val="right"/>
            </w:pPr>
            <w:r>
              <w:rPr>
                <w:rFonts w:eastAsiaTheme="minorEastAsia"/>
                <w:color w:val="000000" w:themeColor="text1"/>
                <w:szCs w:val="21"/>
              </w:rPr>
              <w:t>1.62%</w:t>
            </w:r>
          </w:p>
        </w:tc>
        <w:tc>
          <w:tcPr>
            <w:tcW w:w="1291" w:type="dxa"/>
            <w:vAlign w:val="center"/>
          </w:tcPr>
          <w:p w:rsidR="00B37A73" w:rsidRDefault="00590A19">
            <w:pPr>
              <w:jc w:val="right"/>
            </w:pPr>
            <w:r>
              <w:rPr>
                <w:rFonts w:eastAsiaTheme="minorEastAsia"/>
                <w:color w:val="000000" w:themeColor="text1"/>
                <w:szCs w:val="21"/>
              </w:rPr>
              <w:t>30.68%</w:t>
            </w:r>
          </w:p>
        </w:tc>
        <w:tc>
          <w:tcPr>
            <w:tcW w:w="1291" w:type="dxa"/>
            <w:vAlign w:val="center"/>
          </w:tcPr>
          <w:p w:rsidR="00B37A73" w:rsidRDefault="00590A19">
            <w:pPr>
              <w:jc w:val="right"/>
            </w:pPr>
            <w:r>
              <w:rPr>
                <w:rFonts w:eastAsiaTheme="minorEastAsia"/>
                <w:color w:val="000000" w:themeColor="text1"/>
                <w:szCs w:val="21"/>
              </w:rPr>
              <w:t>0.93%</w:t>
            </w:r>
          </w:p>
        </w:tc>
        <w:tc>
          <w:tcPr>
            <w:tcW w:w="1291" w:type="dxa"/>
            <w:vAlign w:val="center"/>
          </w:tcPr>
          <w:p w:rsidR="00B37A73" w:rsidRDefault="00590A19">
            <w:pPr>
              <w:jc w:val="right"/>
            </w:pPr>
            <w:r>
              <w:rPr>
                <w:rFonts w:eastAsiaTheme="minorEastAsia"/>
                <w:color w:val="000000" w:themeColor="text1"/>
                <w:szCs w:val="21"/>
              </w:rPr>
              <w:t>13.01%</w:t>
            </w:r>
          </w:p>
        </w:tc>
        <w:tc>
          <w:tcPr>
            <w:tcW w:w="1291" w:type="dxa"/>
            <w:vAlign w:val="center"/>
          </w:tcPr>
          <w:p w:rsidR="00B37A73" w:rsidRDefault="00590A19">
            <w:pPr>
              <w:jc w:val="right"/>
            </w:pPr>
            <w:r>
              <w:rPr>
                <w:rFonts w:eastAsiaTheme="minorEastAsia"/>
                <w:color w:val="000000" w:themeColor="text1"/>
                <w:szCs w:val="21"/>
              </w:rPr>
              <w:t>0.69%</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摩根行业轮动混合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37A73">
        <w:tc>
          <w:tcPr>
            <w:tcW w:w="1290" w:type="dxa"/>
            <w:vAlign w:val="center"/>
          </w:tcPr>
          <w:p w:rsidR="00B37A73" w:rsidRDefault="00590A19">
            <w:pPr>
              <w:jc w:val="left"/>
            </w:pPr>
            <w:r>
              <w:rPr>
                <w:rFonts w:eastAsiaTheme="minorEastAsia"/>
                <w:color w:val="000000" w:themeColor="text1"/>
                <w:szCs w:val="21"/>
              </w:rPr>
              <w:t>过去三个月</w:t>
            </w:r>
          </w:p>
        </w:tc>
        <w:tc>
          <w:tcPr>
            <w:tcW w:w="1291" w:type="dxa"/>
            <w:vAlign w:val="center"/>
          </w:tcPr>
          <w:p w:rsidR="00B37A73" w:rsidRDefault="00590A19">
            <w:pPr>
              <w:jc w:val="right"/>
            </w:pPr>
            <w:r>
              <w:rPr>
                <w:rFonts w:eastAsiaTheme="minorEastAsia"/>
                <w:color w:val="000000" w:themeColor="text1"/>
                <w:szCs w:val="21"/>
              </w:rPr>
              <w:t>2.39%</w:t>
            </w:r>
          </w:p>
        </w:tc>
        <w:tc>
          <w:tcPr>
            <w:tcW w:w="1291" w:type="dxa"/>
            <w:vAlign w:val="center"/>
          </w:tcPr>
          <w:p w:rsidR="00B37A73" w:rsidRDefault="00590A19">
            <w:pPr>
              <w:jc w:val="right"/>
            </w:pPr>
            <w:r>
              <w:rPr>
                <w:rFonts w:eastAsiaTheme="minorEastAsia"/>
                <w:color w:val="000000" w:themeColor="text1"/>
                <w:szCs w:val="21"/>
              </w:rPr>
              <w:t>1.80%</w:t>
            </w:r>
          </w:p>
        </w:tc>
        <w:tc>
          <w:tcPr>
            <w:tcW w:w="1291" w:type="dxa"/>
            <w:vAlign w:val="center"/>
          </w:tcPr>
          <w:p w:rsidR="00B37A73" w:rsidRDefault="00590A19">
            <w:pPr>
              <w:jc w:val="right"/>
            </w:pPr>
            <w:r>
              <w:rPr>
                <w:rFonts w:eastAsiaTheme="minorEastAsia"/>
                <w:color w:val="000000" w:themeColor="text1"/>
                <w:szCs w:val="21"/>
              </w:rPr>
              <w:t>13.12%</w:t>
            </w:r>
          </w:p>
        </w:tc>
        <w:tc>
          <w:tcPr>
            <w:tcW w:w="1291" w:type="dxa"/>
            <w:vAlign w:val="center"/>
          </w:tcPr>
          <w:p w:rsidR="00B37A73" w:rsidRDefault="00590A19">
            <w:pPr>
              <w:jc w:val="right"/>
            </w:pPr>
            <w:r>
              <w:rPr>
                <w:rFonts w:eastAsiaTheme="minorEastAsia"/>
                <w:color w:val="000000" w:themeColor="text1"/>
                <w:szCs w:val="21"/>
              </w:rPr>
              <w:t>1.26%</w:t>
            </w:r>
          </w:p>
        </w:tc>
        <w:tc>
          <w:tcPr>
            <w:tcW w:w="1291" w:type="dxa"/>
            <w:vAlign w:val="center"/>
          </w:tcPr>
          <w:p w:rsidR="00B37A73" w:rsidRDefault="00590A19">
            <w:pPr>
              <w:jc w:val="right"/>
            </w:pPr>
            <w:r>
              <w:rPr>
                <w:rFonts w:eastAsiaTheme="minorEastAsia"/>
                <w:color w:val="000000" w:themeColor="text1"/>
                <w:szCs w:val="21"/>
              </w:rPr>
              <w:t>-10.73%</w:t>
            </w:r>
          </w:p>
        </w:tc>
        <w:tc>
          <w:tcPr>
            <w:tcW w:w="1291" w:type="dxa"/>
            <w:vAlign w:val="center"/>
          </w:tcPr>
          <w:p w:rsidR="00B37A73" w:rsidRDefault="00590A19">
            <w:pPr>
              <w:jc w:val="right"/>
            </w:pPr>
            <w:r>
              <w:rPr>
                <w:rFonts w:eastAsiaTheme="minorEastAsia"/>
                <w:color w:val="000000" w:themeColor="text1"/>
                <w:szCs w:val="21"/>
              </w:rPr>
              <w:t>0.54%</w:t>
            </w:r>
          </w:p>
        </w:tc>
      </w:tr>
      <w:tr w:rsidR="00B37A73">
        <w:tc>
          <w:tcPr>
            <w:tcW w:w="1290" w:type="dxa"/>
            <w:vAlign w:val="center"/>
          </w:tcPr>
          <w:p w:rsidR="00B37A73" w:rsidRDefault="00590A19">
            <w:pPr>
              <w:jc w:val="left"/>
            </w:pPr>
            <w:r>
              <w:rPr>
                <w:rFonts w:eastAsiaTheme="minorEastAsia"/>
                <w:color w:val="000000" w:themeColor="text1"/>
                <w:szCs w:val="21"/>
              </w:rPr>
              <w:t>过去六个月</w:t>
            </w:r>
          </w:p>
        </w:tc>
        <w:tc>
          <w:tcPr>
            <w:tcW w:w="1291" w:type="dxa"/>
            <w:vAlign w:val="center"/>
          </w:tcPr>
          <w:p w:rsidR="00B37A73" w:rsidRDefault="00590A19">
            <w:pPr>
              <w:jc w:val="right"/>
            </w:pPr>
            <w:r>
              <w:rPr>
                <w:rFonts w:eastAsiaTheme="minorEastAsia"/>
                <w:color w:val="000000" w:themeColor="text1"/>
                <w:szCs w:val="21"/>
              </w:rPr>
              <w:t>-4.73%</w:t>
            </w:r>
          </w:p>
        </w:tc>
        <w:tc>
          <w:tcPr>
            <w:tcW w:w="1291" w:type="dxa"/>
            <w:vAlign w:val="center"/>
          </w:tcPr>
          <w:p w:rsidR="00B37A73" w:rsidRDefault="00590A19">
            <w:pPr>
              <w:jc w:val="right"/>
            </w:pPr>
            <w:r>
              <w:rPr>
                <w:rFonts w:eastAsiaTheme="minorEastAsia"/>
                <w:color w:val="000000" w:themeColor="text1"/>
                <w:szCs w:val="21"/>
              </w:rPr>
              <w:t>1.48%</w:t>
            </w:r>
          </w:p>
        </w:tc>
        <w:tc>
          <w:tcPr>
            <w:tcW w:w="1291" w:type="dxa"/>
            <w:vAlign w:val="center"/>
          </w:tcPr>
          <w:p w:rsidR="00B37A73" w:rsidRDefault="00590A19">
            <w:pPr>
              <w:jc w:val="right"/>
            </w:pPr>
            <w:r>
              <w:rPr>
                <w:rFonts w:eastAsiaTheme="minorEastAsia"/>
                <w:color w:val="000000" w:themeColor="text1"/>
                <w:szCs w:val="21"/>
              </w:rPr>
              <w:t>11.52%</w:t>
            </w:r>
          </w:p>
        </w:tc>
        <w:tc>
          <w:tcPr>
            <w:tcW w:w="1291" w:type="dxa"/>
            <w:vAlign w:val="center"/>
          </w:tcPr>
          <w:p w:rsidR="00B37A73" w:rsidRDefault="00590A19">
            <w:pPr>
              <w:jc w:val="right"/>
            </w:pPr>
            <w:r>
              <w:rPr>
                <w:rFonts w:eastAsiaTheme="minorEastAsia"/>
                <w:color w:val="000000" w:themeColor="text1"/>
                <w:szCs w:val="21"/>
              </w:rPr>
              <w:t>1.00%</w:t>
            </w:r>
          </w:p>
        </w:tc>
        <w:tc>
          <w:tcPr>
            <w:tcW w:w="1291" w:type="dxa"/>
            <w:vAlign w:val="center"/>
          </w:tcPr>
          <w:p w:rsidR="00B37A73" w:rsidRDefault="00590A19">
            <w:pPr>
              <w:jc w:val="right"/>
            </w:pPr>
            <w:r>
              <w:rPr>
                <w:rFonts w:eastAsiaTheme="minorEastAsia"/>
                <w:color w:val="000000" w:themeColor="text1"/>
                <w:szCs w:val="21"/>
              </w:rPr>
              <w:t>-16.25%</w:t>
            </w:r>
          </w:p>
        </w:tc>
        <w:tc>
          <w:tcPr>
            <w:tcW w:w="1291" w:type="dxa"/>
            <w:vAlign w:val="center"/>
          </w:tcPr>
          <w:p w:rsidR="00B37A73" w:rsidRDefault="00590A19">
            <w:pPr>
              <w:jc w:val="right"/>
            </w:pPr>
            <w:r>
              <w:rPr>
                <w:rFonts w:eastAsiaTheme="minorEastAsia"/>
                <w:color w:val="000000" w:themeColor="text1"/>
                <w:szCs w:val="21"/>
              </w:rPr>
              <w:t>0.48%</w:t>
            </w:r>
          </w:p>
        </w:tc>
      </w:tr>
      <w:tr w:rsidR="00B37A73">
        <w:tc>
          <w:tcPr>
            <w:tcW w:w="1290" w:type="dxa"/>
            <w:vAlign w:val="center"/>
          </w:tcPr>
          <w:p w:rsidR="00B37A73" w:rsidRDefault="00590A19">
            <w:pPr>
              <w:jc w:val="left"/>
            </w:pPr>
            <w:r>
              <w:rPr>
                <w:rFonts w:eastAsiaTheme="minorEastAsia"/>
                <w:color w:val="000000" w:themeColor="text1"/>
                <w:szCs w:val="21"/>
              </w:rPr>
              <w:t>过去一年</w:t>
            </w:r>
          </w:p>
        </w:tc>
        <w:tc>
          <w:tcPr>
            <w:tcW w:w="1291" w:type="dxa"/>
            <w:vAlign w:val="center"/>
          </w:tcPr>
          <w:p w:rsidR="00B37A73" w:rsidRDefault="00590A19">
            <w:pPr>
              <w:jc w:val="right"/>
            </w:pPr>
            <w:r>
              <w:rPr>
                <w:rFonts w:eastAsiaTheme="minorEastAsia"/>
                <w:color w:val="000000" w:themeColor="text1"/>
                <w:szCs w:val="21"/>
              </w:rPr>
              <w:t>-2.91%</w:t>
            </w:r>
          </w:p>
        </w:tc>
        <w:tc>
          <w:tcPr>
            <w:tcW w:w="1291" w:type="dxa"/>
            <w:vAlign w:val="center"/>
          </w:tcPr>
          <w:p w:rsidR="00B37A73" w:rsidRDefault="00590A19">
            <w:pPr>
              <w:jc w:val="right"/>
            </w:pPr>
            <w:r>
              <w:rPr>
                <w:rFonts w:eastAsiaTheme="minorEastAsia"/>
                <w:color w:val="000000" w:themeColor="text1"/>
                <w:szCs w:val="21"/>
              </w:rPr>
              <w:t>1.38%</w:t>
            </w:r>
          </w:p>
        </w:tc>
        <w:tc>
          <w:tcPr>
            <w:tcW w:w="1291" w:type="dxa"/>
            <w:vAlign w:val="center"/>
          </w:tcPr>
          <w:p w:rsidR="00B37A73" w:rsidRDefault="00590A19">
            <w:pPr>
              <w:jc w:val="right"/>
            </w:pPr>
            <w:r>
              <w:rPr>
                <w:rFonts w:eastAsiaTheme="minorEastAsia"/>
                <w:color w:val="000000" w:themeColor="text1"/>
                <w:szCs w:val="21"/>
              </w:rPr>
              <w:t>8.34%</w:t>
            </w:r>
          </w:p>
        </w:tc>
        <w:tc>
          <w:tcPr>
            <w:tcW w:w="1291" w:type="dxa"/>
            <w:vAlign w:val="center"/>
          </w:tcPr>
          <w:p w:rsidR="00B37A73" w:rsidRDefault="00590A19">
            <w:pPr>
              <w:jc w:val="right"/>
            </w:pPr>
            <w:r>
              <w:rPr>
                <w:rFonts w:eastAsiaTheme="minorEastAsia"/>
                <w:color w:val="000000" w:themeColor="text1"/>
                <w:szCs w:val="21"/>
              </w:rPr>
              <w:t>0.88%</w:t>
            </w:r>
          </w:p>
        </w:tc>
        <w:tc>
          <w:tcPr>
            <w:tcW w:w="1291" w:type="dxa"/>
            <w:vAlign w:val="center"/>
          </w:tcPr>
          <w:p w:rsidR="00B37A73" w:rsidRDefault="00590A19">
            <w:pPr>
              <w:jc w:val="right"/>
            </w:pPr>
            <w:r>
              <w:rPr>
                <w:rFonts w:eastAsiaTheme="minorEastAsia"/>
                <w:color w:val="000000" w:themeColor="text1"/>
                <w:szCs w:val="21"/>
              </w:rPr>
              <w:t>-11.25%</w:t>
            </w:r>
          </w:p>
        </w:tc>
        <w:tc>
          <w:tcPr>
            <w:tcW w:w="1291" w:type="dxa"/>
            <w:vAlign w:val="center"/>
          </w:tcPr>
          <w:p w:rsidR="00B37A73" w:rsidRDefault="00590A19">
            <w:pPr>
              <w:jc w:val="right"/>
            </w:pPr>
            <w:r>
              <w:rPr>
                <w:rFonts w:eastAsiaTheme="minorEastAsia"/>
                <w:color w:val="000000" w:themeColor="text1"/>
                <w:szCs w:val="21"/>
              </w:rPr>
              <w:t>0.50%</w:t>
            </w:r>
          </w:p>
        </w:tc>
      </w:tr>
      <w:tr w:rsidR="00B37A73">
        <w:tc>
          <w:tcPr>
            <w:tcW w:w="1290" w:type="dxa"/>
            <w:vAlign w:val="center"/>
          </w:tcPr>
          <w:p w:rsidR="00B37A73" w:rsidRDefault="00590A19">
            <w:pPr>
              <w:jc w:val="left"/>
            </w:pPr>
            <w:r>
              <w:rPr>
                <w:rFonts w:eastAsiaTheme="minorEastAsia"/>
                <w:color w:val="000000" w:themeColor="text1"/>
                <w:szCs w:val="21"/>
              </w:rPr>
              <w:t>过去三年</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r>
      <w:tr w:rsidR="00B37A73">
        <w:tc>
          <w:tcPr>
            <w:tcW w:w="1290" w:type="dxa"/>
            <w:vAlign w:val="center"/>
          </w:tcPr>
          <w:p w:rsidR="00B37A73" w:rsidRDefault="00590A19">
            <w:pPr>
              <w:jc w:val="left"/>
            </w:pPr>
            <w:r>
              <w:rPr>
                <w:rFonts w:eastAsiaTheme="minorEastAsia"/>
                <w:color w:val="000000" w:themeColor="text1"/>
                <w:szCs w:val="21"/>
              </w:rPr>
              <w:t>过去五年</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c>
          <w:tcPr>
            <w:tcW w:w="1291" w:type="dxa"/>
            <w:vAlign w:val="center"/>
          </w:tcPr>
          <w:p w:rsidR="00B37A73" w:rsidRDefault="00590A19">
            <w:pPr>
              <w:jc w:val="right"/>
            </w:pPr>
            <w:r>
              <w:rPr>
                <w:rFonts w:eastAsiaTheme="minorEastAsia"/>
                <w:color w:val="000000" w:themeColor="text1"/>
                <w:szCs w:val="21"/>
              </w:rPr>
              <w:t>-</w:t>
            </w:r>
          </w:p>
        </w:tc>
      </w:tr>
      <w:tr w:rsidR="00B37A73">
        <w:tc>
          <w:tcPr>
            <w:tcW w:w="1290" w:type="dxa"/>
            <w:vAlign w:val="center"/>
          </w:tcPr>
          <w:p w:rsidR="00B37A73" w:rsidRDefault="00590A19">
            <w:pPr>
              <w:jc w:val="left"/>
            </w:pPr>
            <w:r>
              <w:rPr>
                <w:rFonts w:eastAsiaTheme="minorEastAsia"/>
                <w:color w:val="000000" w:themeColor="text1"/>
                <w:szCs w:val="21"/>
              </w:rPr>
              <w:t>自基金合同生效起至今</w:t>
            </w:r>
          </w:p>
        </w:tc>
        <w:tc>
          <w:tcPr>
            <w:tcW w:w="1291" w:type="dxa"/>
            <w:vAlign w:val="center"/>
          </w:tcPr>
          <w:p w:rsidR="00B37A73" w:rsidRDefault="00590A19">
            <w:pPr>
              <w:jc w:val="right"/>
            </w:pPr>
            <w:r>
              <w:rPr>
                <w:rFonts w:eastAsiaTheme="minorEastAsia"/>
                <w:color w:val="000000" w:themeColor="text1"/>
                <w:szCs w:val="21"/>
              </w:rPr>
              <w:t>-46.06%</w:t>
            </w:r>
          </w:p>
        </w:tc>
        <w:tc>
          <w:tcPr>
            <w:tcW w:w="1291" w:type="dxa"/>
            <w:vAlign w:val="center"/>
          </w:tcPr>
          <w:p w:rsidR="00B37A73" w:rsidRDefault="00590A19">
            <w:pPr>
              <w:jc w:val="right"/>
            </w:pPr>
            <w:r>
              <w:rPr>
                <w:rFonts w:eastAsiaTheme="minorEastAsia"/>
                <w:color w:val="000000" w:themeColor="text1"/>
                <w:szCs w:val="21"/>
              </w:rPr>
              <w:t>1.44%</w:t>
            </w:r>
          </w:p>
        </w:tc>
        <w:tc>
          <w:tcPr>
            <w:tcW w:w="1291" w:type="dxa"/>
            <w:vAlign w:val="center"/>
          </w:tcPr>
          <w:p w:rsidR="00B37A73" w:rsidRDefault="00590A19">
            <w:pPr>
              <w:jc w:val="right"/>
            </w:pPr>
            <w:r>
              <w:rPr>
                <w:rFonts w:eastAsiaTheme="minorEastAsia"/>
                <w:color w:val="000000" w:themeColor="text1"/>
                <w:szCs w:val="21"/>
              </w:rPr>
              <w:t>-12.00%</w:t>
            </w:r>
          </w:p>
        </w:tc>
        <w:tc>
          <w:tcPr>
            <w:tcW w:w="1291" w:type="dxa"/>
            <w:vAlign w:val="center"/>
          </w:tcPr>
          <w:p w:rsidR="00B37A73" w:rsidRDefault="00590A19">
            <w:pPr>
              <w:jc w:val="right"/>
            </w:pPr>
            <w:r>
              <w:rPr>
                <w:rFonts w:eastAsiaTheme="minorEastAsia"/>
                <w:color w:val="000000" w:themeColor="text1"/>
                <w:szCs w:val="21"/>
              </w:rPr>
              <w:t>0.89%</w:t>
            </w:r>
          </w:p>
        </w:tc>
        <w:tc>
          <w:tcPr>
            <w:tcW w:w="1291" w:type="dxa"/>
            <w:vAlign w:val="center"/>
          </w:tcPr>
          <w:p w:rsidR="00B37A73" w:rsidRDefault="00590A19">
            <w:pPr>
              <w:jc w:val="right"/>
            </w:pPr>
            <w:r>
              <w:rPr>
                <w:rFonts w:eastAsiaTheme="minorEastAsia"/>
                <w:color w:val="000000" w:themeColor="text1"/>
                <w:szCs w:val="21"/>
              </w:rPr>
              <w:t>-34.06%</w:t>
            </w:r>
          </w:p>
        </w:tc>
        <w:tc>
          <w:tcPr>
            <w:tcW w:w="1291" w:type="dxa"/>
            <w:vAlign w:val="center"/>
          </w:tcPr>
          <w:p w:rsidR="00B37A73" w:rsidRDefault="00590A19">
            <w:pPr>
              <w:jc w:val="right"/>
            </w:pPr>
            <w:r>
              <w:rPr>
                <w:rFonts w:eastAsiaTheme="minorEastAsia"/>
                <w:color w:val="000000" w:themeColor="text1"/>
                <w:szCs w:val="21"/>
              </w:rPr>
              <w:t>0.55%</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摩根行业轮动混合</w:t>
      </w:r>
      <w:r w:rsidR="006F1F9D">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B37A73" w:rsidRDefault="00590A19">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B37A73" w:rsidRDefault="00590A19">
      <w:pPr>
        <w:spacing w:line="360" w:lineRule="auto"/>
        <w:ind w:firstLine="36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B37A73" w:rsidRDefault="00590A19">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37A73">
        <w:tc>
          <w:tcPr>
            <w:tcW w:w="952" w:type="dxa"/>
            <w:vAlign w:val="center"/>
          </w:tcPr>
          <w:p w:rsidR="00B37A73" w:rsidRDefault="00590A19">
            <w:pPr>
              <w:jc w:val="center"/>
            </w:pPr>
            <w:r>
              <w:rPr>
                <w:rFonts w:eastAsiaTheme="minorEastAsia"/>
                <w:color w:val="000000" w:themeColor="text1"/>
                <w:szCs w:val="21"/>
              </w:rPr>
              <w:t>梁鹏</w:t>
            </w:r>
          </w:p>
        </w:tc>
        <w:tc>
          <w:tcPr>
            <w:tcW w:w="930" w:type="dxa"/>
            <w:vAlign w:val="center"/>
          </w:tcPr>
          <w:p w:rsidR="00B37A73" w:rsidRDefault="00590A19">
            <w:pPr>
              <w:jc w:val="center"/>
            </w:pPr>
            <w:r>
              <w:rPr>
                <w:rFonts w:eastAsiaTheme="minorEastAsia"/>
                <w:color w:val="000000" w:themeColor="text1"/>
                <w:szCs w:val="21"/>
              </w:rPr>
              <w:t>本基金基金经理</w:t>
            </w:r>
          </w:p>
        </w:tc>
        <w:tc>
          <w:tcPr>
            <w:tcW w:w="1210" w:type="dxa"/>
            <w:vAlign w:val="center"/>
          </w:tcPr>
          <w:p w:rsidR="00B37A73" w:rsidRDefault="00590A19">
            <w:pPr>
              <w:jc w:val="center"/>
            </w:pPr>
            <w:r>
              <w:rPr>
                <w:rFonts w:eastAsiaTheme="minorEastAsia"/>
                <w:color w:val="000000" w:themeColor="text1"/>
                <w:szCs w:val="21"/>
              </w:rPr>
              <w:t>2024-02-08</w:t>
            </w:r>
          </w:p>
        </w:tc>
        <w:tc>
          <w:tcPr>
            <w:tcW w:w="1309" w:type="dxa"/>
            <w:vAlign w:val="center"/>
          </w:tcPr>
          <w:p w:rsidR="00B37A73" w:rsidRDefault="00590A19">
            <w:pPr>
              <w:jc w:val="center"/>
            </w:pPr>
            <w:r>
              <w:rPr>
                <w:rFonts w:eastAsiaTheme="minorEastAsia"/>
                <w:color w:val="000000" w:themeColor="text1"/>
                <w:szCs w:val="21"/>
              </w:rPr>
              <w:t>-</w:t>
            </w:r>
          </w:p>
        </w:tc>
        <w:tc>
          <w:tcPr>
            <w:tcW w:w="1254" w:type="dxa"/>
            <w:vAlign w:val="center"/>
          </w:tcPr>
          <w:p w:rsidR="00B37A73" w:rsidRDefault="00590A1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B37A73" w:rsidRDefault="00590A19">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B37A73" w:rsidRDefault="00590A1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2"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梁鹏</w:t>
            </w: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3</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1,593,676,209.79</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2017-12-01</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52,803,451.42</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2024-07-04</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1,646,479,661.21</w:t>
            </w:r>
          </w:p>
        </w:tc>
        <w:tc>
          <w:tcPr>
            <w:tcW w:w="1381" w:type="dxa"/>
            <w:tcBorders>
              <w:top w:val="single" w:sz="4" w:space="0" w:color="auto"/>
              <w:left w:val="single" w:sz="4" w:space="0" w:color="auto"/>
              <w:bottom w:val="single" w:sz="4" w:space="0" w:color="auto"/>
              <w:right w:val="single" w:sz="4" w:space="0" w:color="auto"/>
            </w:tcBorders>
          </w:tcPr>
          <w:p w:rsidR="005C671B" w:rsidRPr="0073597F" w:rsidRDefault="005C671B">
            <w:pPr>
              <w:spacing w:line="288" w:lineRule="auto"/>
              <w:jc w:val="left"/>
              <w:rPr>
                <w:color w:val="000000" w:themeColor="text1"/>
                <w:szCs w:val="21"/>
              </w:rPr>
            </w:pP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590A19" w:rsidRPr="00590A19" w:rsidRDefault="00590A19" w:rsidP="00640C04">
      <w:pPr>
        <w:spacing w:line="360" w:lineRule="auto"/>
        <w:ind w:firstLineChars="200" w:firstLine="420"/>
        <w:rPr>
          <w:rFonts w:eastAsiaTheme="minorEastAsia"/>
          <w:color w:val="000000" w:themeColor="text1"/>
          <w:szCs w:val="21"/>
        </w:rPr>
      </w:pPr>
      <w:r w:rsidRPr="00590A19">
        <w:rPr>
          <w:rFonts w:eastAsiaTheme="minorEastAsia" w:hint="eastAsia"/>
          <w:color w:val="000000" w:themeColor="text1"/>
          <w:szCs w:val="21"/>
        </w:rPr>
        <w:t>2024</w:t>
      </w:r>
      <w:r w:rsidRPr="00590A19">
        <w:rPr>
          <w:rFonts w:eastAsiaTheme="minorEastAsia" w:hint="eastAsia"/>
          <w:color w:val="000000" w:themeColor="text1"/>
          <w:szCs w:val="21"/>
        </w:rPr>
        <w:t>年三季度经济数据表现低迷，市场主要指数呈现单边下跌，直至</w:t>
      </w:r>
      <w:r w:rsidRPr="00590A19">
        <w:rPr>
          <w:rFonts w:eastAsiaTheme="minorEastAsia" w:hint="eastAsia"/>
          <w:color w:val="000000" w:themeColor="text1"/>
          <w:szCs w:val="21"/>
        </w:rPr>
        <w:t>9</w:t>
      </w:r>
      <w:r w:rsidRPr="00590A19">
        <w:rPr>
          <w:rFonts w:eastAsiaTheme="minorEastAsia" w:hint="eastAsia"/>
          <w:color w:val="000000" w:themeColor="text1"/>
          <w:szCs w:val="21"/>
        </w:rPr>
        <w:t>月底，受政策、汇率等因素刺激，市场出现大幅反弹。由于本基金报告期配置了较高比例的消费、化工等顺周期板块，基金净值整体跑输</w:t>
      </w:r>
      <w:r w:rsidRPr="00590A19">
        <w:rPr>
          <w:rFonts w:eastAsiaTheme="minorEastAsia" w:hint="eastAsia"/>
          <w:color w:val="000000" w:themeColor="text1"/>
          <w:szCs w:val="21"/>
        </w:rPr>
        <w:t>HS300</w:t>
      </w:r>
      <w:r w:rsidRPr="00590A19">
        <w:rPr>
          <w:rFonts w:eastAsiaTheme="minorEastAsia" w:hint="eastAsia"/>
          <w:color w:val="000000" w:themeColor="text1"/>
          <w:szCs w:val="21"/>
        </w:rPr>
        <w:t>指数。</w:t>
      </w:r>
    </w:p>
    <w:p w:rsidR="00590A19" w:rsidRPr="00590A19" w:rsidRDefault="00590A19" w:rsidP="00640C04">
      <w:pPr>
        <w:spacing w:line="360" w:lineRule="auto"/>
        <w:ind w:firstLineChars="200" w:firstLine="420"/>
        <w:rPr>
          <w:rFonts w:eastAsiaTheme="minorEastAsia"/>
          <w:color w:val="000000" w:themeColor="text1"/>
          <w:szCs w:val="21"/>
        </w:rPr>
      </w:pPr>
      <w:r w:rsidRPr="00590A19">
        <w:rPr>
          <w:rFonts w:eastAsiaTheme="minorEastAsia" w:hint="eastAsia"/>
          <w:color w:val="000000" w:themeColor="text1"/>
          <w:szCs w:val="21"/>
        </w:rPr>
        <w:t>综合当前市场估值情况，以及对权益类资产的规避情绪，当前对风险溢价的补偿达到了一个较高的水平，市场未来</w:t>
      </w:r>
      <w:r w:rsidRPr="00590A19">
        <w:rPr>
          <w:rFonts w:eastAsiaTheme="minorEastAsia" w:hint="eastAsia"/>
          <w:color w:val="000000" w:themeColor="text1"/>
          <w:szCs w:val="21"/>
        </w:rPr>
        <w:t>3</w:t>
      </w:r>
      <w:r w:rsidRPr="00590A19">
        <w:rPr>
          <w:rFonts w:eastAsiaTheme="minorEastAsia" w:hint="eastAsia"/>
          <w:color w:val="000000" w:themeColor="text1"/>
          <w:szCs w:val="21"/>
        </w:rPr>
        <w:t>年的预期收益率相较</w:t>
      </w:r>
      <w:r w:rsidRPr="00590A19">
        <w:rPr>
          <w:rFonts w:eastAsiaTheme="minorEastAsia" w:hint="eastAsia"/>
          <w:color w:val="000000" w:themeColor="text1"/>
          <w:szCs w:val="21"/>
        </w:rPr>
        <w:t>3</w:t>
      </w:r>
      <w:r w:rsidRPr="00590A19">
        <w:rPr>
          <w:rFonts w:eastAsiaTheme="minorEastAsia" w:hint="eastAsia"/>
          <w:color w:val="000000" w:themeColor="text1"/>
          <w:szCs w:val="21"/>
        </w:rPr>
        <w:t>年前具备一定的抬升的基础。九月以来，美国降息周期开启，国内财政和货币政策陆续发力，流动性和市场情绪有所缓解。但是在经济悲观预期扭转之前，增加对资产质量和确定性因子的考量是必要的。基金坚持以</w:t>
      </w:r>
      <w:r w:rsidRPr="00590A19">
        <w:rPr>
          <w:rFonts w:eastAsiaTheme="minorEastAsia" w:hint="eastAsia"/>
          <w:color w:val="000000" w:themeColor="text1"/>
          <w:szCs w:val="21"/>
        </w:rPr>
        <w:t>2-3</w:t>
      </w:r>
      <w:r w:rsidRPr="00590A19">
        <w:rPr>
          <w:rFonts w:eastAsiaTheme="minorEastAsia" w:hint="eastAsia"/>
          <w:color w:val="000000" w:themeColor="text1"/>
          <w:szCs w:val="21"/>
        </w:rPr>
        <w:t>年的时间维度思考，增加对消费、医药、电子、互联网和顺周期板块的投资机会的关注，综合考虑需求侧和供给侧，以及行业估值水平，预计或将于中长期带来一定程度的超额收益。</w:t>
      </w:r>
    </w:p>
    <w:p w:rsidR="005E6DF3" w:rsidRPr="0073597F" w:rsidRDefault="00590A19" w:rsidP="00590A19">
      <w:pPr>
        <w:spacing w:line="360" w:lineRule="auto"/>
        <w:ind w:firstLineChars="200" w:firstLine="420"/>
        <w:rPr>
          <w:rFonts w:eastAsiaTheme="minorEastAsia"/>
          <w:color w:val="000000" w:themeColor="text1"/>
          <w:szCs w:val="21"/>
        </w:rPr>
      </w:pPr>
      <w:r w:rsidRPr="00590A19">
        <w:rPr>
          <w:rFonts w:eastAsiaTheme="minorEastAsia" w:hint="eastAsia"/>
          <w:color w:val="000000" w:themeColor="text1"/>
          <w:szCs w:val="21"/>
        </w:rPr>
        <w:t>本基金将坚持长期维度思考，结合中观和微观视角，自下而上采用四度选股方法。注重风险控制，不偏离选择配置最优风险收益比资产的根本原则。期望通过合理的风险承担，获得基金资产长期稳健的增值。</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:2.54%</w:t>
      </w:r>
      <w:r>
        <w:rPr>
          <w:rFonts w:eastAsiaTheme="minorEastAsia"/>
          <w:color w:val="000000" w:themeColor="text1"/>
          <w:szCs w:val="21"/>
        </w:rPr>
        <w:t>，同期业绩比较基准收益率为</w:t>
      </w:r>
      <w:r>
        <w:rPr>
          <w:rFonts w:eastAsiaTheme="minorEastAsia"/>
          <w:color w:val="000000" w:themeColor="text1"/>
          <w:szCs w:val="21"/>
        </w:rPr>
        <w:t>:13.12%</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:2.39%</w:t>
      </w:r>
      <w:r>
        <w:rPr>
          <w:rFonts w:eastAsiaTheme="minorEastAsia"/>
          <w:color w:val="000000" w:themeColor="text1"/>
          <w:szCs w:val="21"/>
        </w:rPr>
        <w:t>，同期业绩比较基准收益率为</w:t>
      </w:r>
      <w:r>
        <w:rPr>
          <w:rFonts w:eastAsiaTheme="minorEastAsia"/>
          <w:color w:val="000000" w:themeColor="text1"/>
          <w:szCs w:val="21"/>
        </w:rPr>
        <w:t>:13.12%</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摩根行业轮动</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:2.57%</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:13.12%</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378,752,993.96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83.67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378,752,993.96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83.67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40,826,148.40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9.02</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32,493,392.21</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593,369.65</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0.13</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452,665,904.22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41,963,230.00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9.29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288,520,752.00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63.90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26,622,062.96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13,982,160.00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7,664,789.00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378,752,993.96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83.89</w:t>
            </w:r>
          </w:p>
        </w:tc>
      </w:tr>
    </w:tbl>
    <w:p w:rsidR="00B27A29" w:rsidRPr="0073597F" w:rsidRDefault="00B27A29" w:rsidP="00B27A29">
      <w:pPr>
        <w:spacing w:line="360" w:lineRule="auto"/>
        <w:rPr>
          <w:rFonts w:eastAsiaTheme="minorEastAsia"/>
          <w:color w:val="000000" w:themeColor="text1"/>
          <w:szCs w:val="21"/>
        </w:rPr>
      </w:pPr>
      <w:bookmarkStart w:id="3"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B37A73">
        <w:tc>
          <w:tcPr>
            <w:tcW w:w="817" w:type="dxa"/>
            <w:vAlign w:val="center"/>
          </w:tcPr>
          <w:p w:rsidR="00B37A73" w:rsidRDefault="00590A19">
            <w:pPr>
              <w:jc w:val="center"/>
            </w:pPr>
            <w:r>
              <w:rPr>
                <w:rFonts w:eastAsiaTheme="minorEastAsia"/>
                <w:color w:val="000000" w:themeColor="text1"/>
                <w:kern w:val="0"/>
                <w:szCs w:val="21"/>
              </w:rPr>
              <w:t>1</w:t>
            </w:r>
          </w:p>
        </w:tc>
        <w:tc>
          <w:tcPr>
            <w:tcW w:w="1276" w:type="dxa"/>
            <w:vAlign w:val="center"/>
          </w:tcPr>
          <w:p w:rsidR="00B37A73" w:rsidRDefault="00590A19">
            <w:pPr>
              <w:jc w:val="center"/>
            </w:pPr>
            <w:r>
              <w:rPr>
                <w:rFonts w:eastAsiaTheme="minorEastAsia"/>
                <w:color w:val="000000" w:themeColor="text1"/>
                <w:kern w:val="0"/>
                <w:szCs w:val="21"/>
              </w:rPr>
              <w:t>300014</w:t>
            </w:r>
          </w:p>
        </w:tc>
        <w:tc>
          <w:tcPr>
            <w:tcW w:w="1701" w:type="dxa"/>
            <w:vAlign w:val="center"/>
          </w:tcPr>
          <w:p w:rsidR="00B37A73" w:rsidRDefault="00590A19">
            <w:pPr>
              <w:jc w:val="center"/>
            </w:pPr>
            <w:r>
              <w:rPr>
                <w:rFonts w:eastAsiaTheme="minorEastAsia"/>
                <w:color w:val="000000" w:themeColor="text1"/>
                <w:kern w:val="0"/>
                <w:szCs w:val="21"/>
              </w:rPr>
              <w:t>亿纬锂能</w:t>
            </w:r>
          </w:p>
        </w:tc>
        <w:tc>
          <w:tcPr>
            <w:tcW w:w="1276" w:type="dxa"/>
            <w:vAlign w:val="center"/>
          </w:tcPr>
          <w:p w:rsidR="00B37A73" w:rsidRDefault="00590A19">
            <w:pPr>
              <w:jc w:val="right"/>
            </w:pPr>
            <w:r>
              <w:rPr>
                <w:rFonts w:eastAsiaTheme="minorEastAsia"/>
                <w:color w:val="000000" w:themeColor="text1"/>
                <w:kern w:val="0"/>
                <w:szCs w:val="21"/>
              </w:rPr>
              <w:t>633,000</w:t>
            </w:r>
          </w:p>
        </w:tc>
        <w:tc>
          <w:tcPr>
            <w:tcW w:w="1842" w:type="dxa"/>
            <w:vAlign w:val="center"/>
          </w:tcPr>
          <w:p w:rsidR="00B37A73" w:rsidRDefault="00590A19">
            <w:pPr>
              <w:jc w:val="right"/>
            </w:pPr>
            <w:r>
              <w:rPr>
                <w:rFonts w:eastAsiaTheme="minorEastAsia"/>
                <w:color w:val="000000" w:themeColor="text1"/>
                <w:kern w:val="0"/>
                <w:szCs w:val="21"/>
              </w:rPr>
              <w:t>30,877,740.00</w:t>
            </w:r>
          </w:p>
        </w:tc>
        <w:tc>
          <w:tcPr>
            <w:tcW w:w="1616" w:type="dxa"/>
            <w:vAlign w:val="center"/>
          </w:tcPr>
          <w:p w:rsidR="00B37A73" w:rsidRDefault="00590A19">
            <w:pPr>
              <w:jc w:val="right"/>
            </w:pPr>
            <w:r>
              <w:rPr>
                <w:rFonts w:eastAsiaTheme="minorEastAsia"/>
                <w:color w:val="000000" w:themeColor="text1"/>
                <w:kern w:val="0"/>
                <w:szCs w:val="21"/>
              </w:rPr>
              <w:t>6.84</w:t>
            </w:r>
          </w:p>
        </w:tc>
      </w:tr>
      <w:tr w:rsidR="00B37A73">
        <w:tc>
          <w:tcPr>
            <w:tcW w:w="817" w:type="dxa"/>
            <w:vAlign w:val="center"/>
          </w:tcPr>
          <w:p w:rsidR="00B37A73" w:rsidRDefault="00590A19">
            <w:pPr>
              <w:jc w:val="center"/>
            </w:pPr>
            <w:r>
              <w:rPr>
                <w:rFonts w:eastAsiaTheme="minorEastAsia"/>
                <w:color w:val="000000" w:themeColor="text1"/>
                <w:kern w:val="0"/>
                <w:szCs w:val="21"/>
              </w:rPr>
              <w:t>2</w:t>
            </w:r>
          </w:p>
        </w:tc>
        <w:tc>
          <w:tcPr>
            <w:tcW w:w="1276" w:type="dxa"/>
            <w:vAlign w:val="center"/>
          </w:tcPr>
          <w:p w:rsidR="00B37A73" w:rsidRDefault="00590A19">
            <w:pPr>
              <w:jc w:val="center"/>
            </w:pPr>
            <w:r>
              <w:rPr>
                <w:rFonts w:eastAsiaTheme="minorEastAsia"/>
                <w:color w:val="000000" w:themeColor="text1"/>
                <w:kern w:val="0"/>
                <w:szCs w:val="21"/>
              </w:rPr>
              <w:t>300750</w:t>
            </w:r>
          </w:p>
        </w:tc>
        <w:tc>
          <w:tcPr>
            <w:tcW w:w="1701" w:type="dxa"/>
            <w:vAlign w:val="center"/>
          </w:tcPr>
          <w:p w:rsidR="00B37A73" w:rsidRDefault="00590A19">
            <w:pPr>
              <w:jc w:val="center"/>
            </w:pPr>
            <w:r>
              <w:rPr>
                <w:rFonts w:eastAsiaTheme="minorEastAsia"/>
                <w:color w:val="000000" w:themeColor="text1"/>
                <w:kern w:val="0"/>
                <w:szCs w:val="21"/>
              </w:rPr>
              <w:t>宁德时代</w:t>
            </w:r>
          </w:p>
        </w:tc>
        <w:tc>
          <w:tcPr>
            <w:tcW w:w="1276" w:type="dxa"/>
            <w:vAlign w:val="center"/>
          </w:tcPr>
          <w:p w:rsidR="00B37A73" w:rsidRDefault="00590A19">
            <w:pPr>
              <w:jc w:val="right"/>
            </w:pPr>
            <w:r>
              <w:rPr>
                <w:rFonts w:eastAsiaTheme="minorEastAsia"/>
                <w:color w:val="000000" w:themeColor="text1"/>
                <w:kern w:val="0"/>
                <w:szCs w:val="21"/>
              </w:rPr>
              <w:t>113,000</w:t>
            </w:r>
          </w:p>
        </w:tc>
        <w:tc>
          <w:tcPr>
            <w:tcW w:w="1842" w:type="dxa"/>
            <w:vAlign w:val="center"/>
          </w:tcPr>
          <w:p w:rsidR="00B37A73" w:rsidRDefault="00590A19">
            <w:pPr>
              <w:jc w:val="right"/>
            </w:pPr>
            <w:r>
              <w:rPr>
                <w:rFonts w:eastAsiaTheme="minorEastAsia"/>
                <w:color w:val="000000" w:themeColor="text1"/>
                <w:kern w:val="0"/>
                <w:szCs w:val="21"/>
              </w:rPr>
              <w:t>28,463,570.00</w:t>
            </w:r>
          </w:p>
        </w:tc>
        <w:tc>
          <w:tcPr>
            <w:tcW w:w="1616" w:type="dxa"/>
            <w:vAlign w:val="center"/>
          </w:tcPr>
          <w:p w:rsidR="00B37A73" w:rsidRDefault="00590A19">
            <w:pPr>
              <w:jc w:val="right"/>
            </w:pPr>
            <w:r>
              <w:rPr>
                <w:rFonts w:eastAsiaTheme="minorEastAsia"/>
                <w:color w:val="000000" w:themeColor="text1"/>
                <w:kern w:val="0"/>
                <w:szCs w:val="21"/>
              </w:rPr>
              <w:t>6.30</w:t>
            </w:r>
          </w:p>
        </w:tc>
      </w:tr>
      <w:tr w:rsidR="00B37A73">
        <w:tc>
          <w:tcPr>
            <w:tcW w:w="817" w:type="dxa"/>
            <w:vAlign w:val="center"/>
          </w:tcPr>
          <w:p w:rsidR="00B37A73" w:rsidRDefault="00590A19">
            <w:pPr>
              <w:jc w:val="center"/>
            </w:pPr>
            <w:r>
              <w:rPr>
                <w:rFonts w:eastAsiaTheme="minorEastAsia"/>
                <w:color w:val="000000" w:themeColor="text1"/>
                <w:kern w:val="0"/>
                <w:szCs w:val="21"/>
              </w:rPr>
              <w:t>3</w:t>
            </w:r>
          </w:p>
        </w:tc>
        <w:tc>
          <w:tcPr>
            <w:tcW w:w="1276" w:type="dxa"/>
            <w:vAlign w:val="center"/>
          </w:tcPr>
          <w:p w:rsidR="00B37A73" w:rsidRDefault="00590A19">
            <w:pPr>
              <w:jc w:val="center"/>
            </w:pPr>
            <w:r>
              <w:rPr>
                <w:rFonts w:eastAsiaTheme="minorEastAsia"/>
                <w:color w:val="000000" w:themeColor="text1"/>
                <w:kern w:val="0"/>
                <w:szCs w:val="21"/>
              </w:rPr>
              <w:t>002475</w:t>
            </w:r>
          </w:p>
        </w:tc>
        <w:tc>
          <w:tcPr>
            <w:tcW w:w="1701" w:type="dxa"/>
            <w:vAlign w:val="center"/>
          </w:tcPr>
          <w:p w:rsidR="00B37A73" w:rsidRDefault="00590A19">
            <w:pPr>
              <w:jc w:val="center"/>
            </w:pPr>
            <w:r>
              <w:rPr>
                <w:rFonts w:eastAsiaTheme="minorEastAsia"/>
                <w:color w:val="000000" w:themeColor="text1"/>
                <w:kern w:val="0"/>
                <w:szCs w:val="21"/>
              </w:rPr>
              <w:t>立讯精密</w:t>
            </w:r>
          </w:p>
        </w:tc>
        <w:tc>
          <w:tcPr>
            <w:tcW w:w="1276" w:type="dxa"/>
            <w:vAlign w:val="center"/>
          </w:tcPr>
          <w:p w:rsidR="00B37A73" w:rsidRDefault="00590A19">
            <w:pPr>
              <w:jc w:val="right"/>
            </w:pPr>
            <w:r>
              <w:rPr>
                <w:rFonts w:eastAsiaTheme="minorEastAsia"/>
                <w:color w:val="000000" w:themeColor="text1"/>
                <w:kern w:val="0"/>
                <w:szCs w:val="21"/>
              </w:rPr>
              <w:t>603,300</w:t>
            </w:r>
          </w:p>
        </w:tc>
        <w:tc>
          <w:tcPr>
            <w:tcW w:w="1842" w:type="dxa"/>
            <w:vAlign w:val="center"/>
          </w:tcPr>
          <w:p w:rsidR="00B37A73" w:rsidRDefault="00590A19">
            <w:pPr>
              <w:jc w:val="right"/>
            </w:pPr>
            <w:r>
              <w:rPr>
                <w:rFonts w:eastAsiaTheme="minorEastAsia"/>
                <w:color w:val="000000" w:themeColor="text1"/>
                <w:kern w:val="0"/>
                <w:szCs w:val="21"/>
              </w:rPr>
              <w:t>26,219,418.00</w:t>
            </w:r>
          </w:p>
        </w:tc>
        <w:tc>
          <w:tcPr>
            <w:tcW w:w="1616" w:type="dxa"/>
            <w:vAlign w:val="center"/>
          </w:tcPr>
          <w:p w:rsidR="00B37A73" w:rsidRDefault="00590A19">
            <w:pPr>
              <w:jc w:val="right"/>
            </w:pPr>
            <w:r>
              <w:rPr>
                <w:rFonts w:eastAsiaTheme="minorEastAsia"/>
                <w:color w:val="000000" w:themeColor="text1"/>
                <w:kern w:val="0"/>
                <w:szCs w:val="21"/>
              </w:rPr>
              <w:t>5.81</w:t>
            </w:r>
          </w:p>
        </w:tc>
      </w:tr>
      <w:tr w:rsidR="00B37A73">
        <w:tc>
          <w:tcPr>
            <w:tcW w:w="817" w:type="dxa"/>
            <w:vAlign w:val="center"/>
          </w:tcPr>
          <w:p w:rsidR="00B37A73" w:rsidRDefault="00590A19">
            <w:pPr>
              <w:jc w:val="center"/>
            </w:pPr>
            <w:r>
              <w:rPr>
                <w:rFonts w:eastAsiaTheme="minorEastAsia"/>
                <w:color w:val="000000" w:themeColor="text1"/>
                <w:kern w:val="0"/>
                <w:szCs w:val="21"/>
              </w:rPr>
              <w:t>4</w:t>
            </w:r>
          </w:p>
        </w:tc>
        <w:tc>
          <w:tcPr>
            <w:tcW w:w="1276" w:type="dxa"/>
            <w:vAlign w:val="center"/>
          </w:tcPr>
          <w:p w:rsidR="00B37A73" w:rsidRDefault="00590A19">
            <w:pPr>
              <w:jc w:val="center"/>
            </w:pPr>
            <w:r>
              <w:rPr>
                <w:rFonts w:eastAsiaTheme="minorEastAsia"/>
                <w:color w:val="000000" w:themeColor="text1"/>
                <w:kern w:val="0"/>
                <w:szCs w:val="21"/>
              </w:rPr>
              <w:t>002714</w:t>
            </w:r>
          </w:p>
        </w:tc>
        <w:tc>
          <w:tcPr>
            <w:tcW w:w="1701" w:type="dxa"/>
            <w:vAlign w:val="center"/>
          </w:tcPr>
          <w:p w:rsidR="00B37A73" w:rsidRDefault="00590A19">
            <w:pPr>
              <w:jc w:val="center"/>
            </w:pPr>
            <w:r>
              <w:rPr>
                <w:rFonts w:eastAsiaTheme="minorEastAsia"/>
                <w:color w:val="000000" w:themeColor="text1"/>
                <w:kern w:val="0"/>
                <w:szCs w:val="21"/>
              </w:rPr>
              <w:t>牧原股份</w:t>
            </w:r>
          </w:p>
        </w:tc>
        <w:tc>
          <w:tcPr>
            <w:tcW w:w="1276" w:type="dxa"/>
            <w:vAlign w:val="center"/>
          </w:tcPr>
          <w:p w:rsidR="00B37A73" w:rsidRDefault="00590A19">
            <w:pPr>
              <w:jc w:val="right"/>
            </w:pPr>
            <w:r>
              <w:rPr>
                <w:rFonts w:eastAsiaTheme="minorEastAsia"/>
                <w:color w:val="000000" w:themeColor="text1"/>
                <w:kern w:val="0"/>
                <w:szCs w:val="21"/>
              </w:rPr>
              <w:t>533,000</w:t>
            </w:r>
          </w:p>
        </w:tc>
        <w:tc>
          <w:tcPr>
            <w:tcW w:w="1842" w:type="dxa"/>
            <w:vAlign w:val="center"/>
          </w:tcPr>
          <w:p w:rsidR="00B37A73" w:rsidRDefault="00590A19">
            <w:pPr>
              <w:jc w:val="right"/>
            </w:pPr>
            <w:r>
              <w:rPr>
                <w:rFonts w:eastAsiaTheme="minorEastAsia"/>
                <w:color w:val="000000" w:themeColor="text1"/>
                <w:kern w:val="0"/>
                <w:szCs w:val="21"/>
              </w:rPr>
              <w:t>24,683,230.00</w:t>
            </w:r>
          </w:p>
        </w:tc>
        <w:tc>
          <w:tcPr>
            <w:tcW w:w="1616" w:type="dxa"/>
            <w:vAlign w:val="center"/>
          </w:tcPr>
          <w:p w:rsidR="00B37A73" w:rsidRDefault="00590A19">
            <w:pPr>
              <w:jc w:val="right"/>
            </w:pPr>
            <w:r>
              <w:rPr>
                <w:rFonts w:eastAsiaTheme="minorEastAsia"/>
                <w:color w:val="000000" w:themeColor="text1"/>
                <w:kern w:val="0"/>
                <w:szCs w:val="21"/>
              </w:rPr>
              <w:t>5.47</w:t>
            </w:r>
          </w:p>
        </w:tc>
      </w:tr>
      <w:tr w:rsidR="00B37A73">
        <w:tc>
          <w:tcPr>
            <w:tcW w:w="817" w:type="dxa"/>
            <w:vAlign w:val="center"/>
          </w:tcPr>
          <w:p w:rsidR="00B37A73" w:rsidRDefault="00590A19">
            <w:pPr>
              <w:jc w:val="center"/>
            </w:pPr>
            <w:r>
              <w:rPr>
                <w:rFonts w:eastAsiaTheme="minorEastAsia"/>
                <w:color w:val="000000" w:themeColor="text1"/>
                <w:kern w:val="0"/>
                <w:szCs w:val="21"/>
              </w:rPr>
              <w:t>5</w:t>
            </w:r>
          </w:p>
        </w:tc>
        <w:tc>
          <w:tcPr>
            <w:tcW w:w="1276" w:type="dxa"/>
            <w:vAlign w:val="center"/>
          </w:tcPr>
          <w:p w:rsidR="00B37A73" w:rsidRDefault="00590A19">
            <w:pPr>
              <w:jc w:val="center"/>
            </w:pPr>
            <w:r>
              <w:rPr>
                <w:rFonts w:eastAsiaTheme="minorEastAsia"/>
                <w:color w:val="000000" w:themeColor="text1"/>
                <w:kern w:val="0"/>
                <w:szCs w:val="21"/>
              </w:rPr>
              <w:t>601233</w:t>
            </w:r>
          </w:p>
        </w:tc>
        <w:tc>
          <w:tcPr>
            <w:tcW w:w="1701" w:type="dxa"/>
            <w:vAlign w:val="center"/>
          </w:tcPr>
          <w:p w:rsidR="00B37A73" w:rsidRDefault="00590A19">
            <w:pPr>
              <w:jc w:val="center"/>
            </w:pPr>
            <w:r>
              <w:rPr>
                <w:rFonts w:eastAsiaTheme="minorEastAsia"/>
                <w:color w:val="000000" w:themeColor="text1"/>
                <w:kern w:val="0"/>
                <w:szCs w:val="21"/>
              </w:rPr>
              <w:t>桐昆股份</w:t>
            </w:r>
          </w:p>
        </w:tc>
        <w:tc>
          <w:tcPr>
            <w:tcW w:w="1276" w:type="dxa"/>
            <w:vAlign w:val="center"/>
          </w:tcPr>
          <w:p w:rsidR="00B37A73" w:rsidRDefault="00590A19">
            <w:pPr>
              <w:jc w:val="right"/>
            </w:pPr>
            <w:r>
              <w:rPr>
                <w:rFonts w:eastAsiaTheme="minorEastAsia"/>
                <w:color w:val="000000" w:themeColor="text1"/>
                <w:kern w:val="0"/>
                <w:szCs w:val="21"/>
              </w:rPr>
              <w:t>1,333,000</w:t>
            </w:r>
          </w:p>
        </w:tc>
        <w:tc>
          <w:tcPr>
            <w:tcW w:w="1842" w:type="dxa"/>
            <w:vAlign w:val="center"/>
          </w:tcPr>
          <w:p w:rsidR="00B37A73" w:rsidRDefault="00590A19">
            <w:pPr>
              <w:jc w:val="right"/>
            </w:pPr>
            <w:r>
              <w:rPr>
                <w:rFonts w:eastAsiaTheme="minorEastAsia"/>
                <w:color w:val="000000" w:themeColor="text1"/>
                <w:kern w:val="0"/>
                <w:szCs w:val="21"/>
              </w:rPr>
              <w:t>18,048,820.00</w:t>
            </w:r>
          </w:p>
        </w:tc>
        <w:tc>
          <w:tcPr>
            <w:tcW w:w="1616" w:type="dxa"/>
            <w:vAlign w:val="center"/>
          </w:tcPr>
          <w:p w:rsidR="00B37A73" w:rsidRDefault="00590A19">
            <w:pPr>
              <w:jc w:val="right"/>
            </w:pPr>
            <w:r>
              <w:rPr>
                <w:rFonts w:eastAsiaTheme="minorEastAsia"/>
                <w:color w:val="000000" w:themeColor="text1"/>
                <w:kern w:val="0"/>
                <w:szCs w:val="21"/>
              </w:rPr>
              <w:t>4.00</w:t>
            </w:r>
          </w:p>
        </w:tc>
      </w:tr>
      <w:tr w:rsidR="00B37A73">
        <w:tc>
          <w:tcPr>
            <w:tcW w:w="817" w:type="dxa"/>
            <w:vAlign w:val="center"/>
          </w:tcPr>
          <w:p w:rsidR="00B37A73" w:rsidRDefault="00590A19">
            <w:pPr>
              <w:jc w:val="center"/>
            </w:pPr>
            <w:r>
              <w:rPr>
                <w:rFonts w:eastAsiaTheme="minorEastAsia"/>
                <w:color w:val="000000" w:themeColor="text1"/>
                <w:kern w:val="0"/>
                <w:szCs w:val="21"/>
              </w:rPr>
              <w:t>6</w:t>
            </w:r>
          </w:p>
        </w:tc>
        <w:tc>
          <w:tcPr>
            <w:tcW w:w="1276" w:type="dxa"/>
            <w:vAlign w:val="center"/>
          </w:tcPr>
          <w:p w:rsidR="00B37A73" w:rsidRDefault="00590A19">
            <w:pPr>
              <w:jc w:val="center"/>
            </w:pPr>
            <w:r>
              <w:rPr>
                <w:rFonts w:eastAsiaTheme="minorEastAsia"/>
                <w:color w:val="000000" w:themeColor="text1"/>
                <w:kern w:val="0"/>
                <w:szCs w:val="21"/>
              </w:rPr>
              <w:t>603477</w:t>
            </w:r>
          </w:p>
        </w:tc>
        <w:tc>
          <w:tcPr>
            <w:tcW w:w="1701" w:type="dxa"/>
            <w:vAlign w:val="center"/>
          </w:tcPr>
          <w:p w:rsidR="00B37A73" w:rsidRDefault="00590A19">
            <w:pPr>
              <w:jc w:val="center"/>
            </w:pPr>
            <w:r>
              <w:rPr>
                <w:rFonts w:eastAsiaTheme="minorEastAsia"/>
                <w:color w:val="000000" w:themeColor="text1"/>
                <w:kern w:val="0"/>
                <w:szCs w:val="21"/>
              </w:rPr>
              <w:t>巨星农牧</w:t>
            </w:r>
          </w:p>
        </w:tc>
        <w:tc>
          <w:tcPr>
            <w:tcW w:w="1276" w:type="dxa"/>
            <w:vAlign w:val="center"/>
          </w:tcPr>
          <w:p w:rsidR="00B37A73" w:rsidRDefault="00590A19">
            <w:pPr>
              <w:jc w:val="right"/>
            </w:pPr>
            <w:r>
              <w:rPr>
                <w:rFonts w:eastAsiaTheme="minorEastAsia"/>
                <w:color w:val="000000" w:themeColor="text1"/>
                <w:kern w:val="0"/>
                <w:szCs w:val="21"/>
              </w:rPr>
              <w:t>800,000</w:t>
            </w:r>
          </w:p>
        </w:tc>
        <w:tc>
          <w:tcPr>
            <w:tcW w:w="1842" w:type="dxa"/>
            <w:vAlign w:val="center"/>
          </w:tcPr>
          <w:p w:rsidR="00B37A73" w:rsidRDefault="00590A19">
            <w:pPr>
              <w:jc w:val="right"/>
            </w:pPr>
            <w:r>
              <w:rPr>
                <w:rFonts w:eastAsiaTheme="minorEastAsia"/>
                <w:color w:val="000000" w:themeColor="text1"/>
                <w:kern w:val="0"/>
                <w:szCs w:val="21"/>
              </w:rPr>
              <w:t>17,280,000.00</w:t>
            </w:r>
          </w:p>
        </w:tc>
        <w:tc>
          <w:tcPr>
            <w:tcW w:w="1616" w:type="dxa"/>
            <w:vAlign w:val="center"/>
          </w:tcPr>
          <w:p w:rsidR="00B37A73" w:rsidRDefault="00590A19">
            <w:pPr>
              <w:jc w:val="right"/>
            </w:pPr>
            <w:r>
              <w:rPr>
                <w:rFonts w:eastAsiaTheme="minorEastAsia"/>
                <w:color w:val="000000" w:themeColor="text1"/>
                <w:kern w:val="0"/>
                <w:szCs w:val="21"/>
              </w:rPr>
              <w:t>3.83</w:t>
            </w:r>
          </w:p>
        </w:tc>
      </w:tr>
      <w:tr w:rsidR="00B37A73">
        <w:tc>
          <w:tcPr>
            <w:tcW w:w="817" w:type="dxa"/>
            <w:vAlign w:val="center"/>
          </w:tcPr>
          <w:p w:rsidR="00B37A73" w:rsidRDefault="00590A19">
            <w:pPr>
              <w:jc w:val="center"/>
            </w:pPr>
            <w:r>
              <w:rPr>
                <w:rFonts w:eastAsiaTheme="minorEastAsia"/>
                <w:color w:val="000000" w:themeColor="text1"/>
                <w:kern w:val="0"/>
                <w:szCs w:val="21"/>
              </w:rPr>
              <w:t>7</w:t>
            </w:r>
          </w:p>
        </w:tc>
        <w:tc>
          <w:tcPr>
            <w:tcW w:w="1276" w:type="dxa"/>
            <w:vAlign w:val="center"/>
          </w:tcPr>
          <w:p w:rsidR="00B37A73" w:rsidRDefault="00590A19">
            <w:pPr>
              <w:jc w:val="center"/>
            </w:pPr>
            <w:r>
              <w:rPr>
                <w:rFonts w:eastAsiaTheme="minorEastAsia"/>
                <w:color w:val="000000" w:themeColor="text1"/>
                <w:kern w:val="0"/>
                <w:szCs w:val="21"/>
              </w:rPr>
              <w:t>002541</w:t>
            </w:r>
          </w:p>
        </w:tc>
        <w:tc>
          <w:tcPr>
            <w:tcW w:w="1701" w:type="dxa"/>
            <w:vAlign w:val="center"/>
          </w:tcPr>
          <w:p w:rsidR="00B37A73" w:rsidRDefault="00590A19">
            <w:pPr>
              <w:jc w:val="center"/>
            </w:pPr>
            <w:r>
              <w:rPr>
                <w:rFonts w:eastAsiaTheme="minorEastAsia"/>
                <w:color w:val="000000" w:themeColor="text1"/>
                <w:kern w:val="0"/>
                <w:szCs w:val="21"/>
              </w:rPr>
              <w:t>鸿路钢构</w:t>
            </w:r>
          </w:p>
        </w:tc>
        <w:tc>
          <w:tcPr>
            <w:tcW w:w="1276" w:type="dxa"/>
            <w:vAlign w:val="center"/>
          </w:tcPr>
          <w:p w:rsidR="00B37A73" w:rsidRDefault="00590A19">
            <w:pPr>
              <w:jc w:val="right"/>
            </w:pPr>
            <w:r>
              <w:rPr>
                <w:rFonts w:eastAsiaTheme="minorEastAsia"/>
                <w:color w:val="000000" w:themeColor="text1"/>
                <w:kern w:val="0"/>
                <w:szCs w:val="21"/>
              </w:rPr>
              <w:t>1,078,000</w:t>
            </w:r>
          </w:p>
        </w:tc>
        <w:tc>
          <w:tcPr>
            <w:tcW w:w="1842" w:type="dxa"/>
            <w:vAlign w:val="center"/>
          </w:tcPr>
          <w:p w:rsidR="00B37A73" w:rsidRDefault="00590A19">
            <w:pPr>
              <w:jc w:val="right"/>
            </w:pPr>
            <w:r>
              <w:rPr>
                <w:rFonts w:eastAsiaTheme="minorEastAsia"/>
                <w:color w:val="000000" w:themeColor="text1"/>
                <w:kern w:val="0"/>
                <w:szCs w:val="21"/>
              </w:rPr>
              <w:t>16,364,040.00</w:t>
            </w:r>
          </w:p>
        </w:tc>
        <w:tc>
          <w:tcPr>
            <w:tcW w:w="1616" w:type="dxa"/>
            <w:vAlign w:val="center"/>
          </w:tcPr>
          <w:p w:rsidR="00B37A73" w:rsidRDefault="00590A19">
            <w:pPr>
              <w:jc w:val="right"/>
            </w:pPr>
            <w:r>
              <w:rPr>
                <w:rFonts w:eastAsiaTheme="minorEastAsia"/>
                <w:color w:val="000000" w:themeColor="text1"/>
                <w:kern w:val="0"/>
                <w:szCs w:val="21"/>
              </w:rPr>
              <w:t>3.62</w:t>
            </w:r>
          </w:p>
        </w:tc>
      </w:tr>
      <w:tr w:rsidR="00B37A73">
        <w:tc>
          <w:tcPr>
            <w:tcW w:w="817" w:type="dxa"/>
            <w:vAlign w:val="center"/>
          </w:tcPr>
          <w:p w:rsidR="00B37A73" w:rsidRDefault="00590A19">
            <w:pPr>
              <w:jc w:val="center"/>
            </w:pPr>
            <w:r>
              <w:rPr>
                <w:rFonts w:eastAsiaTheme="minorEastAsia"/>
                <w:color w:val="000000" w:themeColor="text1"/>
                <w:kern w:val="0"/>
                <w:szCs w:val="21"/>
              </w:rPr>
              <w:t>8</w:t>
            </w:r>
          </w:p>
        </w:tc>
        <w:tc>
          <w:tcPr>
            <w:tcW w:w="1276" w:type="dxa"/>
            <w:vAlign w:val="center"/>
          </w:tcPr>
          <w:p w:rsidR="00B37A73" w:rsidRDefault="00590A19">
            <w:pPr>
              <w:jc w:val="center"/>
            </w:pPr>
            <w:r>
              <w:rPr>
                <w:rFonts w:eastAsiaTheme="minorEastAsia"/>
                <w:color w:val="000000" w:themeColor="text1"/>
                <w:kern w:val="0"/>
                <w:szCs w:val="21"/>
              </w:rPr>
              <w:t>600160</w:t>
            </w:r>
          </w:p>
        </w:tc>
        <w:tc>
          <w:tcPr>
            <w:tcW w:w="1701" w:type="dxa"/>
            <w:vAlign w:val="center"/>
          </w:tcPr>
          <w:p w:rsidR="00B37A73" w:rsidRDefault="00590A19">
            <w:pPr>
              <w:jc w:val="center"/>
            </w:pPr>
            <w:r>
              <w:rPr>
                <w:rFonts w:eastAsiaTheme="minorEastAsia"/>
                <w:color w:val="000000" w:themeColor="text1"/>
                <w:kern w:val="0"/>
                <w:szCs w:val="21"/>
              </w:rPr>
              <w:t>巨化股份</w:t>
            </w:r>
          </w:p>
        </w:tc>
        <w:tc>
          <w:tcPr>
            <w:tcW w:w="1276" w:type="dxa"/>
            <w:vAlign w:val="center"/>
          </w:tcPr>
          <w:p w:rsidR="00B37A73" w:rsidRDefault="00590A19">
            <w:pPr>
              <w:jc w:val="right"/>
            </w:pPr>
            <w:r>
              <w:rPr>
                <w:rFonts w:eastAsiaTheme="minorEastAsia"/>
                <w:color w:val="000000" w:themeColor="text1"/>
                <w:kern w:val="0"/>
                <w:szCs w:val="21"/>
              </w:rPr>
              <w:t>673,000</w:t>
            </w:r>
          </w:p>
        </w:tc>
        <w:tc>
          <w:tcPr>
            <w:tcW w:w="1842" w:type="dxa"/>
            <w:vAlign w:val="center"/>
          </w:tcPr>
          <w:p w:rsidR="00B37A73" w:rsidRDefault="00590A19">
            <w:pPr>
              <w:jc w:val="right"/>
            </w:pPr>
            <w:r>
              <w:rPr>
                <w:rFonts w:eastAsiaTheme="minorEastAsia"/>
                <w:color w:val="000000" w:themeColor="text1"/>
                <w:kern w:val="0"/>
                <w:szCs w:val="21"/>
              </w:rPr>
              <w:t>14,987,710.00</w:t>
            </w:r>
          </w:p>
        </w:tc>
        <w:tc>
          <w:tcPr>
            <w:tcW w:w="1616" w:type="dxa"/>
            <w:vAlign w:val="center"/>
          </w:tcPr>
          <w:p w:rsidR="00B37A73" w:rsidRDefault="00590A19">
            <w:pPr>
              <w:jc w:val="right"/>
            </w:pPr>
            <w:r>
              <w:rPr>
                <w:rFonts w:eastAsiaTheme="minorEastAsia"/>
                <w:color w:val="000000" w:themeColor="text1"/>
                <w:kern w:val="0"/>
                <w:szCs w:val="21"/>
              </w:rPr>
              <w:t>3.32</w:t>
            </w:r>
          </w:p>
        </w:tc>
      </w:tr>
      <w:tr w:rsidR="00B37A73">
        <w:tc>
          <w:tcPr>
            <w:tcW w:w="817" w:type="dxa"/>
            <w:vAlign w:val="center"/>
          </w:tcPr>
          <w:p w:rsidR="00B37A73" w:rsidRDefault="00590A19">
            <w:pPr>
              <w:jc w:val="center"/>
            </w:pPr>
            <w:r>
              <w:rPr>
                <w:rFonts w:eastAsiaTheme="minorEastAsia"/>
                <w:color w:val="000000" w:themeColor="text1"/>
                <w:kern w:val="0"/>
                <w:szCs w:val="21"/>
              </w:rPr>
              <w:t>9</w:t>
            </w:r>
          </w:p>
        </w:tc>
        <w:tc>
          <w:tcPr>
            <w:tcW w:w="1276" w:type="dxa"/>
            <w:vAlign w:val="center"/>
          </w:tcPr>
          <w:p w:rsidR="00B37A73" w:rsidRDefault="00590A19">
            <w:pPr>
              <w:jc w:val="center"/>
            </w:pPr>
            <w:r>
              <w:rPr>
                <w:rFonts w:eastAsiaTheme="minorEastAsia"/>
                <w:color w:val="000000" w:themeColor="text1"/>
                <w:kern w:val="0"/>
                <w:szCs w:val="21"/>
              </w:rPr>
              <w:t>601601</w:t>
            </w:r>
          </w:p>
        </w:tc>
        <w:tc>
          <w:tcPr>
            <w:tcW w:w="1701" w:type="dxa"/>
            <w:vAlign w:val="center"/>
          </w:tcPr>
          <w:p w:rsidR="00B37A73" w:rsidRDefault="00590A19">
            <w:pPr>
              <w:jc w:val="center"/>
            </w:pPr>
            <w:r>
              <w:rPr>
                <w:rFonts w:eastAsiaTheme="minorEastAsia"/>
                <w:color w:val="000000" w:themeColor="text1"/>
                <w:kern w:val="0"/>
                <w:szCs w:val="21"/>
              </w:rPr>
              <w:t>中国太保</w:t>
            </w:r>
          </w:p>
        </w:tc>
        <w:tc>
          <w:tcPr>
            <w:tcW w:w="1276" w:type="dxa"/>
            <w:vAlign w:val="center"/>
          </w:tcPr>
          <w:p w:rsidR="00B37A73" w:rsidRDefault="00590A19">
            <w:pPr>
              <w:jc w:val="right"/>
            </w:pPr>
            <w:r>
              <w:rPr>
                <w:rFonts w:eastAsiaTheme="minorEastAsia"/>
                <w:color w:val="000000" w:themeColor="text1"/>
                <w:kern w:val="0"/>
                <w:szCs w:val="21"/>
              </w:rPr>
              <w:t>357,600</w:t>
            </w:r>
          </w:p>
        </w:tc>
        <w:tc>
          <w:tcPr>
            <w:tcW w:w="1842" w:type="dxa"/>
            <w:vAlign w:val="center"/>
          </w:tcPr>
          <w:p w:rsidR="00B37A73" w:rsidRDefault="00590A19">
            <w:pPr>
              <w:jc w:val="right"/>
            </w:pPr>
            <w:r>
              <w:rPr>
                <w:rFonts w:eastAsiaTheme="minorEastAsia"/>
                <w:color w:val="000000" w:themeColor="text1"/>
                <w:kern w:val="0"/>
                <w:szCs w:val="21"/>
              </w:rPr>
              <w:t>13,982,160.00</w:t>
            </w:r>
          </w:p>
        </w:tc>
        <w:tc>
          <w:tcPr>
            <w:tcW w:w="1616" w:type="dxa"/>
            <w:vAlign w:val="center"/>
          </w:tcPr>
          <w:p w:rsidR="00B37A73" w:rsidRDefault="00590A19">
            <w:pPr>
              <w:jc w:val="right"/>
            </w:pPr>
            <w:r>
              <w:rPr>
                <w:rFonts w:eastAsiaTheme="minorEastAsia"/>
                <w:color w:val="000000" w:themeColor="text1"/>
                <w:kern w:val="0"/>
                <w:szCs w:val="21"/>
              </w:rPr>
              <w:t>3.10</w:t>
            </w:r>
          </w:p>
        </w:tc>
      </w:tr>
      <w:tr w:rsidR="00B37A73">
        <w:tc>
          <w:tcPr>
            <w:tcW w:w="817" w:type="dxa"/>
            <w:vAlign w:val="center"/>
          </w:tcPr>
          <w:p w:rsidR="00B37A73" w:rsidRDefault="00590A19">
            <w:pPr>
              <w:jc w:val="center"/>
            </w:pPr>
            <w:r>
              <w:rPr>
                <w:rFonts w:eastAsiaTheme="minorEastAsia"/>
                <w:color w:val="000000" w:themeColor="text1"/>
                <w:kern w:val="0"/>
                <w:szCs w:val="21"/>
              </w:rPr>
              <w:t>10</w:t>
            </w:r>
          </w:p>
        </w:tc>
        <w:tc>
          <w:tcPr>
            <w:tcW w:w="1276" w:type="dxa"/>
            <w:vAlign w:val="center"/>
          </w:tcPr>
          <w:p w:rsidR="00B37A73" w:rsidRDefault="00590A19">
            <w:pPr>
              <w:jc w:val="center"/>
            </w:pPr>
            <w:r>
              <w:rPr>
                <w:rFonts w:eastAsiaTheme="minorEastAsia"/>
                <w:color w:val="000000" w:themeColor="text1"/>
                <w:kern w:val="0"/>
                <w:szCs w:val="21"/>
              </w:rPr>
              <w:t>600031</w:t>
            </w:r>
          </w:p>
        </w:tc>
        <w:tc>
          <w:tcPr>
            <w:tcW w:w="1701" w:type="dxa"/>
            <w:vAlign w:val="center"/>
          </w:tcPr>
          <w:p w:rsidR="00B37A73" w:rsidRDefault="00590A19">
            <w:pPr>
              <w:jc w:val="center"/>
            </w:pPr>
            <w:r>
              <w:rPr>
                <w:rFonts w:eastAsiaTheme="minorEastAsia"/>
                <w:color w:val="000000" w:themeColor="text1"/>
                <w:kern w:val="0"/>
                <w:szCs w:val="21"/>
              </w:rPr>
              <w:t>三一重工</w:t>
            </w:r>
          </w:p>
        </w:tc>
        <w:tc>
          <w:tcPr>
            <w:tcW w:w="1276" w:type="dxa"/>
            <w:vAlign w:val="center"/>
          </w:tcPr>
          <w:p w:rsidR="00B37A73" w:rsidRDefault="00590A19">
            <w:pPr>
              <w:jc w:val="right"/>
            </w:pPr>
            <w:r>
              <w:rPr>
                <w:rFonts w:eastAsiaTheme="minorEastAsia"/>
                <w:color w:val="000000" w:themeColor="text1"/>
                <w:kern w:val="0"/>
                <w:szCs w:val="21"/>
              </w:rPr>
              <w:t>678,500</w:t>
            </w:r>
          </w:p>
        </w:tc>
        <w:tc>
          <w:tcPr>
            <w:tcW w:w="1842" w:type="dxa"/>
            <w:vAlign w:val="center"/>
          </w:tcPr>
          <w:p w:rsidR="00B37A73" w:rsidRDefault="00590A19">
            <w:pPr>
              <w:jc w:val="right"/>
            </w:pPr>
            <w:r>
              <w:rPr>
                <w:rFonts w:eastAsiaTheme="minorEastAsia"/>
                <w:color w:val="000000" w:themeColor="text1"/>
                <w:kern w:val="0"/>
                <w:szCs w:val="21"/>
              </w:rPr>
              <w:t>12,810,080.00</w:t>
            </w:r>
          </w:p>
        </w:tc>
        <w:tc>
          <w:tcPr>
            <w:tcW w:w="1616" w:type="dxa"/>
            <w:vAlign w:val="center"/>
          </w:tcPr>
          <w:p w:rsidR="00B37A73" w:rsidRDefault="00590A19">
            <w:pPr>
              <w:jc w:val="right"/>
            </w:pPr>
            <w:r>
              <w:rPr>
                <w:rFonts w:eastAsiaTheme="minorEastAsia"/>
                <w:color w:val="000000" w:themeColor="text1"/>
                <w:kern w:val="0"/>
                <w:szCs w:val="21"/>
              </w:rPr>
              <w:t>2.84</w:t>
            </w:r>
          </w:p>
        </w:tc>
      </w:tr>
    </w:tbl>
    <w:bookmarkEnd w:id="3"/>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本基金投资的前十名证券的发行主体中，中国太平洋保险</w:t>
      </w:r>
      <w:r w:rsidRPr="0073597F">
        <w:rPr>
          <w:rFonts w:eastAsiaTheme="minorEastAsia"/>
          <w:color w:val="000000" w:themeColor="text1"/>
          <w:szCs w:val="21"/>
        </w:rPr>
        <w:t>(</w:t>
      </w:r>
      <w:r w:rsidRPr="0073597F">
        <w:rPr>
          <w:rFonts w:eastAsiaTheme="minorEastAsia"/>
          <w:color w:val="000000" w:themeColor="text1"/>
          <w:szCs w:val="21"/>
        </w:rPr>
        <w:t>集团</w:t>
      </w:r>
      <w:r w:rsidRPr="0073597F">
        <w:rPr>
          <w:rFonts w:eastAsiaTheme="minorEastAsia"/>
          <w:color w:val="000000" w:themeColor="text1"/>
          <w:szCs w:val="21"/>
        </w:rPr>
        <w:t>)</w:t>
      </w:r>
      <w:r w:rsidRPr="0073597F">
        <w:rPr>
          <w:rFonts w:eastAsiaTheme="minorEastAsia"/>
          <w:color w:val="000000" w:themeColor="text1"/>
          <w:szCs w:val="21"/>
        </w:rPr>
        <w:t>股份有限公司报告编制日前一年内曾受到国家外汇管理局上海市分局的处罚。</w:t>
      </w:r>
    </w:p>
    <w:p w:rsidR="00B37A73" w:rsidRDefault="00590A19">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117,062.66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476,306.99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593,369.65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194,023,721.51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30,889,766.22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443,853.09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2,344,545.92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176,820.81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52,890.52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13,711,815.70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2,979,042.07</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45,465.53</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182,656,451.73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28,087,544.96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451,278.08</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4"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4"/>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、《摩根行业轮动混合型证券投资基金基金合同》；</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、《摩根行业轮动混合型证券投资基金托管协议》；</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B37A73" w:rsidRDefault="00590A1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0C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0C0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0C04">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摩根行业轮动混合型证券投资基金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0A1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0C0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A7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1DE9B-1A83-491B-A35D-09E1B6C9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188</TotalTime>
  <Pages>15</Pages>
  <Words>1256</Words>
  <Characters>7164</Characters>
  <Application>Microsoft Office Word</Application>
  <DocSecurity>0</DocSecurity>
  <Lines>59</Lines>
  <Paragraphs>16</Paragraphs>
  <ScaleCrop>false</ScaleCrop>
  <Company>TRT. Ltd. Co.</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238</cp:revision>
  <cp:lastPrinted>2007-07-19T00:46:00Z</cp:lastPrinted>
  <dcterms:created xsi:type="dcterms:W3CDTF">2013-06-21T06:56:00Z</dcterms:created>
  <dcterms:modified xsi:type="dcterms:W3CDTF">2024-10-24T06:05:00Z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