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上投摩根全球新兴市场混合型证券投资基金</w:t>
      </w: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2018年第4季度报告</w:t>
      </w:r>
    </w:p>
    <w:p w:rsidR="00397616" w:rsidRPr="008277FF" w:rsidRDefault="00623556" w:rsidP="00506D57">
      <w:pPr>
        <w:spacing w:line="360" w:lineRule="auto"/>
        <w:jc w:val="center"/>
        <w:rPr>
          <w:rFonts w:asciiTheme="minorEastAsia" w:eastAsiaTheme="minorEastAsia" w:hAnsiTheme="minorEastAsia"/>
          <w:b/>
          <w:color w:val="000000" w:themeColor="text1"/>
          <w:sz w:val="24"/>
        </w:rPr>
      </w:pPr>
      <w:r w:rsidRPr="008277FF">
        <w:rPr>
          <w:rFonts w:asciiTheme="minorEastAsia" w:eastAsiaTheme="minorEastAsia" w:hAnsiTheme="minorEastAsia"/>
          <w:b/>
          <w:color w:val="000000" w:themeColor="text1"/>
          <w:sz w:val="24"/>
        </w:rPr>
        <w:t>2018年12月31日</w:t>
      </w: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826B12">
      <w:pPr>
        <w:spacing w:line="288" w:lineRule="auto"/>
        <w:ind w:firstLineChars="900" w:firstLine="2168"/>
        <w:rPr>
          <w:rFonts w:asciiTheme="minorEastAsia" w:eastAsiaTheme="minorEastAsia" w:hAnsiTheme="minorEastAsia"/>
          <w:b/>
          <w:color w:val="000000" w:themeColor="text1"/>
          <w:sz w:val="24"/>
        </w:rPr>
      </w:pP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基金管理人：</w:t>
      </w:r>
      <w:r w:rsidRPr="008277FF">
        <w:rPr>
          <w:rFonts w:asciiTheme="minorEastAsia" w:eastAsiaTheme="minorEastAsia" w:hAnsiTheme="minorEastAsia"/>
          <w:b/>
          <w:color w:val="000000" w:themeColor="text1"/>
          <w:sz w:val="24"/>
        </w:rPr>
        <w:t>上投摩根基金管理有限公司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基金托管人：</w:t>
      </w:r>
      <w:r w:rsidRPr="008277FF">
        <w:rPr>
          <w:rFonts w:asciiTheme="minorEastAsia" w:eastAsiaTheme="minorEastAsia" w:hAnsiTheme="minorEastAsia"/>
          <w:b/>
          <w:color w:val="000000" w:themeColor="text1"/>
          <w:sz w:val="24"/>
        </w:rPr>
        <w:t>中国建设银行股份有限公司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8277FF">
        <w:rPr>
          <w:rFonts w:asciiTheme="minorEastAsia" w:eastAsiaTheme="minorEastAsia" w:hAnsiTheme="minorEastAsia" w:hint="eastAsia"/>
          <w:b/>
          <w:color w:val="000000" w:themeColor="text1"/>
          <w:sz w:val="24"/>
        </w:rPr>
        <w:t>报告送出日期：</w:t>
      </w:r>
      <w:r w:rsidR="00CB44DE" w:rsidRPr="008277FF">
        <w:rPr>
          <w:rFonts w:asciiTheme="minorEastAsia" w:eastAsiaTheme="minorEastAsia" w:hAnsiTheme="minorEastAsia"/>
          <w:b/>
          <w:color w:val="000000" w:themeColor="text1"/>
          <w:sz w:val="24"/>
        </w:rPr>
        <w:t>二〇一九年一月二十二日</w:t>
      </w:r>
    </w:p>
    <w:p w:rsidR="0076518F" w:rsidRPr="008277FF" w:rsidRDefault="0076518F" w:rsidP="00BE13D5">
      <w:pPr>
        <w:pStyle w:val="1"/>
        <w:spacing w:beforeLines="100" w:before="312" w:afterLines="100" w:after="312" w:line="360" w:lineRule="auto"/>
        <w:jc w:val="center"/>
        <w:rPr>
          <w:rFonts w:asciiTheme="minorEastAsia" w:eastAsiaTheme="minorEastAsia" w:hAnsiTheme="minorEastAsia" w:cs="Arial"/>
          <w:b w:val="0"/>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lastRenderedPageBreak/>
        <w:t>§</w:t>
      </w:r>
      <w:r w:rsidRPr="008277FF">
        <w:rPr>
          <w:rFonts w:asciiTheme="minorEastAsia" w:eastAsiaTheme="minorEastAsia" w:hAnsiTheme="minorEastAsia" w:cs="Arial"/>
          <w:color w:val="000000" w:themeColor="text1"/>
          <w:kern w:val="0"/>
          <w:sz w:val="24"/>
          <w:szCs w:val="24"/>
        </w:rPr>
        <w:t xml:space="preserve">1  </w:t>
      </w:r>
      <w:r w:rsidRPr="008277FF">
        <w:rPr>
          <w:rFonts w:asciiTheme="minorEastAsia" w:eastAsiaTheme="minorEastAsia" w:hAnsiTheme="minorEastAsia" w:cs="Arial" w:hint="eastAsia"/>
          <w:color w:val="000000" w:themeColor="text1"/>
          <w:kern w:val="0"/>
          <w:sz w:val="24"/>
          <w:szCs w:val="24"/>
        </w:rPr>
        <w:t>重要提示</w:t>
      </w:r>
    </w:p>
    <w:p w:rsidR="00A95178" w:rsidRDefault="00BE13D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基金管理人的董事会及董事保证本报告所载资料不存在虚假记载、误导性陈述或重大遗漏，并对其内容的真实性、准确性和完整性承担个别及连带责任。 </w:t>
      </w:r>
    </w:p>
    <w:p w:rsidR="00A95178" w:rsidRDefault="00BE13D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基金托管人中国建设银行股份有限公司根据本基金合同规定，于2019年1月21日复核了本报告中的财务指标、净值表现和投资组合报告等内容，保证复核内容不存在虚假记载、误导性陈述或者重大遗漏。 </w:t>
      </w:r>
    </w:p>
    <w:p w:rsidR="00A95178" w:rsidRDefault="00BE13D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基金管理人承诺以诚实信用、勤勉尽责的原则管理和运用基金资产，但不保证基金一定盈利。 </w:t>
      </w:r>
    </w:p>
    <w:p w:rsidR="00A95178" w:rsidRDefault="00BE13D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基金的过往业绩并不代表其未来表现。投资有风险，投资者在作出投资决策前应仔细阅读本基金的招募说明书。 </w:t>
      </w:r>
    </w:p>
    <w:p w:rsidR="00A95178" w:rsidRDefault="00BE13D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7D1292" w:rsidRPr="008277FF" w:rsidRDefault="007D1292" w:rsidP="006669C9">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本报告期自2018年10月1日起至12月31日止。</w:t>
      </w:r>
    </w:p>
    <w:p w:rsidR="0076518F" w:rsidRPr="008277FF" w:rsidRDefault="0076518F" w:rsidP="00BE13D5">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2  </w:t>
      </w:r>
      <w:r w:rsidRPr="008277FF">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8277FF" w:rsidTr="006669C9">
        <w:tc>
          <w:tcPr>
            <w:tcW w:w="2977" w:type="dxa"/>
            <w:vAlign w:val="center"/>
          </w:tcPr>
          <w:p w:rsidR="00363E15" w:rsidRPr="008277FF" w:rsidRDefault="00363E15"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基金简称</w:t>
            </w:r>
          </w:p>
        </w:tc>
        <w:tc>
          <w:tcPr>
            <w:tcW w:w="5443" w:type="dxa"/>
            <w:vAlign w:val="center"/>
          </w:tcPr>
          <w:p w:rsidR="00363E15" w:rsidRPr="008277FF" w:rsidRDefault="00363E15"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上投摩根全球新兴市场混合(QDII)</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基金主代码</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378006</w:t>
            </w:r>
          </w:p>
        </w:tc>
      </w:tr>
      <w:tr w:rsidR="008277FF" w:rsidRPr="008277FF" w:rsidTr="006669C9">
        <w:tc>
          <w:tcPr>
            <w:tcW w:w="2977" w:type="dxa"/>
            <w:vAlign w:val="center"/>
          </w:tcPr>
          <w:p w:rsidR="005837E4" w:rsidRPr="008277FF" w:rsidRDefault="005837E4"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交易代码</w:t>
            </w:r>
          </w:p>
        </w:tc>
        <w:tc>
          <w:tcPr>
            <w:tcW w:w="5443" w:type="dxa"/>
            <w:vAlign w:val="center"/>
          </w:tcPr>
          <w:p w:rsidR="005837E4" w:rsidRPr="008277FF" w:rsidRDefault="005837E4"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378006</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基金运作方式</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契约型开放式</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基金合同生效日</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2011年1月30日</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报告期末基金份额总额</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76,092,895.26</w:t>
            </w:r>
            <w:r w:rsidRPr="008277FF">
              <w:rPr>
                <w:rFonts w:asciiTheme="minorEastAsia" w:eastAsiaTheme="minorEastAsia" w:hAnsiTheme="minorEastAsia" w:hint="eastAsia"/>
                <w:color w:val="000000" w:themeColor="text1"/>
                <w:kern w:val="0"/>
                <w:szCs w:val="21"/>
              </w:rPr>
              <w:t>份</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投资目标</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本基金主要投资于新兴市场以及在其他证券市场交易的新兴市场企业，通过深入挖掘新兴市场企业的投资价值，努力实现基金资产的稳健增值。</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投资策略</w:t>
            </w:r>
          </w:p>
        </w:tc>
        <w:tc>
          <w:tcPr>
            <w:tcW w:w="5443" w:type="dxa"/>
            <w:vAlign w:val="center"/>
          </w:tcPr>
          <w:p w:rsidR="00A95178" w:rsidRDefault="00BE13D5">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新兴市场所属国家和地区经济发展多处于转型阶段，劳动力成本低，自然资源丰富，与发达国家与地区比较，其经</w:t>
            </w:r>
            <w:r>
              <w:rPr>
                <w:rFonts w:asciiTheme="minorEastAsia" w:eastAsiaTheme="minorEastAsia" w:hAnsiTheme="minorEastAsia"/>
                <w:color w:val="000000" w:themeColor="text1"/>
                <w:kern w:val="0"/>
                <w:szCs w:val="21"/>
              </w:rPr>
              <w:lastRenderedPageBreak/>
              <w:t>济发展速度一般相对较高。本基金将充分分享新兴市场经济高增长成果，审慎把握新兴市场的投资机会，争取为投资者带来长期稳健回报。</w:t>
            </w:r>
          </w:p>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lastRenderedPageBreak/>
              <w:t>业绩比较基准</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本基金的业绩比较基准为：MSCI新兴市场股票指数（总回报）</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风险收益特征</w:t>
            </w:r>
          </w:p>
        </w:tc>
        <w:tc>
          <w:tcPr>
            <w:tcW w:w="5443" w:type="dxa"/>
            <w:vAlign w:val="center"/>
          </w:tcPr>
          <w:p w:rsidR="00A95178" w:rsidRDefault="00BE13D5">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w:t>
            </w:r>
          </w:p>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本基金风险收益特征会定期评估并在公司网站发布，请投资者关注。</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基金管理人</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上投摩根基金管理有限公司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基金托管人</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中国建设银行股份有限公司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境外投资顾问英文名称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JPMorgan Asset Management(UK) Limited</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境外投资顾问中文名称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摩根资产管理（英国）有限公司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境外资产托管人英文名称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JPMorgan Chase Bank, N.A.</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境外资产托管人中文名称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摩根大通银行</w:t>
            </w:r>
          </w:p>
        </w:tc>
      </w:tr>
    </w:tbl>
    <w:p w:rsidR="0076518F" w:rsidRPr="008277FF" w:rsidRDefault="0076518F" w:rsidP="00BE13D5">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lastRenderedPageBreak/>
        <w:t>§</w:t>
      </w:r>
      <w:r w:rsidRPr="008277FF">
        <w:rPr>
          <w:rFonts w:asciiTheme="minorEastAsia" w:eastAsiaTheme="minorEastAsia" w:hAnsiTheme="minorEastAsia" w:cs="Arial"/>
          <w:color w:val="000000" w:themeColor="text1"/>
          <w:kern w:val="0"/>
          <w:sz w:val="24"/>
          <w:szCs w:val="24"/>
        </w:rPr>
        <w:t xml:space="preserve">3  </w:t>
      </w:r>
      <w:r w:rsidRPr="008277FF">
        <w:rPr>
          <w:rFonts w:asciiTheme="minorEastAsia" w:eastAsiaTheme="minorEastAsia" w:hAnsiTheme="minorEastAsia" w:cs="Arial" w:hint="eastAsia"/>
          <w:color w:val="000000" w:themeColor="text1"/>
          <w:kern w:val="0"/>
          <w:sz w:val="24"/>
          <w:szCs w:val="24"/>
        </w:rPr>
        <w:t>主要财务指标和基金净值表现</w:t>
      </w:r>
    </w:p>
    <w:p w:rsidR="0076518F" w:rsidRPr="008277FF" w:rsidRDefault="0076518F" w:rsidP="00506D57">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3.1 </w:t>
      </w:r>
      <w:r w:rsidRPr="008277FF">
        <w:rPr>
          <w:rFonts w:asciiTheme="minorEastAsia" w:eastAsiaTheme="minorEastAsia" w:hAnsiTheme="minorEastAsia" w:cs="Arial" w:hint="eastAsia"/>
          <w:b/>
          <w:color w:val="000000" w:themeColor="text1"/>
          <w:kern w:val="0"/>
          <w:sz w:val="24"/>
        </w:rPr>
        <w:t>主要财务指标</w:t>
      </w:r>
    </w:p>
    <w:p w:rsidR="0076518F" w:rsidRPr="008277FF" w:rsidRDefault="0076518F" w:rsidP="008B6A4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BE13D5" w:rsidRPr="008277FF" w:rsidTr="00BE13D5">
        <w:tc>
          <w:tcPr>
            <w:tcW w:w="3402" w:type="dxa"/>
            <w:vAlign w:val="center"/>
          </w:tcPr>
          <w:p w:rsidR="007D1292" w:rsidRPr="008277FF" w:rsidRDefault="007D1292" w:rsidP="001D369F">
            <w:pPr>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主要财务指标</w:t>
            </w:r>
          </w:p>
        </w:tc>
        <w:tc>
          <w:tcPr>
            <w:tcW w:w="4962" w:type="dxa"/>
            <w:vAlign w:val="center"/>
          </w:tcPr>
          <w:p w:rsidR="000306F0" w:rsidRPr="008277FF" w:rsidRDefault="000306F0" w:rsidP="001D369F">
            <w:pPr>
              <w:adjustRightInd w:val="0"/>
              <w:spacing w:before="29" w:line="360" w:lineRule="auto"/>
              <w:ind w:left="17"/>
              <w:jc w:val="center"/>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报告期</w:t>
            </w:r>
          </w:p>
          <w:p w:rsidR="007D1292" w:rsidRPr="008277FF" w:rsidRDefault="000306F0" w:rsidP="001D369F">
            <w:pPr>
              <w:adjustRightInd w:val="0"/>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w:t>
            </w:r>
            <w:r w:rsidRPr="008277FF">
              <w:rPr>
                <w:rFonts w:asciiTheme="minorEastAsia" w:eastAsiaTheme="minorEastAsia" w:hAnsiTheme="minorEastAsia" w:cs="宋体"/>
                <w:color w:val="000000" w:themeColor="text1"/>
                <w:szCs w:val="21"/>
              </w:rPr>
              <w:t>2018年10月1日-2018年12月31日</w:t>
            </w:r>
            <w:r w:rsidRPr="008277FF">
              <w:rPr>
                <w:rFonts w:asciiTheme="minorEastAsia" w:eastAsiaTheme="minorEastAsia" w:hAnsiTheme="minorEastAsia" w:cs="宋体" w:hint="eastAsia"/>
                <w:color w:val="000000" w:themeColor="text1"/>
                <w:szCs w:val="21"/>
              </w:rPr>
              <w:t>)</w:t>
            </w:r>
          </w:p>
        </w:tc>
      </w:tr>
      <w:tr w:rsidR="00BE13D5" w:rsidRPr="008277FF" w:rsidTr="00BE13D5">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1.</w:t>
            </w:r>
            <w:r w:rsidRPr="008277FF">
              <w:rPr>
                <w:rFonts w:asciiTheme="minorEastAsia" w:eastAsiaTheme="minorEastAsia" w:hAnsiTheme="minorEastAsia" w:cs="宋体" w:hint="eastAsia"/>
                <w:color w:val="000000" w:themeColor="text1"/>
                <w:kern w:val="0"/>
                <w:szCs w:val="21"/>
              </w:rPr>
              <w:t>本期已实现收益</w:t>
            </w:r>
          </w:p>
        </w:tc>
        <w:tc>
          <w:tcPr>
            <w:tcW w:w="4962" w:type="dxa"/>
            <w:vAlign w:val="center"/>
          </w:tcPr>
          <w:p w:rsidR="007D1292" w:rsidRPr="008277FF" w:rsidRDefault="00CF3081"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CF3081">
              <w:rPr>
                <w:rFonts w:asciiTheme="minorEastAsia" w:eastAsiaTheme="minorEastAsia" w:hAnsiTheme="minorEastAsia" w:cs="宋体"/>
                <w:color w:val="000000" w:themeColor="text1"/>
                <w:szCs w:val="21"/>
              </w:rPr>
              <w:t>-4,074,566.23</w:t>
            </w:r>
          </w:p>
        </w:tc>
      </w:tr>
      <w:tr w:rsidR="00BE13D5" w:rsidRPr="008277FF" w:rsidTr="00BE13D5">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2.</w:t>
            </w:r>
            <w:r w:rsidRPr="008277FF">
              <w:rPr>
                <w:rFonts w:asciiTheme="minorEastAsia" w:eastAsiaTheme="minorEastAsia" w:hAnsiTheme="minorEastAsia" w:cs="宋体" w:hint="eastAsia"/>
                <w:color w:val="000000" w:themeColor="text1"/>
                <w:kern w:val="0"/>
                <w:szCs w:val="21"/>
              </w:rPr>
              <w:t>本期利润</w:t>
            </w:r>
          </w:p>
        </w:tc>
        <w:tc>
          <w:tcPr>
            <w:tcW w:w="4962" w:type="dxa"/>
            <w:vAlign w:val="center"/>
          </w:tcPr>
          <w:p w:rsidR="007D1292" w:rsidRPr="008277FF" w:rsidRDefault="00CF3081"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CF3081">
              <w:rPr>
                <w:rFonts w:asciiTheme="minorEastAsia" w:eastAsiaTheme="minorEastAsia" w:hAnsiTheme="minorEastAsia" w:cs="宋体"/>
                <w:color w:val="000000" w:themeColor="text1"/>
                <w:szCs w:val="21"/>
              </w:rPr>
              <w:t>-8,298,075.99</w:t>
            </w:r>
          </w:p>
        </w:tc>
      </w:tr>
      <w:tr w:rsidR="00BE13D5" w:rsidRPr="008277FF" w:rsidTr="00BE13D5">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3.</w:t>
            </w:r>
            <w:r w:rsidRPr="008277FF">
              <w:rPr>
                <w:rFonts w:asciiTheme="minorEastAsia" w:eastAsiaTheme="minorEastAsia" w:hAnsiTheme="minorEastAsia" w:cs="宋体" w:hint="eastAsia"/>
                <w:color w:val="000000" w:themeColor="text1"/>
                <w:kern w:val="0"/>
                <w:szCs w:val="21"/>
              </w:rPr>
              <w:t>加权平均基金份额本期利润</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-0.1082</w:t>
            </w:r>
          </w:p>
        </w:tc>
      </w:tr>
      <w:tr w:rsidR="00BE13D5" w:rsidRPr="008277FF" w:rsidTr="00BE13D5">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4.</w:t>
            </w:r>
            <w:r w:rsidRPr="008277FF">
              <w:rPr>
                <w:rFonts w:asciiTheme="minorEastAsia" w:eastAsiaTheme="minorEastAsia" w:hAnsiTheme="minorEastAsia" w:cs="宋体" w:hint="eastAsia"/>
                <w:color w:val="000000" w:themeColor="text1"/>
                <w:kern w:val="0"/>
                <w:szCs w:val="21"/>
              </w:rPr>
              <w:t>期末基金资产净值</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69,432,994.71</w:t>
            </w:r>
          </w:p>
        </w:tc>
      </w:tr>
      <w:tr w:rsidR="00BE13D5" w:rsidRPr="008277FF" w:rsidTr="00BE13D5">
        <w:trPr>
          <w:trHeight w:val="158"/>
        </w:trPr>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5.</w:t>
            </w:r>
            <w:r w:rsidRPr="008277FF">
              <w:rPr>
                <w:rFonts w:asciiTheme="minorEastAsia" w:eastAsiaTheme="minorEastAsia" w:hAnsiTheme="minorEastAsia" w:cs="宋体" w:hint="eastAsia"/>
                <w:color w:val="000000" w:themeColor="text1"/>
                <w:kern w:val="0"/>
                <w:szCs w:val="21"/>
              </w:rPr>
              <w:t>期末基金份额净值</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0.912</w:t>
            </w:r>
          </w:p>
        </w:tc>
      </w:tr>
    </w:tbl>
    <w:p w:rsidR="00A95178" w:rsidRDefault="00BE13D5">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8277FF" w:rsidRDefault="007D1292"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3.2 </w:t>
      </w:r>
      <w:r w:rsidRPr="008277FF">
        <w:rPr>
          <w:rFonts w:asciiTheme="minorEastAsia" w:eastAsiaTheme="minorEastAsia" w:hAnsiTheme="minorEastAsia" w:cs="Arial" w:hint="eastAsia"/>
          <w:b/>
          <w:color w:val="000000" w:themeColor="text1"/>
          <w:kern w:val="0"/>
          <w:sz w:val="24"/>
        </w:rPr>
        <w:t>基金净值表现</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8277FF">
          <w:rPr>
            <w:rFonts w:asciiTheme="minorEastAsia" w:eastAsiaTheme="minorEastAsia" w:hAnsiTheme="minorEastAsia" w:cs="Arial"/>
            <w:b/>
            <w:color w:val="000000" w:themeColor="text1"/>
            <w:kern w:val="0"/>
            <w:sz w:val="24"/>
          </w:rPr>
          <w:t>3.2.1</w:t>
        </w:r>
      </w:smartTag>
      <w:r w:rsidRPr="008277FF">
        <w:rPr>
          <w:rFonts w:asciiTheme="minorEastAsia" w:eastAsiaTheme="minorEastAsia" w:hAnsiTheme="minorEastAsia" w:cs="Arial" w:hint="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8277FF" w:rsidTr="00B918B8">
        <w:tc>
          <w:tcPr>
            <w:tcW w:w="1395"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阶段</w:t>
            </w:r>
          </w:p>
        </w:tc>
        <w:tc>
          <w:tcPr>
            <w:tcW w:w="1092"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净值增长率①</w:t>
            </w:r>
          </w:p>
        </w:tc>
        <w:tc>
          <w:tcPr>
            <w:tcW w:w="1161"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净值增长率标准差②</w:t>
            </w:r>
          </w:p>
        </w:tc>
        <w:tc>
          <w:tcPr>
            <w:tcW w:w="1181"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业绩比较基准收益率③</w:t>
            </w:r>
          </w:p>
        </w:tc>
        <w:tc>
          <w:tcPr>
            <w:tcW w:w="1188"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业绩比较基准收益率标准差④</w:t>
            </w:r>
          </w:p>
        </w:tc>
        <w:tc>
          <w:tcPr>
            <w:tcW w:w="1199"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①</w:t>
            </w:r>
            <w:r w:rsidRPr="008277FF">
              <w:rPr>
                <w:rFonts w:asciiTheme="minorEastAsia" w:eastAsiaTheme="minorEastAsia" w:hAnsiTheme="minorEastAsia" w:cs="Arial"/>
                <w:color w:val="000000" w:themeColor="text1"/>
                <w:szCs w:val="21"/>
              </w:rPr>
              <w:t>-</w:t>
            </w:r>
            <w:r w:rsidRPr="008277FF">
              <w:rPr>
                <w:rFonts w:asciiTheme="minorEastAsia" w:eastAsiaTheme="minorEastAsia" w:hAnsiTheme="minorEastAsia" w:cs="Arial" w:hint="eastAsia"/>
                <w:color w:val="000000" w:themeColor="text1"/>
                <w:szCs w:val="21"/>
              </w:rPr>
              <w:t>③</w:t>
            </w:r>
          </w:p>
        </w:tc>
        <w:tc>
          <w:tcPr>
            <w:tcW w:w="1204"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②</w:t>
            </w:r>
            <w:r w:rsidRPr="008277FF">
              <w:rPr>
                <w:rFonts w:asciiTheme="minorEastAsia" w:eastAsiaTheme="minorEastAsia" w:hAnsiTheme="minorEastAsia" w:cs="Arial"/>
                <w:color w:val="000000" w:themeColor="text1"/>
                <w:szCs w:val="21"/>
              </w:rPr>
              <w:t>-</w:t>
            </w:r>
            <w:r w:rsidRPr="008277FF">
              <w:rPr>
                <w:rFonts w:asciiTheme="minorEastAsia" w:eastAsiaTheme="minorEastAsia" w:hAnsiTheme="minorEastAsia" w:cs="Arial" w:hint="eastAsia"/>
                <w:color w:val="000000" w:themeColor="text1"/>
                <w:szCs w:val="21"/>
              </w:rPr>
              <w:t>④</w:t>
            </w:r>
          </w:p>
        </w:tc>
      </w:tr>
      <w:tr w:rsidR="00A95178">
        <w:tc>
          <w:tcPr>
            <w:tcW w:w="1395" w:type="dxa"/>
            <w:vAlign w:val="center"/>
          </w:tcPr>
          <w:p w:rsidR="00A95178" w:rsidRDefault="00BE13D5">
            <w:pPr>
              <w:jc w:val="left"/>
            </w:pPr>
            <w:r>
              <w:rPr>
                <w:rFonts w:asciiTheme="minorEastAsia" w:eastAsiaTheme="minorEastAsia" w:hAnsiTheme="minorEastAsia"/>
                <w:color w:val="000000" w:themeColor="text1"/>
                <w:szCs w:val="21"/>
              </w:rPr>
              <w:t>过去三个月</w:t>
            </w:r>
          </w:p>
        </w:tc>
        <w:tc>
          <w:tcPr>
            <w:tcW w:w="1092" w:type="dxa"/>
            <w:vAlign w:val="center"/>
          </w:tcPr>
          <w:p w:rsidR="00A95178" w:rsidRDefault="00BE13D5">
            <w:pPr>
              <w:jc w:val="right"/>
            </w:pPr>
            <w:r>
              <w:rPr>
                <w:rFonts w:asciiTheme="minorEastAsia" w:eastAsiaTheme="minorEastAsia" w:hAnsiTheme="minorEastAsia"/>
                <w:color w:val="000000" w:themeColor="text1"/>
                <w:szCs w:val="21"/>
              </w:rPr>
              <w:t>-10.59%</w:t>
            </w:r>
          </w:p>
        </w:tc>
        <w:tc>
          <w:tcPr>
            <w:tcW w:w="1161" w:type="dxa"/>
            <w:vAlign w:val="center"/>
          </w:tcPr>
          <w:p w:rsidR="00A95178" w:rsidRDefault="00BE13D5">
            <w:pPr>
              <w:jc w:val="right"/>
            </w:pPr>
            <w:r>
              <w:rPr>
                <w:rFonts w:asciiTheme="minorEastAsia" w:eastAsiaTheme="minorEastAsia" w:hAnsiTheme="minorEastAsia"/>
                <w:color w:val="000000" w:themeColor="text1"/>
                <w:szCs w:val="21"/>
              </w:rPr>
              <w:t>1.51%</w:t>
            </w:r>
          </w:p>
        </w:tc>
        <w:tc>
          <w:tcPr>
            <w:tcW w:w="1181" w:type="dxa"/>
            <w:vAlign w:val="center"/>
          </w:tcPr>
          <w:p w:rsidR="00A95178" w:rsidRDefault="00BE13D5">
            <w:pPr>
              <w:jc w:val="right"/>
            </w:pPr>
            <w:r>
              <w:rPr>
                <w:rFonts w:asciiTheme="minorEastAsia" w:eastAsiaTheme="minorEastAsia" w:hAnsiTheme="minorEastAsia"/>
                <w:color w:val="000000" w:themeColor="text1"/>
                <w:szCs w:val="21"/>
              </w:rPr>
              <w:t>-8.06%</w:t>
            </w:r>
          </w:p>
        </w:tc>
        <w:tc>
          <w:tcPr>
            <w:tcW w:w="1188" w:type="dxa"/>
            <w:vAlign w:val="center"/>
          </w:tcPr>
          <w:p w:rsidR="00A95178" w:rsidRDefault="00BE13D5">
            <w:pPr>
              <w:jc w:val="right"/>
            </w:pPr>
            <w:r>
              <w:rPr>
                <w:rFonts w:asciiTheme="minorEastAsia" w:eastAsiaTheme="minorEastAsia" w:hAnsiTheme="minorEastAsia"/>
                <w:color w:val="000000" w:themeColor="text1"/>
                <w:szCs w:val="21"/>
              </w:rPr>
              <w:t>1.32%</w:t>
            </w:r>
          </w:p>
        </w:tc>
        <w:tc>
          <w:tcPr>
            <w:tcW w:w="1199" w:type="dxa"/>
            <w:vAlign w:val="center"/>
          </w:tcPr>
          <w:p w:rsidR="00A95178" w:rsidRDefault="00BE13D5">
            <w:pPr>
              <w:jc w:val="right"/>
            </w:pPr>
            <w:r>
              <w:rPr>
                <w:rFonts w:asciiTheme="minorEastAsia" w:eastAsiaTheme="minorEastAsia" w:hAnsiTheme="minorEastAsia"/>
                <w:color w:val="000000" w:themeColor="text1"/>
                <w:szCs w:val="21"/>
              </w:rPr>
              <w:t>-2.53%</w:t>
            </w:r>
          </w:p>
        </w:tc>
        <w:tc>
          <w:tcPr>
            <w:tcW w:w="1204" w:type="dxa"/>
            <w:vAlign w:val="center"/>
          </w:tcPr>
          <w:p w:rsidR="00A95178" w:rsidRDefault="00BE13D5">
            <w:pPr>
              <w:jc w:val="right"/>
            </w:pPr>
            <w:r>
              <w:rPr>
                <w:rFonts w:asciiTheme="minorEastAsia" w:eastAsiaTheme="minorEastAsia" w:hAnsiTheme="minorEastAsia"/>
                <w:color w:val="000000" w:themeColor="text1"/>
                <w:szCs w:val="21"/>
              </w:rPr>
              <w:t>0.19%</w:t>
            </w:r>
          </w:p>
        </w:tc>
      </w:tr>
    </w:tbl>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lastRenderedPageBreak/>
        <w:t>3.2.2</w:t>
      </w:r>
      <w:r w:rsidRPr="008277FF">
        <w:rPr>
          <w:rFonts w:asciiTheme="minorEastAsia" w:eastAsiaTheme="minorEastAsia" w:hAnsiTheme="minorEastAsia" w:cs="Arial" w:hint="eastAsia"/>
          <w:b/>
          <w:color w:val="000000" w:themeColor="text1"/>
          <w:kern w:val="0"/>
          <w:sz w:val="24"/>
        </w:rPr>
        <w:t xml:space="preserve">　</w:t>
      </w:r>
      <w:r w:rsidR="009779FD" w:rsidRPr="008277FF">
        <w:rPr>
          <w:rStyle w:val="af8"/>
          <w:rFonts w:hint="eastAsia"/>
          <w:color w:val="000000" w:themeColor="text1"/>
          <w:sz w:val="24"/>
          <w:shd w:val="clear" w:color="auto" w:fill="FFFFFF"/>
        </w:rPr>
        <w:t>自基金合同生效以来</w:t>
      </w:r>
      <w:r w:rsidRPr="008277FF">
        <w:rPr>
          <w:rFonts w:asciiTheme="minorEastAsia" w:eastAsiaTheme="minorEastAsia" w:hAnsiTheme="minorEastAsia" w:cs="Arial" w:hint="eastAsia"/>
          <w:b/>
          <w:color w:val="000000" w:themeColor="text1"/>
          <w:kern w:val="0"/>
          <w:sz w:val="24"/>
        </w:rPr>
        <w:t>基金累计</w:t>
      </w:r>
      <w:r w:rsidR="004339D9" w:rsidRPr="008277FF">
        <w:rPr>
          <w:rFonts w:asciiTheme="minorEastAsia" w:eastAsiaTheme="minorEastAsia" w:hAnsiTheme="minorEastAsia" w:cs="Arial" w:hint="eastAsia"/>
          <w:b/>
          <w:color w:val="000000" w:themeColor="text1"/>
          <w:kern w:val="0"/>
          <w:sz w:val="24"/>
        </w:rPr>
        <w:t>份额</w:t>
      </w:r>
      <w:r w:rsidRPr="008277FF">
        <w:rPr>
          <w:rFonts w:asciiTheme="minorEastAsia" w:eastAsiaTheme="minorEastAsia" w:hAnsiTheme="minorEastAsia" w:cs="Arial" w:hint="eastAsia"/>
          <w:b/>
          <w:color w:val="000000" w:themeColor="text1"/>
          <w:kern w:val="0"/>
          <w:sz w:val="24"/>
        </w:rPr>
        <w:t>净值增长率变动及其与同期业绩比较基准收益率变动的比较</w:t>
      </w:r>
    </w:p>
    <w:p w:rsidR="00A96FD9" w:rsidRPr="008277FF" w:rsidRDefault="00A96FD9" w:rsidP="00EC4BA3">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上投摩根全球新兴市场混合型证券投资基金</w:t>
      </w:r>
    </w:p>
    <w:p w:rsidR="00FB39F7" w:rsidRPr="008277FF" w:rsidRDefault="00FB39F7" w:rsidP="00EC4BA3">
      <w:pPr>
        <w:pStyle w:val="a5"/>
        <w:snapToGrid w:val="0"/>
        <w:spacing w:line="360" w:lineRule="auto"/>
        <w:ind w:firstLine="480"/>
        <w:jc w:val="center"/>
        <w:rPr>
          <w:rFonts w:asciiTheme="minorEastAsia" w:eastAsiaTheme="minorEastAsia" w:hAnsiTheme="minorEastAsia"/>
          <w:color w:val="000000" w:themeColor="text1"/>
        </w:rPr>
      </w:pPr>
      <w:r w:rsidRPr="008277FF">
        <w:rPr>
          <w:rFonts w:asciiTheme="minorEastAsia" w:eastAsiaTheme="minorEastAsia" w:hAnsiTheme="minorEastAsia"/>
          <w:color w:val="000000" w:themeColor="text1"/>
        </w:rPr>
        <w:t>累计</w:t>
      </w:r>
      <w:r w:rsidR="00C67DCB" w:rsidRPr="008277FF">
        <w:rPr>
          <w:rFonts w:asciiTheme="minorEastAsia" w:eastAsiaTheme="minorEastAsia" w:hAnsiTheme="minorEastAsia"/>
          <w:color w:val="000000" w:themeColor="text1"/>
        </w:rPr>
        <w:t>份额</w:t>
      </w:r>
      <w:r w:rsidRPr="008277FF">
        <w:rPr>
          <w:rFonts w:asciiTheme="minorEastAsia" w:eastAsiaTheme="minorEastAsia" w:hAnsiTheme="minorEastAsia"/>
          <w:color w:val="000000" w:themeColor="text1"/>
        </w:rPr>
        <w:t>净值增长率与业绩比较基准收益率历史走势对比图</w:t>
      </w:r>
    </w:p>
    <w:p w:rsidR="005908C0" w:rsidRPr="008277FF" w:rsidRDefault="005908C0" w:rsidP="00EC4BA3">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kern w:val="0"/>
          <w:szCs w:val="21"/>
        </w:rPr>
        <w:t>（</w:t>
      </w:r>
      <w:r w:rsidR="00623556" w:rsidRPr="008277FF">
        <w:rPr>
          <w:rFonts w:asciiTheme="minorEastAsia" w:eastAsiaTheme="minorEastAsia" w:hAnsiTheme="minorEastAsia"/>
          <w:color w:val="000000" w:themeColor="text1"/>
          <w:kern w:val="0"/>
          <w:szCs w:val="21"/>
        </w:rPr>
        <w:t>2011年1月30日</w:t>
      </w:r>
      <w:r w:rsidRPr="008277FF">
        <w:rPr>
          <w:rFonts w:asciiTheme="minorEastAsia" w:eastAsiaTheme="minorEastAsia" w:hAnsiTheme="minorEastAsia" w:hint="eastAsia"/>
          <w:color w:val="000000" w:themeColor="text1"/>
          <w:kern w:val="0"/>
          <w:szCs w:val="21"/>
        </w:rPr>
        <w:t>至2018年12月31日）</w:t>
      </w:r>
    </w:p>
    <w:p w:rsidR="00A96FD9" w:rsidRPr="008277FF" w:rsidRDefault="004F16AD" w:rsidP="00A96FD9">
      <w:pPr>
        <w:tabs>
          <w:tab w:val="left" w:pos="1800"/>
        </w:tabs>
        <w:spacing w:line="360" w:lineRule="auto"/>
        <w:jc w:val="center"/>
        <w:rPr>
          <w:rFonts w:asciiTheme="minorEastAsia" w:eastAsiaTheme="minorEastAsia" w:hAnsiTheme="minorEastAsia"/>
          <w:color w:val="000000" w:themeColor="text1"/>
          <w:sz w:val="24"/>
        </w:rPr>
      </w:pPr>
      <w:r w:rsidRPr="008277FF">
        <w:rPr>
          <w:rFonts w:asciiTheme="minorEastAsia" w:eastAsiaTheme="minorEastAsia" w:hAnsiTheme="minorEastAsia"/>
          <w:noProof/>
          <w:color w:val="000000" w:themeColor="text1"/>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A95178" w:rsidRDefault="00BE13D5">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注：本基金合同生效日为2011年1月30日，图示时间段为2011年1月30日至2018年12月31日。</w:t>
      </w:r>
    </w:p>
    <w:p w:rsidR="00A96FD9" w:rsidRPr="008277FF" w:rsidRDefault="00A96FD9"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本基金建仓期自2011年1月30日至2011年7月29日，建仓期结束时资产配置比例符合本基金基金合同规定。</w:t>
      </w:r>
    </w:p>
    <w:p w:rsidR="0076518F" w:rsidRPr="008277FF" w:rsidRDefault="0076518F" w:rsidP="00BE13D5">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4  </w:t>
      </w:r>
      <w:r w:rsidRPr="008277FF">
        <w:rPr>
          <w:rFonts w:asciiTheme="minorEastAsia" w:eastAsiaTheme="minorEastAsia" w:hAnsiTheme="minorEastAsia" w:cs="Arial" w:hint="eastAsia"/>
          <w:color w:val="000000" w:themeColor="text1"/>
          <w:kern w:val="0"/>
          <w:sz w:val="24"/>
          <w:szCs w:val="24"/>
        </w:rPr>
        <w:t>管理人报告</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4.1 </w:t>
      </w:r>
      <w:r w:rsidRPr="008277FF">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8277FF" w:rsidTr="00797DD2">
        <w:trPr>
          <w:cantSplit/>
          <w:trHeight w:val="292"/>
        </w:trPr>
        <w:tc>
          <w:tcPr>
            <w:tcW w:w="851" w:type="dxa"/>
            <w:vMerge w:val="restart"/>
            <w:vAlign w:val="center"/>
          </w:tcPr>
          <w:p w:rsidR="007D1292" w:rsidRPr="008277FF" w:rsidRDefault="007D1292" w:rsidP="00B918B8">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姓名</w:t>
            </w:r>
          </w:p>
        </w:tc>
        <w:tc>
          <w:tcPr>
            <w:tcW w:w="850" w:type="dxa"/>
            <w:vMerge w:val="restart"/>
            <w:vAlign w:val="center"/>
          </w:tcPr>
          <w:p w:rsidR="007D1292" w:rsidRPr="008277FF" w:rsidRDefault="007D1292" w:rsidP="00B918B8">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职务</w:t>
            </w:r>
          </w:p>
        </w:tc>
        <w:tc>
          <w:tcPr>
            <w:tcW w:w="3119" w:type="dxa"/>
            <w:gridSpan w:val="2"/>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任本基金的基金经理期限</w:t>
            </w:r>
          </w:p>
        </w:tc>
        <w:tc>
          <w:tcPr>
            <w:tcW w:w="1417" w:type="dxa"/>
            <w:vMerge w:val="restart"/>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证券从业年限</w:t>
            </w:r>
          </w:p>
        </w:tc>
        <w:tc>
          <w:tcPr>
            <w:tcW w:w="2694" w:type="dxa"/>
            <w:vMerge w:val="restart"/>
            <w:vAlign w:val="center"/>
          </w:tcPr>
          <w:p w:rsidR="007D1292" w:rsidRPr="008277FF" w:rsidRDefault="007D1292" w:rsidP="00797DD2">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说明</w:t>
            </w:r>
          </w:p>
        </w:tc>
      </w:tr>
      <w:tr w:rsidR="008277FF" w:rsidRPr="008277FF" w:rsidTr="00797DD2">
        <w:trPr>
          <w:cantSplit/>
        </w:trPr>
        <w:tc>
          <w:tcPr>
            <w:tcW w:w="851" w:type="dxa"/>
            <w:vMerge/>
            <w:vAlign w:val="center"/>
          </w:tcPr>
          <w:p w:rsidR="007D1292" w:rsidRPr="008277FF" w:rsidRDefault="007D1292" w:rsidP="00B918B8">
            <w:pPr>
              <w:widowControl/>
              <w:spacing w:line="360" w:lineRule="auto"/>
              <w:jc w:val="left"/>
              <w:rPr>
                <w:rFonts w:asciiTheme="minorEastAsia" w:eastAsiaTheme="minorEastAsia" w:hAnsiTheme="minorEastAsia"/>
                <w:color w:val="000000" w:themeColor="text1"/>
                <w:kern w:val="0"/>
                <w:szCs w:val="21"/>
              </w:rPr>
            </w:pPr>
          </w:p>
        </w:tc>
        <w:tc>
          <w:tcPr>
            <w:tcW w:w="850" w:type="dxa"/>
            <w:vMerge/>
            <w:vAlign w:val="center"/>
          </w:tcPr>
          <w:p w:rsidR="007D1292" w:rsidRPr="008277FF" w:rsidRDefault="007D1292" w:rsidP="00B918B8">
            <w:pPr>
              <w:widowControl/>
              <w:spacing w:line="360" w:lineRule="auto"/>
              <w:jc w:val="left"/>
              <w:rPr>
                <w:rFonts w:asciiTheme="minorEastAsia" w:eastAsiaTheme="minorEastAsia" w:hAnsiTheme="minorEastAsia"/>
                <w:color w:val="000000" w:themeColor="text1"/>
                <w:kern w:val="0"/>
                <w:szCs w:val="21"/>
              </w:rPr>
            </w:pPr>
          </w:p>
        </w:tc>
        <w:tc>
          <w:tcPr>
            <w:tcW w:w="1560" w:type="dxa"/>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任职日期</w:t>
            </w:r>
          </w:p>
        </w:tc>
        <w:tc>
          <w:tcPr>
            <w:tcW w:w="1559" w:type="dxa"/>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离任日期</w:t>
            </w:r>
          </w:p>
        </w:tc>
        <w:tc>
          <w:tcPr>
            <w:tcW w:w="1417" w:type="dxa"/>
            <w:vMerge/>
            <w:vAlign w:val="center"/>
          </w:tcPr>
          <w:p w:rsidR="007D1292" w:rsidRPr="008277FF" w:rsidRDefault="007D1292" w:rsidP="00797DD2">
            <w:pPr>
              <w:widowControl/>
              <w:spacing w:line="360" w:lineRule="auto"/>
              <w:jc w:val="center"/>
              <w:rPr>
                <w:rFonts w:asciiTheme="minorEastAsia" w:eastAsiaTheme="minorEastAsia" w:hAnsiTheme="minorEastAsia"/>
                <w:color w:val="000000" w:themeColor="text1"/>
                <w:kern w:val="0"/>
                <w:szCs w:val="21"/>
              </w:rPr>
            </w:pPr>
          </w:p>
        </w:tc>
        <w:tc>
          <w:tcPr>
            <w:tcW w:w="2694" w:type="dxa"/>
            <w:vMerge/>
            <w:vAlign w:val="center"/>
          </w:tcPr>
          <w:p w:rsidR="007D1292" w:rsidRPr="008277FF" w:rsidRDefault="007D1292" w:rsidP="00797DD2">
            <w:pPr>
              <w:widowControl/>
              <w:spacing w:line="360" w:lineRule="auto"/>
              <w:jc w:val="center"/>
              <w:rPr>
                <w:rFonts w:asciiTheme="minorEastAsia" w:eastAsiaTheme="minorEastAsia" w:hAnsiTheme="minorEastAsia"/>
                <w:color w:val="000000" w:themeColor="text1"/>
                <w:kern w:val="0"/>
                <w:szCs w:val="21"/>
              </w:rPr>
            </w:pPr>
          </w:p>
        </w:tc>
      </w:tr>
      <w:tr w:rsidR="00A95178">
        <w:tc>
          <w:tcPr>
            <w:tcW w:w="851" w:type="dxa"/>
            <w:vAlign w:val="center"/>
          </w:tcPr>
          <w:p w:rsidR="00A95178" w:rsidRDefault="00BE13D5">
            <w:pPr>
              <w:jc w:val="center"/>
            </w:pPr>
            <w:r>
              <w:rPr>
                <w:rFonts w:asciiTheme="minorEastAsia" w:eastAsiaTheme="minorEastAsia" w:hAnsiTheme="minorEastAsia"/>
                <w:color w:val="000000" w:themeColor="text1"/>
                <w:szCs w:val="21"/>
              </w:rPr>
              <w:t>张淑婉</w:t>
            </w:r>
          </w:p>
        </w:tc>
        <w:tc>
          <w:tcPr>
            <w:tcW w:w="850" w:type="dxa"/>
            <w:vAlign w:val="center"/>
          </w:tcPr>
          <w:p w:rsidR="00A95178" w:rsidRDefault="00BE13D5">
            <w:pPr>
              <w:jc w:val="center"/>
            </w:pPr>
            <w:r>
              <w:rPr>
                <w:rFonts w:asciiTheme="minorEastAsia" w:eastAsiaTheme="minorEastAsia" w:hAnsiTheme="minorEastAsia"/>
                <w:color w:val="000000" w:themeColor="text1"/>
                <w:szCs w:val="21"/>
              </w:rPr>
              <w:t>本基金基金经理</w:t>
            </w:r>
          </w:p>
        </w:tc>
        <w:tc>
          <w:tcPr>
            <w:tcW w:w="1560" w:type="dxa"/>
            <w:vAlign w:val="center"/>
          </w:tcPr>
          <w:p w:rsidR="00A95178" w:rsidRDefault="00BE13D5">
            <w:pPr>
              <w:jc w:val="center"/>
            </w:pPr>
            <w:r>
              <w:rPr>
                <w:rFonts w:asciiTheme="minorEastAsia" w:eastAsiaTheme="minorEastAsia" w:hAnsiTheme="minorEastAsia"/>
                <w:color w:val="000000" w:themeColor="text1"/>
                <w:szCs w:val="21"/>
              </w:rPr>
              <w:t>2016-12-16</w:t>
            </w:r>
          </w:p>
        </w:tc>
        <w:tc>
          <w:tcPr>
            <w:tcW w:w="1559" w:type="dxa"/>
            <w:vAlign w:val="center"/>
          </w:tcPr>
          <w:p w:rsidR="00A95178" w:rsidRDefault="00BE13D5">
            <w:pPr>
              <w:jc w:val="center"/>
            </w:pPr>
            <w:r>
              <w:rPr>
                <w:rFonts w:asciiTheme="minorEastAsia" w:eastAsiaTheme="minorEastAsia" w:hAnsiTheme="minorEastAsia"/>
                <w:color w:val="000000" w:themeColor="text1"/>
                <w:szCs w:val="21"/>
              </w:rPr>
              <w:t>-</w:t>
            </w:r>
          </w:p>
        </w:tc>
        <w:tc>
          <w:tcPr>
            <w:tcW w:w="1417" w:type="dxa"/>
            <w:vAlign w:val="center"/>
          </w:tcPr>
          <w:p w:rsidR="00A95178" w:rsidRDefault="00BE13D5">
            <w:pPr>
              <w:jc w:val="center"/>
            </w:pPr>
            <w:r>
              <w:rPr>
                <w:rFonts w:asciiTheme="minorEastAsia" w:eastAsiaTheme="minorEastAsia" w:hAnsiTheme="minorEastAsia"/>
                <w:color w:val="000000" w:themeColor="text1"/>
                <w:szCs w:val="21"/>
              </w:rPr>
              <w:t>29年</w:t>
            </w:r>
          </w:p>
        </w:tc>
        <w:tc>
          <w:tcPr>
            <w:tcW w:w="2694" w:type="dxa"/>
            <w:vAlign w:val="center"/>
          </w:tcPr>
          <w:p w:rsidR="00A95178" w:rsidRDefault="00BE13D5">
            <w:pPr>
              <w:jc w:val="left"/>
            </w:pPr>
            <w:r>
              <w:rPr>
                <w:rFonts w:asciiTheme="minorEastAsia" w:eastAsiaTheme="minorEastAsia" w:hAnsiTheme="minorEastAsia"/>
                <w:color w:val="000000" w:themeColor="text1"/>
                <w:szCs w:val="21"/>
              </w:rPr>
              <w:t>张淑婉女士，台湾大学财务金融研究所MBA，自1987年9月至1989年2月，在东盟成衣股份有限</w:t>
            </w:r>
            <w:r>
              <w:rPr>
                <w:rFonts w:asciiTheme="minorEastAsia" w:eastAsiaTheme="minorEastAsia" w:hAnsiTheme="minorEastAsia"/>
                <w:color w:val="000000" w:themeColor="text1"/>
                <w:szCs w:val="21"/>
              </w:rPr>
              <w:lastRenderedPageBreak/>
              <w:t>公司担任研究部专员；自1989年3月至1991年8月，在富隆证券股份有限公司担任投行部专员；自1993年3月至1998年1月，在光华证券投资信托股份有限公司担任研究部副理；自1998年2月至2006年7月，在摩根富林明证券信托股份有限公司担任副总经理；自2007年11月至2009年8月，在德意志亚洲资产管理公司担任副总经理；自2009年9月至2014年6月，在嘉实国际资产管理公司担任副总经理；自2014年7月至2016年8月，在上投摩根资产管理（香港）有限公司担任投资总监；自2016年9月起加入上投摩根基金管理有限公司，自2016年12月起同时担任上投摩根亚太优势混合型证券投资基金基金经理及上投摩根全球新兴市场混合型证券投资基金基金经理，自2017年12月起同时担任上投摩根标普港股通低波红利指数型证券投资基金基金经理，自2018年6月起同时担任上投摩根香港精选港股通混合型证券投资基金基金经理。</w:t>
            </w:r>
          </w:p>
        </w:tc>
      </w:tr>
    </w:tbl>
    <w:p w:rsidR="00A95178" w:rsidRDefault="00BE13D5">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lastRenderedPageBreak/>
        <w:t>注：1.任职日期和离任日期均指根据公司决定确定的聘任日期和解聘日期。</w:t>
      </w:r>
    </w:p>
    <w:p w:rsidR="00A47E47" w:rsidRPr="008277FF" w:rsidRDefault="00A47E47"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2.证券从业的含义遵从行业协会《证券业从业人员资格管理办法》的相关规定。</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F077D2" w:rsidRPr="008277FF">
        <w:rPr>
          <w:rFonts w:asciiTheme="minorEastAsia" w:eastAsiaTheme="minorEastAsia" w:hAnsiTheme="minorEastAsia" w:cs="Arial" w:hint="eastAsia"/>
          <w:b/>
          <w:color w:val="000000" w:themeColor="text1"/>
          <w:kern w:val="0"/>
          <w:sz w:val="24"/>
        </w:rPr>
        <w:t>2</w:t>
      </w:r>
      <w:r w:rsidR="00A32FDA" w:rsidRPr="008277FF">
        <w:rPr>
          <w:rFonts w:asciiTheme="minorEastAsia" w:eastAsiaTheme="minorEastAsia" w:hAnsiTheme="minorEastAsia" w:cs="Arial" w:hint="eastAsia"/>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境外投资顾问为本基金提供投资建议的主要成员简介</w:t>
      </w:r>
    </w:p>
    <w:tbl>
      <w:tblPr>
        <w:tblStyle w:val="af7"/>
        <w:tblW w:w="0" w:type="auto"/>
        <w:tblInd w:w="15" w:type="dxa"/>
        <w:tblLook w:val="04A0" w:firstRow="1" w:lastRow="0" w:firstColumn="1" w:lastColumn="0" w:noHBand="0" w:noVBand="1"/>
      </w:tblPr>
      <w:tblGrid>
        <w:gridCol w:w="1747"/>
        <w:gridCol w:w="1625"/>
        <w:gridCol w:w="1625"/>
        <w:gridCol w:w="3290"/>
      </w:tblGrid>
      <w:tr w:rsidR="008277FF" w:rsidRPr="008277FF" w:rsidTr="00797DD2">
        <w:tc>
          <w:tcPr>
            <w:tcW w:w="2129"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lastRenderedPageBreak/>
              <w:t>姓名</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在境外投资顾问所任职务</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证券从业年限</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说明</w:t>
            </w:r>
          </w:p>
        </w:tc>
      </w:tr>
      <w:tr w:rsidR="00A95178">
        <w:tc>
          <w:tcPr>
            <w:tcW w:w="0" w:type="auto"/>
            <w:vAlign w:val="center"/>
          </w:tcPr>
          <w:p w:rsidR="00A95178" w:rsidRDefault="00BE13D5">
            <w:pPr>
              <w:jc w:val="center"/>
            </w:pPr>
            <w:r>
              <w:rPr>
                <w:rFonts w:asciiTheme="minorEastAsia" w:eastAsiaTheme="minorEastAsia" w:hAnsiTheme="minorEastAsia"/>
                <w:color w:val="000000" w:themeColor="text1"/>
                <w:szCs w:val="21"/>
              </w:rPr>
              <w:t>Anuj Arora</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投资组合经理</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16年</w:t>
            </w:r>
          </w:p>
        </w:tc>
        <w:tc>
          <w:tcPr>
            <w:tcW w:w="0" w:type="auto"/>
            <w:vAlign w:val="center"/>
          </w:tcPr>
          <w:p w:rsidR="00A95178" w:rsidRDefault="00BE13D5">
            <w:pPr>
              <w:jc w:val="left"/>
            </w:pPr>
            <w:r>
              <w:rPr>
                <w:rFonts w:asciiTheme="minorEastAsia" w:eastAsiaTheme="minorEastAsia" w:hAnsiTheme="minorEastAsia"/>
                <w:color w:val="000000" w:themeColor="text1"/>
                <w:szCs w:val="21"/>
              </w:rPr>
              <w:t>男，伊利诺斯理工大学硕士，主修金融学</w:t>
            </w:r>
          </w:p>
        </w:tc>
      </w:tr>
      <w:tr w:rsidR="00A95178">
        <w:tc>
          <w:tcPr>
            <w:tcW w:w="0" w:type="auto"/>
            <w:vAlign w:val="center"/>
          </w:tcPr>
          <w:p w:rsidR="00A95178" w:rsidRDefault="00BE13D5">
            <w:pPr>
              <w:jc w:val="center"/>
            </w:pPr>
            <w:r>
              <w:rPr>
                <w:rFonts w:asciiTheme="minorEastAsia" w:eastAsiaTheme="minorEastAsia" w:hAnsiTheme="minorEastAsia"/>
                <w:color w:val="000000" w:themeColor="text1"/>
                <w:szCs w:val="21"/>
              </w:rPr>
              <w:t>Noriko Kuroki</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投资组合经理</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23年</w:t>
            </w:r>
          </w:p>
        </w:tc>
        <w:tc>
          <w:tcPr>
            <w:tcW w:w="0" w:type="auto"/>
            <w:vAlign w:val="center"/>
          </w:tcPr>
          <w:p w:rsidR="00A95178" w:rsidRDefault="00BE13D5">
            <w:pPr>
              <w:jc w:val="left"/>
            </w:pPr>
            <w:r>
              <w:rPr>
                <w:rFonts w:asciiTheme="minorEastAsia" w:eastAsiaTheme="minorEastAsia" w:hAnsiTheme="minorEastAsia"/>
                <w:color w:val="000000" w:themeColor="text1"/>
                <w:szCs w:val="21"/>
              </w:rPr>
              <w:t>女，牛津大学硕士，主修哲学、政治和经济学</w:t>
            </w:r>
          </w:p>
        </w:tc>
      </w:tr>
    </w:tbl>
    <w:p w:rsidR="00FB47E0" w:rsidRPr="008277FF" w:rsidRDefault="00FB47E0"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3</w:t>
      </w:r>
      <w:r w:rsidR="003508B0" w:rsidRPr="003508B0">
        <w:rPr>
          <w:rFonts w:hint="eastAsia"/>
          <w:b/>
          <w:color w:val="000000"/>
          <w:sz w:val="24"/>
          <w:shd w:val="clear" w:color="auto" w:fill="FFFFFF"/>
        </w:rPr>
        <w:t>管理人对报告期内本基金运作遵规守信情况的说明</w:t>
      </w:r>
    </w:p>
    <w:p w:rsidR="00363E15" w:rsidRPr="008277FF" w:rsidRDefault="00363E15"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全球新兴市场混合型证券投资基金基金合同》的规定。基金经理对个股和投资组合的比例遵循了投资决策委员会的授权限制，基金投资比例符合基金合同和法律法规的要求。</w:t>
      </w: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公平交易专项说明</w:t>
      </w:r>
    </w:p>
    <w:p w:rsidR="00AB42E2" w:rsidRPr="008277FF" w:rsidRDefault="00AB42E2"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4.1</w:t>
      </w:r>
      <w:r w:rsidRPr="008277FF">
        <w:rPr>
          <w:rFonts w:asciiTheme="minorEastAsia" w:eastAsiaTheme="minorEastAsia" w:hAnsiTheme="minorEastAsia" w:hint="eastAsia"/>
          <w:color w:val="000000" w:themeColor="text1"/>
          <w:sz w:val="24"/>
        </w:rPr>
        <w:t>公平交易制度的执行情况</w:t>
      </w:r>
    </w:p>
    <w:p w:rsidR="00A95178" w:rsidRDefault="00BE13D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95178" w:rsidRDefault="00BE13D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8277FF" w:rsidRDefault="001F3C28"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8277FF" w:rsidRDefault="00AB42E2"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lastRenderedPageBreak/>
        <w:t>4.</w:t>
      </w:r>
      <w:r w:rsidR="00A32FDA" w:rsidRPr="008277FF">
        <w:rPr>
          <w:rFonts w:asciiTheme="minorEastAsia" w:eastAsiaTheme="minorEastAsia" w:hAnsiTheme="minorEastAsia" w:hint="eastAsia"/>
          <w:color w:val="000000" w:themeColor="text1"/>
          <w:sz w:val="24"/>
        </w:rPr>
        <w:t>4</w:t>
      </w:r>
      <w:r w:rsidRPr="008277FF">
        <w:rPr>
          <w:rFonts w:asciiTheme="minorEastAsia" w:eastAsiaTheme="minorEastAsia" w:hAnsiTheme="minorEastAsia" w:hint="eastAsia"/>
          <w:color w:val="000000" w:themeColor="text1"/>
          <w:sz w:val="24"/>
        </w:rPr>
        <w:t>.</w:t>
      </w:r>
      <w:r w:rsidR="00A32FDA" w:rsidRPr="008277FF">
        <w:rPr>
          <w:rFonts w:asciiTheme="minorEastAsia" w:eastAsiaTheme="minorEastAsia" w:hAnsiTheme="minorEastAsia" w:hint="eastAsia"/>
          <w:color w:val="000000" w:themeColor="text1"/>
          <w:sz w:val="24"/>
        </w:rPr>
        <w:t>2</w:t>
      </w:r>
      <w:r w:rsidRPr="008277FF">
        <w:rPr>
          <w:rFonts w:asciiTheme="minorEastAsia" w:eastAsiaTheme="minorEastAsia" w:hAnsiTheme="minorEastAsia" w:hint="eastAsia"/>
          <w:color w:val="000000" w:themeColor="text1"/>
          <w:sz w:val="24"/>
        </w:rPr>
        <w:t>异常交易行为的专项说明</w:t>
      </w:r>
    </w:p>
    <w:p w:rsidR="00A95178" w:rsidRDefault="00BE13D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1F3C28" w:rsidRPr="008277FF" w:rsidRDefault="001F3C28"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报告期内基金的投资策略和业绩表现说明</w:t>
      </w:r>
    </w:p>
    <w:p w:rsidR="00462B61" w:rsidRPr="008277FF" w:rsidRDefault="00462B61"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5.1</w:t>
      </w:r>
      <w:r w:rsidRPr="008277FF">
        <w:rPr>
          <w:rFonts w:asciiTheme="minorEastAsia" w:eastAsiaTheme="minorEastAsia" w:hAnsiTheme="minorEastAsia" w:hint="eastAsia"/>
          <w:color w:val="000000" w:themeColor="text1"/>
          <w:sz w:val="24"/>
        </w:rPr>
        <w:t>报告期内基金投资策略和运作分析</w:t>
      </w:r>
    </w:p>
    <w:p w:rsidR="00A95178" w:rsidRDefault="00BE13D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在2018年第四季，</w:t>
      </w:r>
      <w:r w:rsidR="008657A1" w:rsidRPr="008277FF">
        <w:rPr>
          <w:rFonts w:asciiTheme="minorEastAsia" w:eastAsiaTheme="minorEastAsia" w:hAnsiTheme="minorEastAsia"/>
          <w:color w:val="000000" w:themeColor="text1"/>
          <w:kern w:val="0"/>
          <w:szCs w:val="21"/>
        </w:rPr>
        <w:t>MSCI新兴市场股票指数（总回报）</w:t>
      </w:r>
      <w:r>
        <w:rPr>
          <w:rFonts w:asciiTheme="minorEastAsia" w:eastAsiaTheme="minorEastAsia" w:hAnsiTheme="minorEastAsia"/>
          <w:color w:val="000000" w:themeColor="text1"/>
          <w:szCs w:val="21"/>
        </w:rPr>
        <w:t>下跌</w:t>
      </w:r>
      <w:r w:rsidR="008657A1">
        <w:rPr>
          <w:rFonts w:asciiTheme="minorEastAsia" w:eastAsiaTheme="minorEastAsia" w:hAnsiTheme="minorEastAsia" w:hint="eastAsia"/>
          <w:color w:val="000000" w:themeColor="text1"/>
          <w:szCs w:val="21"/>
        </w:rPr>
        <w:t>8.06</w:t>
      </w:r>
      <w:r>
        <w:rPr>
          <w:rFonts w:asciiTheme="minorEastAsia" w:eastAsiaTheme="minorEastAsia" w:hAnsiTheme="minorEastAsia"/>
          <w:color w:val="000000" w:themeColor="text1"/>
          <w:szCs w:val="21"/>
        </w:rPr>
        <w:t>%（以人民币计价，以下皆以人民币计价），在主要市场中，亚洲重要股市皆表现比业绩基准差，如摩根斯坦利韩国（-13.98%），摩根斯坦利台湾（-13.14%）及摩根斯坦利中国（-10.69%）表现最为弱势，而巴西（+12.55%）及印度（+2.63%）则见反弹，全球新兴市场基金第四季度净值表现落后于业绩基准，主因基金超配在中国及韩国，因此表现不佳。</w:t>
      </w:r>
    </w:p>
    <w:p w:rsidR="00A95178" w:rsidRDefault="00BE13D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2018年第四季市场各类资产多为下跌。布兰特原油因美国有条件放开对伊朗制裁及库存增加，使得油价由10月3号每桶87.29美元跌至年底的53.8美元每桶，智慧型手机以及iPhone销售数字不佳，使得中国及韩国的科技股表现不好。中国各项政策如游戏的审核，医药带量采购试点实行，加上消费增长减速，市场信心下跌，连带影响股市。然而美元指数在第四季表现平稳，新兴市场国家的货币反弹，如巴西、印尼、菲律宾及印度股市因美元走弱下在第四季有所反弹。尤其是巴西第四季，因总统大选市场反应正面，因而股汇双涨，成为第四季表现最佳的市场。</w:t>
      </w:r>
    </w:p>
    <w:p w:rsidR="00B0116D" w:rsidRPr="008277FF" w:rsidRDefault="00B0116D"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市场阶段性经历剧烈的下跌反映了风险和悲观情绪的集中爆发，基于不稳定的国际情势，基金在第四季维持较高现金部位，但准备逐渐加仓新兴拉美及东欧。尤其油价已近相对低点，可以关注产油国的市场，另2019有部分国家将有大选，也是我们会关注的重点。我们将提高印度，巴西及俄罗斯的持仓，并降低中国的超配。行业方面，我们维持对科技、金融及消费等板块的关注。展望2019年，我们认为，市场风险还将持续释放，风险偏好降低和市场情绪仍需修复，2019年上半年，市场信心相对薄弱，基本面落地后，预计股价将在第二季中开始有所表现。目前市场跌幅已深，估值便宜，只要有一些正面的催化，股价就会有所表现，因此我们将在股价下跌中提高仓位，降低现金部位。</w:t>
      </w:r>
    </w:p>
    <w:p w:rsidR="00462B61" w:rsidRPr="008277FF" w:rsidRDefault="00462B61"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lastRenderedPageBreak/>
        <w:t>4.</w:t>
      </w:r>
      <w:r w:rsidR="00A32FDA" w:rsidRPr="008277FF">
        <w:rPr>
          <w:rFonts w:asciiTheme="minorEastAsia" w:eastAsiaTheme="minorEastAsia" w:hAnsiTheme="minorEastAsia" w:hint="eastAsia"/>
          <w:color w:val="000000" w:themeColor="text1"/>
          <w:sz w:val="24"/>
        </w:rPr>
        <w:t>5</w:t>
      </w:r>
      <w:r w:rsidRPr="008277FF">
        <w:rPr>
          <w:rFonts w:asciiTheme="minorEastAsia" w:eastAsiaTheme="minorEastAsia" w:hAnsiTheme="minorEastAsia" w:hint="eastAsia"/>
          <w:color w:val="000000" w:themeColor="text1"/>
          <w:sz w:val="24"/>
        </w:rPr>
        <w:t>.</w:t>
      </w:r>
      <w:r w:rsidR="00A32FDA" w:rsidRPr="008277FF">
        <w:rPr>
          <w:rFonts w:asciiTheme="minorEastAsia" w:eastAsiaTheme="minorEastAsia" w:hAnsiTheme="minorEastAsia" w:hint="eastAsia"/>
          <w:color w:val="000000" w:themeColor="text1"/>
          <w:sz w:val="24"/>
        </w:rPr>
        <w:t>2</w:t>
      </w:r>
      <w:r w:rsidRPr="008277FF">
        <w:rPr>
          <w:rFonts w:asciiTheme="minorEastAsia" w:eastAsiaTheme="minorEastAsia" w:hAnsiTheme="minorEastAsia" w:hint="eastAsia"/>
          <w:color w:val="000000" w:themeColor="text1"/>
          <w:sz w:val="24"/>
        </w:rPr>
        <w:t>报告期内基金的业绩表现</w:t>
      </w:r>
    </w:p>
    <w:p w:rsidR="00FD7298" w:rsidRPr="008277FF" w:rsidRDefault="00B0116D"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本报告期本基金份额净值增长率为-10.59%，同期业绩比较基准收益率为-8.06%。</w:t>
      </w:r>
    </w:p>
    <w:p w:rsidR="00C736BB" w:rsidRPr="008277FF" w:rsidRDefault="00C736BB" w:rsidP="00A70E23">
      <w:pPr>
        <w:spacing w:line="360" w:lineRule="auto"/>
        <w:ind w:firstLineChars="200" w:firstLine="480"/>
        <w:rPr>
          <w:rFonts w:asciiTheme="minorEastAsia" w:eastAsiaTheme="minorEastAsia" w:hAnsiTheme="minorEastAsia"/>
          <w:color w:val="000000" w:themeColor="text1"/>
          <w:sz w:val="24"/>
        </w:rPr>
      </w:pPr>
    </w:p>
    <w:p w:rsidR="00D9766F" w:rsidRPr="008277FF" w:rsidRDefault="00D9766F" w:rsidP="00D9766F">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6</w:t>
      </w:r>
      <w:r w:rsidRPr="008277FF">
        <w:rPr>
          <w:rFonts w:asciiTheme="minorEastAsia" w:eastAsiaTheme="minorEastAsia" w:hAnsiTheme="minorEastAsia" w:hint="eastAsia"/>
          <w:b/>
          <w:color w:val="000000" w:themeColor="text1"/>
          <w:kern w:val="0"/>
          <w:sz w:val="24"/>
        </w:rPr>
        <w:t>报告期内基金持有人数或基金资产净值预警说明</w:t>
      </w:r>
    </w:p>
    <w:p w:rsidR="00D9766F" w:rsidRPr="008277FF" w:rsidRDefault="00D9766F" w:rsidP="00D9766F">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无。</w:t>
      </w:r>
    </w:p>
    <w:p w:rsidR="0076518F" w:rsidRPr="008277FF" w:rsidRDefault="0076518F" w:rsidP="00BE13D5">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5  </w:t>
      </w:r>
      <w:r w:rsidRPr="008277FF">
        <w:rPr>
          <w:rFonts w:asciiTheme="minorEastAsia" w:eastAsiaTheme="minorEastAsia" w:hAnsiTheme="minorEastAsia" w:cs="Arial" w:hint="eastAsia"/>
          <w:color w:val="000000" w:themeColor="text1"/>
          <w:kern w:val="0"/>
          <w:sz w:val="24"/>
          <w:szCs w:val="24"/>
        </w:rPr>
        <w:t>投资组合报告</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5.1 </w:t>
      </w:r>
      <w:r w:rsidRPr="008277FF">
        <w:rPr>
          <w:rFonts w:asciiTheme="minorEastAsia" w:eastAsiaTheme="minorEastAsia" w:hAnsiTheme="minorEastAsia" w:cs="Arial" w:hint="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8277FF" w:rsidTr="00592EFF">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序号</w:t>
            </w:r>
          </w:p>
        </w:tc>
        <w:tc>
          <w:tcPr>
            <w:tcW w:w="4253"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项目</w:t>
            </w:r>
          </w:p>
        </w:tc>
        <w:tc>
          <w:tcPr>
            <w:tcW w:w="2835"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金额(</w:t>
            </w:r>
            <w:r w:rsidR="002655D4" w:rsidRPr="008277FF">
              <w:rPr>
                <w:rFonts w:asciiTheme="minorEastAsia" w:eastAsiaTheme="minorEastAsia" w:hAnsiTheme="minorEastAsia" w:hint="eastAsia"/>
                <w:color w:val="000000" w:themeColor="text1"/>
                <w:szCs w:val="21"/>
              </w:rPr>
              <w:t>人民币</w:t>
            </w:r>
            <w:r w:rsidRPr="008277FF">
              <w:rPr>
                <w:rFonts w:asciiTheme="minorEastAsia" w:eastAsiaTheme="minorEastAsia" w:hAnsiTheme="minorEastAsia" w:hint="eastAsia"/>
                <w:color w:val="000000" w:themeColor="text1"/>
                <w:szCs w:val="21"/>
              </w:rPr>
              <w:t>元)</w:t>
            </w:r>
          </w:p>
        </w:tc>
        <w:tc>
          <w:tcPr>
            <w:tcW w:w="1559"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占基金总资产的比例(</w:t>
            </w:r>
            <w:r w:rsidRPr="008277FF">
              <w:rPr>
                <w:rFonts w:asciiTheme="minorEastAsia" w:eastAsiaTheme="minorEastAsia" w:hAnsiTheme="minorEastAsia"/>
                <w:color w:val="000000" w:themeColor="text1"/>
                <w:szCs w:val="21"/>
              </w:rPr>
              <w:t>%</w:t>
            </w:r>
            <w:r w:rsidRPr="008277FF">
              <w:rPr>
                <w:rFonts w:asciiTheme="minorEastAsia" w:eastAsiaTheme="minorEastAsia" w:hAnsiTheme="minorEastAsia" w:hint="eastAsia"/>
                <w:color w:val="000000" w:themeColor="text1"/>
                <w:szCs w:val="21"/>
              </w:rPr>
              <w:t>)</w:t>
            </w:r>
          </w:p>
        </w:tc>
      </w:tr>
      <w:tr w:rsidR="008277FF" w:rsidRPr="008277FF" w:rsidTr="00877D98">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1</w:t>
            </w:r>
          </w:p>
        </w:tc>
        <w:tc>
          <w:tcPr>
            <w:tcW w:w="4253" w:type="dxa"/>
            <w:shd w:val="clear" w:color="auto" w:fill="auto"/>
            <w:vAlign w:val="center"/>
          </w:tcPr>
          <w:p w:rsidR="00363E15" w:rsidRPr="008277FF" w:rsidRDefault="00363E15"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权益投资</w:t>
            </w:r>
          </w:p>
        </w:tc>
        <w:tc>
          <w:tcPr>
            <w:tcW w:w="2835"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56,701,893.24</w:t>
            </w:r>
          </w:p>
        </w:tc>
        <w:tc>
          <w:tcPr>
            <w:tcW w:w="1559"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80.03</w:t>
            </w:r>
          </w:p>
        </w:tc>
      </w:tr>
      <w:tr w:rsidR="008277FF" w:rsidRPr="008277FF" w:rsidTr="00877D98">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363E15" w:rsidRPr="008277FF" w:rsidRDefault="00363E15"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w:t>
            </w:r>
            <w:r w:rsidR="00E462F4" w:rsidRPr="008277FF">
              <w:rPr>
                <w:rFonts w:asciiTheme="minorEastAsia" w:eastAsiaTheme="minorEastAsia" w:hAnsiTheme="minorEastAsia" w:hint="eastAsia"/>
                <w:color w:val="000000" w:themeColor="text1"/>
                <w:szCs w:val="21"/>
              </w:rPr>
              <w:t>普通股</w:t>
            </w:r>
          </w:p>
        </w:tc>
        <w:tc>
          <w:tcPr>
            <w:tcW w:w="2835"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44,105,800.80</w:t>
            </w:r>
          </w:p>
        </w:tc>
        <w:tc>
          <w:tcPr>
            <w:tcW w:w="1559"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62.25</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firstLineChars="300" w:firstLine="630"/>
              <w:rPr>
                <w:rFonts w:asciiTheme="minorEastAsia" w:eastAsiaTheme="minorEastAsia" w:hAnsiTheme="minorEastAsia" w:cs="宋体"/>
                <w:color w:val="000000" w:themeColor="text1"/>
                <w:szCs w:val="21"/>
              </w:rPr>
            </w:pPr>
            <w:r w:rsidRPr="008277FF">
              <w:rPr>
                <w:rFonts w:asciiTheme="minorEastAsia" w:eastAsiaTheme="minorEastAsia" w:hAnsiTheme="minorEastAsia" w:hint="eastAsia"/>
                <w:color w:val="000000" w:themeColor="text1"/>
                <w:szCs w:val="21"/>
              </w:rPr>
              <w:t>存托凭证</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12,596,092.44</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17.78</w:t>
            </w:r>
          </w:p>
        </w:tc>
      </w:tr>
      <w:tr w:rsidR="008277FF" w:rsidRPr="008277FF" w:rsidTr="00877D98">
        <w:tc>
          <w:tcPr>
            <w:tcW w:w="851" w:type="dxa"/>
            <w:shd w:val="clear" w:color="auto" w:fill="auto"/>
            <w:vAlign w:val="center"/>
          </w:tcPr>
          <w:p w:rsidR="00CE4499" w:rsidRPr="008277FF" w:rsidRDefault="00CE4499"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CE4499" w:rsidRPr="008277FF" w:rsidRDefault="00CE4499" w:rsidP="00877D98">
            <w:pPr>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优先股</w:t>
            </w:r>
          </w:p>
        </w:tc>
        <w:tc>
          <w:tcPr>
            <w:tcW w:w="2835"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CE4499" w:rsidRPr="008277FF" w:rsidRDefault="00CE4499"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CE4499" w:rsidRPr="008277FF" w:rsidRDefault="00CE4499" w:rsidP="00877D98">
            <w:pPr>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房地产信托</w:t>
            </w:r>
          </w:p>
        </w:tc>
        <w:tc>
          <w:tcPr>
            <w:tcW w:w="2835"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adjustRightInd w:val="0"/>
              <w:snapToGrid w:val="0"/>
              <w:spacing w:line="400" w:lineRule="exact"/>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2</w:t>
            </w: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基金投资</w:t>
            </w:r>
          </w:p>
        </w:tc>
        <w:tc>
          <w:tcPr>
            <w:tcW w:w="2835" w:type="dxa"/>
            <w:shd w:val="clear" w:color="auto" w:fill="auto"/>
            <w:vAlign w:val="center"/>
          </w:tcPr>
          <w:p w:rsidR="00E462F4" w:rsidRPr="008277FF" w:rsidRDefault="006C4E1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C4E1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3</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固定收益投资</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其中：债券</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utoSpaceDE w:val="0"/>
              <w:autoSpaceDN w:val="0"/>
              <w:adjustRightInd w:val="0"/>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资产支持证券</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4</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金融衍生品投资</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其中：远期</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Del="00455464" w:rsidRDefault="00E462F4" w:rsidP="00877D98">
            <w:pPr>
              <w:adjustRightInd w:val="0"/>
              <w:snapToGrid w:val="0"/>
              <w:spacing w:line="400" w:lineRule="exact"/>
              <w:ind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期货</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ind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期权</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ind w:firstLineChars="298" w:firstLine="626"/>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权证</w:t>
            </w:r>
          </w:p>
        </w:tc>
        <w:tc>
          <w:tcPr>
            <w:tcW w:w="2835" w:type="dxa"/>
            <w:shd w:val="clear" w:color="auto" w:fill="auto"/>
            <w:vAlign w:val="center"/>
          </w:tcPr>
          <w:p w:rsidR="00E462F4" w:rsidRPr="008277FF" w:rsidRDefault="00664F49"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lastRenderedPageBreak/>
              <w:t>5</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买入返售金融资产</w:t>
            </w:r>
          </w:p>
        </w:tc>
        <w:tc>
          <w:tcPr>
            <w:tcW w:w="2835" w:type="dxa"/>
            <w:shd w:val="clear" w:color="auto" w:fill="auto"/>
            <w:vAlign w:val="center"/>
          </w:tcPr>
          <w:p w:rsidR="00E462F4" w:rsidRPr="008277FF" w:rsidRDefault="00E462F4"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其中：买断式回购的买入返售金融资产</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adjustRightInd w:val="0"/>
              <w:snapToGrid w:val="0"/>
              <w:spacing w:line="400" w:lineRule="exact"/>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6</w:t>
            </w: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货币市场工具</w:t>
            </w:r>
          </w:p>
        </w:tc>
        <w:tc>
          <w:tcPr>
            <w:tcW w:w="2835" w:type="dxa"/>
            <w:shd w:val="clear" w:color="auto" w:fill="auto"/>
            <w:vAlign w:val="center"/>
          </w:tcPr>
          <w:p w:rsidR="00E462F4" w:rsidRPr="008277FF" w:rsidRDefault="00CE7FC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CE7FC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银行存款和结算备付金合计</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14,080,345.64</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19.87</w:t>
            </w:r>
          </w:p>
        </w:tc>
      </w:tr>
      <w:tr w:rsidR="008277FF" w:rsidRPr="008277FF" w:rsidTr="00797DD2">
        <w:tc>
          <w:tcPr>
            <w:tcW w:w="851" w:type="dxa"/>
            <w:shd w:val="clear" w:color="auto" w:fill="auto"/>
            <w:vAlign w:val="center"/>
          </w:tcPr>
          <w:p w:rsidR="00E462F4" w:rsidRPr="008277FF" w:rsidRDefault="00E462F4" w:rsidP="00466B17">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8</w:t>
            </w:r>
          </w:p>
        </w:tc>
        <w:tc>
          <w:tcPr>
            <w:tcW w:w="4253" w:type="dxa"/>
            <w:shd w:val="clear" w:color="auto" w:fill="auto"/>
            <w:vAlign w:val="center"/>
          </w:tcPr>
          <w:p w:rsidR="00E462F4" w:rsidRPr="008277FF" w:rsidRDefault="00E462F4" w:rsidP="00797DD2">
            <w:pP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其他各项资产</w:t>
            </w:r>
          </w:p>
        </w:tc>
        <w:tc>
          <w:tcPr>
            <w:tcW w:w="2835"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71,919.63</w:t>
            </w:r>
          </w:p>
        </w:tc>
        <w:tc>
          <w:tcPr>
            <w:tcW w:w="1559"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0.10</w:t>
            </w:r>
          </w:p>
        </w:tc>
      </w:tr>
      <w:tr w:rsidR="008277FF" w:rsidRPr="008277FF" w:rsidTr="00797DD2">
        <w:tc>
          <w:tcPr>
            <w:tcW w:w="851" w:type="dxa"/>
            <w:shd w:val="clear" w:color="auto" w:fill="auto"/>
            <w:vAlign w:val="center"/>
          </w:tcPr>
          <w:p w:rsidR="00E462F4" w:rsidRPr="008277FF" w:rsidRDefault="00E462F4" w:rsidP="00466B17">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9</w:t>
            </w:r>
          </w:p>
        </w:tc>
        <w:tc>
          <w:tcPr>
            <w:tcW w:w="4253" w:type="dxa"/>
            <w:shd w:val="clear" w:color="auto" w:fill="auto"/>
            <w:vAlign w:val="center"/>
          </w:tcPr>
          <w:p w:rsidR="00E462F4" w:rsidRPr="008277FF" w:rsidRDefault="00E462F4" w:rsidP="00797DD2">
            <w:pP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合计</w:t>
            </w:r>
          </w:p>
        </w:tc>
        <w:tc>
          <w:tcPr>
            <w:tcW w:w="2835"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70,854,158.51</w:t>
            </w:r>
          </w:p>
        </w:tc>
        <w:tc>
          <w:tcPr>
            <w:tcW w:w="1559"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100.00</w:t>
            </w:r>
          </w:p>
        </w:tc>
      </w:tr>
    </w:tbl>
    <w:p w:rsidR="00F512C0" w:rsidRPr="008277FF" w:rsidRDefault="00F512C0" w:rsidP="00363E15">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A82C02"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2</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报告期末在各个国家（地区）证券市场的股票及存托凭证投资分布</w:t>
      </w:r>
    </w:p>
    <w:tbl>
      <w:tblPr>
        <w:tblStyle w:val="af7"/>
        <w:tblW w:w="8604" w:type="dxa"/>
        <w:jc w:val="center"/>
        <w:tblLayout w:type="fixed"/>
        <w:tblLook w:val="04A0" w:firstRow="1" w:lastRow="0" w:firstColumn="1" w:lastColumn="0" w:noHBand="0" w:noVBand="1"/>
      </w:tblPr>
      <w:tblGrid>
        <w:gridCol w:w="2410"/>
        <w:gridCol w:w="3118"/>
        <w:gridCol w:w="3076"/>
      </w:tblGrid>
      <w:tr w:rsidR="008277FF" w:rsidRPr="008277FF" w:rsidTr="002C042C">
        <w:trPr>
          <w:jc w:val="center"/>
        </w:trPr>
        <w:tc>
          <w:tcPr>
            <w:tcW w:w="2410"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国家（地区）</w:t>
            </w:r>
          </w:p>
        </w:tc>
        <w:tc>
          <w:tcPr>
            <w:tcW w:w="3118"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公允价值</w:t>
            </w:r>
            <w:r w:rsidRPr="008277FF">
              <w:rPr>
                <w:rFonts w:asciiTheme="minorEastAsia" w:eastAsiaTheme="minorEastAsia" w:hAnsiTheme="minorEastAsia" w:cs="Arial"/>
                <w:color w:val="000000" w:themeColor="text1"/>
                <w:kern w:val="0"/>
                <w:szCs w:val="21"/>
              </w:rPr>
              <w:t>(</w:t>
            </w:r>
            <w:r w:rsidRPr="008277FF">
              <w:rPr>
                <w:rFonts w:asciiTheme="minorEastAsia" w:eastAsiaTheme="minorEastAsia" w:hAnsiTheme="minorEastAsia" w:cs="Arial" w:hint="eastAsia"/>
                <w:color w:val="000000" w:themeColor="text1"/>
                <w:kern w:val="0"/>
                <w:szCs w:val="21"/>
              </w:rPr>
              <w:t>人民币元</w:t>
            </w:r>
            <w:r w:rsidRPr="008277FF">
              <w:rPr>
                <w:rFonts w:asciiTheme="minorEastAsia" w:eastAsiaTheme="minorEastAsia" w:hAnsiTheme="minorEastAsia" w:cs="Arial"/>
                <w:color w:val="000000" w:themeColor="text1"/>
                <w:kern w:val="0"/>
                <w:szCs w:val="21"/>
              </w:rPr>
              <w:t>)</w:t>
            </w:r>
          </w:p>
        </w:tc>
        <w:tc>
          <w:tcPr>
            <w:tcW w:w="3076"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占基金资产净值比例（％）</w:t>
            </w:r>
          </w:p>
        </w:tc>
      </w:tr>
      <w:tr w:rsidR="00A95178">
        <w:trPr>
          <w:jc w:val="center"/>
        </w:trPr>
        <w:tc>
          <w:tcPr>
            <w:tcW w:w="2410" w:type="dxa"/>
            <w:vAlign w:val="center"/>
          </w:tcPr>
          <w:p w:rsidR="00A95178" w:rsidRDefault="00BE13D5">
            <w:pPr>
              <w:jc w:val="left"/>
            </w:pPr>
            <w:r>
              <w:rPr>
                <w:rFonts w:asciiTheme="minorEastAsia" w:eastAsiaTheme="minorEastAsia" w:hAnsiTheme="minorEastAsia"/>
                <w:color w:val="000000" w:themeColor="text1"/>
                <w:szCs w:val="21"/>
              </w:rPr>
              <w:t>中国香港</w:t>
            </w:r>
          </w:p>
        </w:tc>
        <w:tc>
          <w:tcPr>
            <w:tcW w:w="3118" w:type="dxa"/>
            <w:vAlign w:val="center"/>
          </w:tcPr>
          <w:p w:rsidR="00A95178" w:rsidRDefault="00BE13D5">
            <w:pPr>
              <w:jc w:val="right"/>
            </w:pPr>
            <w:r>
              <w:rPr>
                <w:rFonts w:asciiTheme="minorEastAsia" w:eastAsiaTheme="minorEastAsia" w:hAnsiTheme="minorEastAsia"/>
                <w:color w:val="000000" w:themeColor="text1"/>
                <w:szCs w:val="21"/>
              </w:rPr>
              <w:t>25,724,558.85</w:t>
            </w:r>
          </w:p>
        </w:tc>
        <w:tc>
          <w:tcPr>
            <w:tcW w:w="3076" w:type="dxa"/>
            <w:vAlign w:val="center"/>
          </w:tcPr>
          <w:p w:rsidR="00A95178" w:rsidRDefault="00BE13D5">
            <w:pPr>
              <w:jc w:val="right"/>
            </w:pPr>
            <w:r>
              <w:rPr>
                <w:rFonts w:asciiTheme="minorEastAsia" w:eastAsiaTheme="minorEastAsia" w:hAnsiTheme="minorEastAsia"/>
                <w:color w:val="000000" w:themeColor="text1"/>
                <w:szCs w:val="21"/>
              </w:rPr>
              <w:t>37.05</w:t>
            </w:r>
          </w:p>
        </w:tc>
      </w:tr>
      <w:tr w:rsidR="00A95178">
        <w:trPr>
          <w:jc w:val="center"/>
        </w:trPr>
        <w:tc>
          <w:tcPr>
            <w:tcW w:w="2410" w:type="dxa"/>
            <w:vAlign w:val="center"/>
          </w:tcPr>
          <w:p w:rsidR="00A95178" w:rsidRDefault="00BE13D5">
            <w:pPr>
              <w:jc w:val="left"/>
            </w:pPr>
            <w:r>
              <w:rPr>
                <w:rFonts w:asciiTheme="minorEastAsia" w:eastAsiaTheme="minorEastAsia" w:hAnsiTheme="minorEastAsia"/>
                <w:color w:val="000000" w:themeColor="text1"/>
                <w:szCs w:val="21"/>
              </w:rPr>
              <w:t>韩国</w:t>
            </w:r>
          </w:p>
        </w:tc>
        <w:tc>
          <w:tcPr>
            <w:tcW w:w="3118" w:type="dxa"/>
            <w:vAlign w:val="center"/>
          </w:tcPr>
          <w:p w:rsidR="00A95178" w:rsidRDefault="00BE13D5">
            <w:pPr>
              <w:jc w:val="right"/>
            </w:pPr>
            <w:r>
              <w:rPr>
                <w:rFonts w:asciiTheme="minorEastAsia" w:eastAsiaTheme="minorEastAsia" w:hAnsiTheme="minorEastAsia"/>
                <w:color w:val="000000" w:themeColor="text1"/>
                <w:szCs w:val="21"/>
              </w:rPr>
              <w:t>11,331,809.35</w:t>
            </w:r>
          </w:p>
        </w:tc>
        <w:tc>
          <w:tcPr>
            <w:tcW w:w="3076" w:type="dxa"/>
            <w:vAlign w:val="center"/>
          </w:tcPr>
          <w:p w:rsidR="00A95178" w:rsidRDefault="00BE13D5">
            <w:pPr>
              <w:jc w:val="right"/>
            </w:pPr>
            <w:r>
              <w:rPr>
                <w:rFonts w:asciiTheme="minorEastAsia" w:eastAsiaTheme="minorEastAsia" w:hAnsiTheme="minorEastAsia"/>
                <w:color w:val="000000" w:themeColor="text1"/>
                <w:szCs w:val="21"/>
              </w:rPr>
              <w:t>16.32</w:t>
            </w:r>
          </w:p>
        </w:tc>
      </w:tr>
      <w:tr w:rsidR="00A95178">
        <w:trPr>
          <w:jc w:val="center"/>
        </w:trPr>
        <w:tc>
          <w:tcPr>
            <w:tcW w:w="2410" w:type="dxa"/>
            <w:vAlign w:val="center"/>
          </w:tcPr>
          <w:p w:rsidR="00A95178" w:rsidRDefault="00BE13D5">
            <w:pPr>
              <w:jc w:val="left"/>
            </w:pPr>
            <w:r>
              <w:rPr>
                <w:rFonts w:asciiTheme="minorEastAsia" w:eastAsiaTheme="minorEastAsia" w:hAnsiTheme="minorEastAsia"/>
                <w:color w:val="000000" w:themeColor="text1"/>
                <w:szCs w:val="21"/>
              </w:rPr>
              <w:t>美国</w:t>
            </w:r>
          </w:p>
        </w:tc>
        <w:tc>
          <w:tcPr>
            <w:tcW w:w="3118" w:type="dxa"/>
            <w:vAlign w:val="center"/>
          </w:tcPr>
          <w:p w:rsidR="00A95178" w:rsidRDefault="00BE13D5">
            <w:pPr>
              <w:jc w:val="right"/>
            </w:pPr>
            <w:r>
              <w:rPr>
                <w:rFonts w:asciiTheme="minorEastAsia" w:eastAsiaTheme="minorEastAsia" w:hAnsiTheme="minorEastAsia"/>
                <w:color w:val="000000" w:themeColor="text1"/>
                <w:szCs w:val="21"/>
              </w:rPr>
              <w:t>8,764,533.98</w:t>
            </w:r>
          </w:p>
        </w:tc>
        <w:tc>
          <w:tcPr>
            <w:tcW w:w="3076" w:type="dxa"/>
            <w:vAlign w:val="center"/>
          </w:tcPr>
          <w:p w:rsidR="00A95178" w:rsidRDefault="00BE13D5">
            <w:pPr>
              <w:jc w:val="right"/>
            </w:pPr>
            <w:r>
              <w:rPr>
                <w:rFonts w:asciiTheme="minorEastAsia" w:eastAsiaTheme="minorEastAsia" w:hAnsiTheme="minorEastAsia"/>
                <w:color w:val="000000" w:themeColor="text1"/>
                <w:szCs w:val="21"/>
              </w:rPr>
              <w:t>12.62</w:t>
            </w:r>
          </w:p>
        </w:tc>
      </w:tr>
      <w:tr w:rsidR="00A95178">
        <w:trPr>
          <w:jc w:val="center"/>
        </w:trPr>
        <w:tc>
          <w:tcPr>
            <w:tcW w:w="2410" w:type="dxa"/>
            <w:vAlign w:val="center"/>
          </w:tcPr>
          <w:p w:rsidR="00A95178" w:rsidRDefault="00BE13D5">
            <w:pPr>
              <w:jc w:val="left"/>
            </w:pPr>
            <w:r>
              <w:rPr>
                <w:rFonts w:asciiTheme="minorEastAsia" w:eastAsiaTheme="minorEastAsia" w:hAnsiTheme="minorEastAsia"/>
                <w:color w:val="000000" w:themeColor="text1"/>
                <w:szCs w:val="21"/>
              </w:rPr>
              <w:t>印度尼西亚</w:t>
            </w:r>
          </w:p>
        </w:tc>
        <w:tc>
          <w:tcPr>
            <w:tcW w:w="3118" w:type="dxa"/>
            <w:vAlign w:val="center"/>
          </w:tcPr>
          <w:p w:rsidR="00A95178" w:rsidRDefault="00BE13D5">
            <w:pPr>
              <w:jc w:val="right"/>
            </w:pPr>
            <w:r>
              <w:rPr>
                <w:rFonts w:asciiTheme="minorEastAsia" w:eastAsiaTheme="minorEastAsia" w:hAnsiTheme="minorEastAsia"/>
                <w:color w:val="000000" w:themeColor="text1"/>
                <w:szCs w:val="21"/>
              </w:rPr>
              <w:t>4,886,331.13</w:t>
            </w:r>
          </w:p>
        </w:tc>
        <w:tc>
          <w:tcPr>
            <w:tcW w:w="3076" w:type="dxa"/>
            <w:vAlign w:val="center"/>
          </w:tcPr>
          <w:p w:rsidR="00A95178" w:rsidRDefault="00BE13D5">
            <w:pPr>
              <w:jc w:val="right"/>
            </w:pPr>
            <w:r>
              <w:rPr>
                <w:rFonts w:asciiTheme="minorEastAsia" w:eastAsiaTheme="minorEastAsia" w:hAnsiTheme="minorEastAsia"/>
                <w:color w:val="000000" w:themeColor="text1"/>
                <w:szCs w:val="21"/>
              </w:rPr>
              <w:t>7.04</w:t>
            </w:r>
          </w:p>
        </w:tc>
      </w:tr>
      <w:tr w:rsidR="00A95178">
        <w:trPr>
          <w:jc w:val="center"/>
        </w:trPr>
        <w:tc>
          <w:tcPr>
            <w:tcW w:w="2410" w:type="dxa"/>
            <w:vAlign w:val="center"/>
          </w:tcPr>
          <w:p w:rsidR="00A95178" w:rsidRDefault="00BE13D5">
            <w:pPr>
              <w:jc w:val="left"/>
            </w:pPr>
            <w:r>
              <w:rPr>
                <w:rFonts w:asciiTheme="minorEastAsia" w:eastAsiaTheme="minorEastAsia" w:hAnsiTheme="minorEastAsia"/>
                <w:color w:val="000000" w:themeColor="text1"/>
                <w:szCs w:val="21"/>
              </w:rPr>
              <w:t>泰国</w:t>
            </w:r>
          </w:p>
        </w:tc>
        <w:tc>
          <w:tcPr>
            <w:tcW w:w="3118" w:type="dxa"/>
            <w:vAlign w:val="center"/>
          </w:tcPr>
          <w:p w:rsidR="00A95178" w:rsidRDefault="00BE13D5">
            <w:pPr>
              <w:jc w:val="right"/>
            </w:pPr>
            <w:r>
              <w:rPr>
                <w:rFonts w:asciiTheme="minorEastAsia" w:eastAsiaTheme="minorEastAsia" w:hAnsiTheme="minorEastAsia"/>
                <w:color w:val="000000" w:themeColor="text1"/>
                <w:szCs w:val="21"/>
              </w:rPr>
              <w:t>3,831,558.46</w:t>
            </w:r>
          </w:p>
        </w:tc>
        <w:tc>
          <w:tcPr>
            <w:tcW w:w="3076" w:type="dxa"/>
            <w:vAlign w:val="center"/>
          </w:tcPr>
          <w:p w:rsidR="00A95178" w:rsidRDefault="00BE13D5">
            <w:pPr>
              <w:jc w:val="right"/>
            </w:pPr>
            <w:r>
              <w:rPr>
                <w:rFonts w:asciiTheme="minorEastAsia" w:eastAsiaTheme="minorEastAsia" w:hAnsiTheme="minorEastAsia"/>
                <w:color w:val="000000" w:themeColor="text1"/>
                <w:szCs w:val="21"/>
              </w:rPr>
              <w:t>5.52</w:t>
            </w:r>
          </w:p>
        </w:tc>
      </w:tr>
      <w:tr w:rsidR="00A95178">
        <w:trPr>
          <w:jc w:val="center"/>
        </w:trPr>
        <w:tc>
          <w:tcPr>
            <w:tcW w:w="2410" w:type="dxa"/>
            <w:vAlign w:val="center"/>
          </w:tcPr>
          <w:p w:rsidR="00A95178" w:rsidRDefault="00BE13D5">
            <w:pPr>
              <w:jc w:val="left"/>
            </w:pPr>
            <w:r>
              <w:rPr>
                <w:rFonts w:asciiTheme="minorEastAsia" w:eastAsiaTheme="minorEastAsia" w:hAnsiTheme="minorEastAsia"/>
                <w:color w:val="000000" w:themeColor="text1"/>
                <w:szCs w:val="21"/>
              </w:rPr>
              <w:t>中国台湾</w:t>
            </w:r>
          </w:p>
        </w:tc>
        <w:tc>
          <w:tcPr>
            <w:tcW w:w="3118" w:type="dxa"/>
            <w:vAlign w:val="center"/>
          </w:tcPr>
          <w:p w:rsidR="00A95178" w:rsidRDefault="00BE13D5">
            <w:pPr>
              <w:jc w:val="right"/>
            </w:pPr>
            <w:r>
              <w:rPr>
                <w:rFonts w:asciiTheme="minorEastAsia" w:eastAsiaTheme="minorEastAsia" w:hAnsiTheme="minorEastAsia"/>
                <w:color w:val="000000" w:themeColor="text1"/>
                <w:szCs w:val="21"/>
              </w:rPr>
              <w:t>2,163,101.47</w:t>
            </w:r>
          </w:p>
        </w:tc>
        <w:tc>
          <w:tcPr>
            <w:tcW w:w="3076" w:type="dxa"/>
            <w:vAlign w:val="center"/>
          </w:tcPr>
          <w:p w:rsidR="00A95178" w:rsidRDefault="00BE13D5">
            <w:pPr>
              <w:jc w:val="right"/>
            </w:pPr>
            <w:r>
              <w:rPr>
                <w:rFonts w:asciiTheme="minorEastAsia" w:eastAsiaTheme="minorEastAsia" w:hAnsiTheme="minorEastAsia"/>
                <w:color w:val="000000" w:themeColor="text1"/>
                <w:szCs w:val="21"/>
              </w:rPr>
              <w:t>3.12</w:t>
            </w:r>
          </w:p>
        </w:tc>
      </w:tr>
      <w:tr w:rsidR="008277FF" w:rsidRPr="008277FF" w:rsidTr="00877D98">
        <w:trPr>
          <w:jc w:val="center"/>
        </w:trPr>
        <w:tc>
          <w:tcPr>
            <w:tcW w:w="2410" w:type="dxa"/>
            <w:vAlign w:val="center"/>
          </w:tcPr>
          <w:p w:rsidR="002C042C" w:rsidRPr="008277FF" w:rsidRDefault="002C042C" w:rsidP="00877D98">
            <w:pPr>
              <w:autoSpaceDE w:val="0"/>
              <w:autoSpaceDN w:val="0"/>
              <w:adjustRightInd w:val="0"/>
              <w:spacing w:before="29" w:line="360" w:lineRule="auto"/>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合计</w:t>
            </w:r>
          </w:p>
        </w:tc>
        <w:tc>
          <w:tcPr>
            <w:tcW w:w="3118" w:type="dxa"/>
            <w:vAlign w:val="center"/>
          </w:tcPr>
          <w:p w:rsidR="002C042C" w:rsidRPr="008277FF" w:rsidRDefault="002C042C" w:rsidP="00877D98">
            <w:pPr>
              <w:autoSpaceDE w:val="0"/>
              <w:autoSpaceDN w:val="0"/>
              <w:adjustRightInd w:val="0"/>
              <w:spacing w:before="29" w:line="360" w:lineRule="auto"/>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56,701,893.24</w:t>
            </w:r>
          </w:p>
        </w:tc>
        <w:tc>
          <w:tcPr>
            <w:tcW w:w="3076" w:type="dxa"/>
            <w:vAlign w:val="center"/>
          </w:tcPr>
          <w:p w:rsidR="002C042C" w:rsidRPr="008277FF" w:rsidRDefault="002C042C" w:rsidP="00877D98">
            <w:pPr>
              <w:autoSpaceDE w:val="0"/>
              <w:autoSpaceDN w:val="0"/>
              <w:adjustRightInd w:val="0"/>
              <w:spacing w:before="29" w:line="360" w:lineRule="auto"/>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81.66</w:t>
            </w:r>
          </w:p>
        </w:tc>
      </w:tr>
    </w:tbl>
    <w:p w:rsidR="00363E15" w:rsidRPr="008277FF" w:rsidRDefault="00363E15" w:rsidP="00363E15">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注：国家（地区）类别根据其所在的证券交易所确定，ADR、GDR按照存托凭证本身挂牌的证券交易所确定。</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C37E98"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3</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报告期末按行业分类的股票及存托凭证投资组合</w:t>
      </w:r>
    </w:p>
    <w:tbl>
      <w:tblPr>
        <w:tblStyle w:val="af7"/>
        <w:tblW w:w="0" w:type="auto"/>
        <w:tblInd w:w="15" w:type="dxa"/>
        <w:tblLayout w:type="fixed"/>
        <w:tblLook w:val="04A0" w:firstRow="1" w:lastRow="0" w:firstColumn="1" w:lastColumn="0" w:noHBand="0" w:noVBand="1"/>
      </w:tblPr>
      <w:tblGrid>
        <w:gridCol w:w="2787"/>
        <w:gridCol w:w="2551"/>
        <w:gridCol w:w="3175"/>
      </w:tblGrid>
      <w:tr w:rsidR="008277FF" w:rsidRPr="008277FF" w:rsidTr="008B2EAD">
        <w:tc>
          <w:tcPr>
            <w:tcW w:w="2787" w:type="dxa"/>
            <w:vAlign w:val="center"/>
          </w:tcPr>
          <w:p w:rsidR="00C37E98" w:rsidRPr="008277FF" w:rsidRDefault="00C37E98"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行业类别</w:t>
            </w:r>
          </w:p>
        </w:tc>
        <w:tc>
          <w:tcPr>
            <w:tcW w:w="2551" w:type="dxa"/>
            <w:vAlign w:val="center"/>
          </w:tcPr>
          <w:p w:rsidR="00C37E98" w:rsidRPr="008277FF" w:rsidRDefault="00C37E98"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公允价值（人民币元）</w:t>
            </w:r>
          </w:p>
        </w:tc>
        <w:tc>
          <w:tcPr>
            <w:tcW w:w="3175" w:type="dxa"/>
            <w:vAlign w:val="center"/>
          </w:tcPr>
          <w:p w:rsidR="00C37E98" w:rsidRPr="008277FF" w:rsidRDefault="00C37E98"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占基金资产净值比例（％）</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商业银行</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11,821,738.45</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17.03</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互动媒体与服务</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5,229,789.34</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7.53</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网络营销与直销零售</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4,310,913.17</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6.21</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半导体产品与设备</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4,100,484.10</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5.91</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纺织品、服装与奢侈品</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3,426,187.00</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4.93</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科技硬件、存储及周边</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3,328,523.45</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4.79</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电力公用事业</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2,646,742.21</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3.81</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保险</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2,606,523.15</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3.75</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建筑与工程</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2,302,124.16</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3.32</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食品</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1,925,011.30</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2.77</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lastRenderedPageBreak/>
              <w:t>化学制品</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1,874,186.27</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2.70</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电子设备、仪器和元件</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1,863,430.56</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2.68</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综合电信业务</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1,832,091.81</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2.64</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建筑材料</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1,665,538.01</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2.40</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食品与主要用品零售</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1,536,104.73</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2.21</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电气设备</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1,400,461.67</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2.02</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制药</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1,366,968.40</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1.97</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汽车零配件</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782,627.54</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1.13</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专营零售</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758,519.54</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1.09</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机械制造</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693,175.20</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1.00</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房地产管理与开发</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527,101.40</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0.76</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金属与采矿</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353,049.87</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0.51</w:t>
            </w:r>
          </w:p>
        </w:tc>
      </w:tr>
      <w:tr w:rsidR="00A95178">
        <w:tc>
          <w:tcPr>
            <w:tcW w:w="2787" w:type="dxa"/>
            <w:vAlign w:val="center"/>
          </w:tcPr>
          <w:p w:rsidR="00A95178" w:rsidRDefault="00BE13D5">
            <w:pPr>
              <w:jc w:val="left"/>
            </w:pPr>
            <w:r>
              <w:rPr>
                <w:rFonts w:asciiTheme="minorEastAsia" w:eastAsiaTheme="minorEastAsia" w:hAnsiTheme="minorEastAsia"/>
                <w:color w:val="000000" w:themeColor="text1"/>
                <w:szCs w:val="21"/>
              </w:rPr>
              <w:t>信息技术服务</w:t>
            </w:r>
          </w:p>
        </w:tc>
        <w:tc>
          <w:tcPr>
            <w:tcW w:w="2551" w:type="dxa"/>
            <w:vAlign w:val="center"/>
          </w:tcPr>
          <w:p w:rsidR="00A95178" w:rsidRDefault="00BE13D5">
            <w:pPr>
              <w:jc w:val="right"/>
            </w:pPr>
            <w:r>
              <w:rPr>
                <w:rFonts w:asciiTheme="minorEastAsia" w:eastAsiaTheme="minorEastAsia" w:hAnsiTheme="minorEastAsia"/>
                <w:color w:val="000000" w:themeColor="text1"/>
                <w:szCs w:val="21"/>
              </w:rPr>
              <w:t>350,601.91</w:t>
            </w:r>
          </w:p>
        </w:tc>
        <w:tc>
          <w:tcPr>
            <w:tcW w:w="3175" w:type="dxa"/>
            <w:vAlign w:val="center"/>
          </w:tcPr>
          <w:p w:rsidR="00A95178" w:rsidRDefault="00BE13D5">
            <w:pPr>
              <w:jc w:val="right"/>
            </w:pPr>
            <w:r>
              <w:rPr>
                <w:rFonts w:asciiTheme="minorEastAsia" w:eastAsiaTheme="minorEastAsia" w:hAnsiTheme="minorEastAsia"/>
                <w:color w:val="000000" w:themeColor="text1"/>
                <w:szCs w:val="21"/>
              </w:rPr>
              <w:t>0.50</w:t>
            </w:r>
          </w:p>
        </w:tc>
      </w:tr>
      <w:tr w:rsidR="008277FF" w:rsidRPr="008277FF" w:rsidTr="00877D98">
        <w:tc>
          <w:tcPr>
            <w:tcW w:w="2787" w:type="dxa"/>
            <w:vAlign w:val="center"/>
          </w:tcPr>
          <w:p w:rsidR="00C37E98" w:rsidRPr="008277FF" w:rsidRDefault="00C37E98" w:rsidP="00877D98">
            <w:pPr>
              <w:autoSpaceDE w:val="0"/>
              <w:autoSpaceDN w:val="0"/>
              <w:adjustRightInd w:val="0"/>
              <w:spacing w:before="29" w:line="360" w:lineRule="auto"/>
              <w:ind w:left="15"/>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合计</w:t>
            </w:r>
          </w:p>
        </w:tc>
        <w:tc>
          <w:tcPr>
            <w:tcW w:w="2551" w:type="dxa"/>
            <w:vAlign w:val="center"/>
          </w:tcPr>
          <w:p w:rsidR="00C37E98" w:rsidRPr="008277FF" w:rsidRDefault="00C37E98" w:rsidP="00C9504A">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56,701,893.24</w:t>
            </w:r>
          </w:p>
        </w:tc>
        <w:tc>
          <w:tcPr>
            <w:tcW w:w="3175" w:type="dxa"/>
            <w:vAlign w:val="center"/>
          </w:tcPr>
          <w:p w:rsidR="00C37E98" w:rsidRPr="008277FF" w:rsidRDefault="00C37E98" w:rsidP="00C9504A">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81.66</w:t>
            </w:r>
          </w:p>
        </w:tc>
      </w:tr>
    </w:tbl>
    <w:p w:rsidR="005B6AC7" w:rsidRPr="008277FF" w:rsidRDefault="000A521D" w:rsidP="008B6A4A">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注：行业分类标准：MSCI</w:t>
      </w:r>
    </w:p>
    <w:p w:rsidR="000A521D" w:rsidRPr="008277FF" w:rsidRDefault="000A521D" w:rsidP="008B6A4A">
      <w:pPr>
        <w:autoSpaceDE w:val="0"/>
        <w:autoSpaceDN w:val="0"/>
        <w:adjustRightInd w:val="0"/>
        <w:spacing w:line="360" w:lineRule="auto"/>
        <w:jc w:val="left"/>
        <w:rPr>
          <w:rFonts w:asciiTheme="minorEastAsia" w:eastAsiaTheme="minorEastAsia" w:hAnsiTheme="minorEastAsia"/>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4</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452"/>
        <w:gridCol w:w="1673"/>
        <w:gridCol w:w="661"/>
        <w:gridCol w:w="855"/>
        <w:gridCol w:w="477"/>
        <w:gridCol w:w="663"/>
        <w:gridCol w:w="1161"/>
        <w:gridCol w:w="1476"/>
        <w:gridCol w:w="869"/>
      </w:tblGrid>
      <w:tr w:rsidR="008277FF" w:rsidRPr="008277FF" w:rsidTr="001C7D5D">
        <w:tc>
          <w:tcPr>
            <w:tcW w:w="794"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序号</w:t>
            </w:r>
          </w:p>
        </w:tc>
        <w:tc>
          <w:tcPr>
            <w:tcW w:w="974" w:type="dxa"/>
            <w:vAlign w:val="center"/>
          </w:tcPr>
          <w:p w:rsidR="001C7D5D" w:rsidRPr="008277FF" w:rsidRDefault="001C7D5D" w:rsidP="001C7D5D">
            <w:pPr>
              <w:adjustRightInd w:val="0"/>
              <w:snapToGrid w:val="0"/>
              <w:spacing w:line="400" w:lineRule="exact"/>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公司名称（英文）</w:t>
            </w:r>
          </w:p>
        </w:tc>
        <w:tc>
          <w:tcPr>
            <w:tcW w:w="1019" w:type="dxa"/>
            <w:vAlign w:val="center"/>
          </w:tcPr>
          <w:p w:rsidR="001C7D5D" w:rsidRPr="008277FF" w:rsidRDefault="001C7D5D" w:rsidP="00797DD2">
            <w:pPr>
              <w:adjustRightInd w:val="0"/>
              <w:snapToGrid w:val="0"/>
              <w:spacing w:line="400" w:lineRule="exact"/>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公司名称（中文）</w:t>
            </w:r>
          </w:p>
        </w:tc>
        <w:tc>
          <w:tcPr>
            <w:tcW w:w="703" w:type="dxa"/>
            <w:vAlign w:val="center"/>
          </w:tcPr>
          <w:p w:rsidR="001C7D5D" w:rsidRPr="008277FF" w:rsidRDefault="001C7D5D" w:rsidP="00797DD2">
            <w:pPr>
              <w:adjustRightInd w:val="0"/>
              <w:snapToGrid w:val="0"/>
              <w:spacing w:line="400" w:lineRule="exact"/>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证券代码</w:t>
            </w:r>
          </w:p>
        </w:tc>
        <w:tc>
          <w:tcPr>
            <w:tcW w:w="793"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所在证</w:t>
            </w:r>
          </w:p>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券市场</w:t>
            </w:r>
          </w:p>
        </w:tc>
        <w:tc>
          <w:tcPr>
            <w:tcW w:w="969"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所属国家</w:t>
            </w:r>
          </w:p>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（地区</w:t>
            </w:r>
            <w:r w:rsidRPr="008277FF">
              <w:rPr>
                <w:rFonts w:asciiTheme="minorEastAsia" w:eastAsiaTheme="minorEastAsia" w:hAnsiTheme="minorEastAsia" w:cs="Arial"/>
                <w:color w:val="000000" w:themeColor="text1"/>
                <w:kern w:val="0"/>
                <w:szCs w:val="21"/>
              </w:rPr>
              <w:t>)</w:t>
            </w:r>
          </w:p>
        </w:tc>
        <w:tc>
          <w:tcPr>
            <w:tcW w:w="1146"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数量</w:t>
            </w:r>
          </w:p>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（股）</w:t>
            </w:r>
          </w:p>
        </w:tc>
        <w:tc>
          <w:tcPr>
            <w:tcW w:w="969"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公允价值（人民币元）</w:t>
            </w:r>
          </w:p>
        </w:tc>
        <w:tc>
          <w:tcPr>
            <w:tcW w:w="1146"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占基金资产净值比例（％）</w:t>
            </w:r>
          </w:p>
        </w:tc>
      </w:tr>
      <w:tr w:rsidR="00A95178">
        <w:tc>
          <w:tcPr>
            <w:tcW w:w="0" w:type="auto"/>
            <w:vAlign w:val="center"/>
          </w:tcPr>
          <w:p w:rsidR="00A95178" w:rsidRDefault="00BE13D5">
            <w:pPr>
              <w:jc w:val="center"/>
            </w:pPr>
            <w:r>
              <w:rPr>
                <w:rFonts w:asciiTheme="minorEastAsia" w:eastAsiaTheme="minorEastAsia" w:hAnsiTheme="minorEastAsia"/>
                <w:color w:val="000000" w:themeColor="text1"/>
                <w:szCs w:val="21"/>
              </w:rPr>
              <w:t>1</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Tencent Holdings Ltd</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腾讯控股</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700 HK</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香港交易所</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中国香港</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19,000.00</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5,229,789.34</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7.53</w:t>
            </w:r>
          </w:p>
        </w:tc>
      </w:tr>
      <w:tr w:rsidR="00A95178">
        <w:tc>
          <w:tcPr>
            <w:tcW w:w="0" w:type="auto"/>
            <w:vAlign w:val="center"/>
          </w:tcPr>
          <w:p w:rsidR="00A95178" w:rsidRDefault="00BE13D5">
            <w:pPr>
              <w:jc w:val="center"/>
            </w:pPr>
            <w:r>
              <w:rPr>
                <w:rFonts w:asciiTheme="minorEastAsia" w:eastAsiaTheme="minorEastAsia" w:hAnsiTheme="minorEastAsia"/>
                <w:color w:val="000000" w:themeColor="text1"/>
                <w:szCs w:val="21"/>
              </w:rPr>
              <w:t>2</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Taiwan Semiconductor Manufacturing Co., Ltd</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台积电</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TSM US</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纽约证券交易所</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美国</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13,600.00</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3,445,161.68</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4.96</w:t>
            </w:r>
          </w:p>
        </w:tc>
      </w:tr>
      <w:tr w:rsidR="00A95178">
        <w:tc>
          <w:tcPr>
            <w:tcW w:w="0" w:type="auto"/>
            <w:vAlign w:val="center"/>
          </w:tcPr>
          <w:p w:rsidR="00A95178" w:rsidRDefault="00BE13D5">
            <w:pPr>
              <w:jc w:val="center"/>
            </w:pPr>
            <w:r>
              <w:rPr>
                <w:rFonts w:asciiTheme="minorEastAsia" w:eastAsiaTheme="minorEastAsia" w:hAnsiTheme="minorEastAsia"/>
                <w:color w:val="000000" w:themeColor="text1"/>
                <w:szCs w:val="21"/>
              </w:rPr>
              <w:t>3</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Samsung Electronics Co Ltd</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三星电子</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005930 KS</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韩国证券交易所</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韩国</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13,983.00</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3,328,523.45</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4.79</w:t>
            </w:r>
          </w:p>
        </w:tc>
      </w:tr>
      <w:tr w:rsidR="00A95178">
        <w:tc>
          <w:tcPr>
            <w:tcW w:w="0" w:type="auto"/>
            <w:vAlign w:val="center"/>
          </w:tcPr>
          <w:p w:rsidR="00A95178" w:rsidRDefault="00BE13D5">
            <w:pPr>
              <w:jc w:val="center"/>
            </w:pPr>
            <w:r>
              <w:rPr>
                <w:rFonts w:asciiTheme="minorEastAsia" w:eastAsiaTheme="minorEastAsia" w:hAnsiTheme="minorEastAsia"/>
                <w:color w:val="000000" w:themeColor="text1"/>
                <w:szCs w:val="21"/>
              </w:rPr>
              <w:t>4</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Alibaba Group Holding Ltd</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阿里巴巴</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BABA US</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纽约证券交易所</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美国</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3,330.00</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3,132,660.28</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4.51</w:t>
            </w:r>
          </w:p>
        </w:tc>
      </w:tr>
      <w:tr w:rsidR="00A95178">
        <w:tc>
          <w:tcPr>
            <w:tcW w:w="0" w:type="auto"/>
            <w:vAlign w:val="center"/>
          </w:tcPr>
          <w:p w:rsidR="00A95178" w:rsidRDefault="00BE13D5">
            <w:pPr>
              <w:jc w:val="center"/>
            </w:pPr>
            <w:r>
              <w:rPr>
                <w:rFonts w:asciiTheme="minorEastAsia" w:eastAsiaTheme="minorEastAsia" w:hAnsiTheme="minorEastAsia"/>
                <w:color w:val="000000" w:themeColor="text1"/>
                <w:szCs w:val="21"/>
              </w:rPr>
              <w:t>5</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Korea Electric Power Corp</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韩国电力公司</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015760 KS</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韩国证券交易所</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韩国</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13,000.00</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2,646,742.21</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3.81</w:t>
            </w:r>
          </w:p>
        </w:tc>
      </w:tr>
      <w:tr w:rsidR="00A95178">
        <w:tc>
          <w:tcPr>
            <w:tcW w:w="0" w:type="auto"/>
            <w:vAlign w:val="center"/>
          </w:tcPr>
          <w:p w:rsidR="00A95178" w:rsidRDefault="00BE13D5">
            <w:pPr>
              <w:jc w:val="center"/>
            </w:pPr>
            <w:r>
              <w:rPr>
                <w:rFonts w:asciiTheme="minorEastAsia" w:eastAsiaTheme="minorEastAsia" w:hAnsiTheme="minorEastAsia"/>
                <w:color w:val="000000" w:themeColor="text1"/>
                <w:szCs w:val="21"/>
              </w:rPr>
              <w:t>6</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Ping An Insurance Group Co of China Ltd</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中国平安</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2318 HK</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香港交易所</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中国香港</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43,000.00</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2,606,523.15</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3.75</w:t>
            </w:r>
          </w:p>
        </w:tc>
      </w:tr>
      <w:tr w:rsidR="00A95178">
        <w:tc>
          <w:tcPr>
            <w:tcW w:w="0" w:type="auto"/>
            <w:vAlign w:val="center"/>
          </w:tcPr>
          <w:p w:rsidR="00A95178" w:rsidRDefault="00BE13D5">
            <w:pPr>
              <w:jc w:val="center"/>
            </w:pPr>
            <w:r>
              <w:rPr>
                <w:rFonts w:asciiTheme="minorEastAsia" w:eastAsiaTheme="minorEastAsia" w:hAnsiTheme="minorEastAsia"/>
                <w:color w:val="000000" w:themeColor="text1"/>
                <w:szCs w:val="21"/>
              </w:rPr>
              <w:t>7</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China Merchants Bank Co Ltd</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招商银行</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3968HK</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香港交易所</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中国香港</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88,000.00</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2,213,938.31</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3.19</w:t>
            </w:r>
          </w:p>
        </w:tc>
      </w:tr>
      <w:tr w:rsidR="00A95178">
        <w:tc>
          <w:tcPr>
            <w:tcW w:w="0" w:type="auto"/>
            <w:vAlign w:val="center"/>
          </w:tcPr>
          <w:p w:rsidR="00A95178" w:rsidRDefault="00BE13D5">
            <w:pPr>
              <w:jc w:val="center"/>
            </w:pPr>
            <w:r>
              <w:rPr>
                <w:rFonts w:asciiTheme="minorEastAsia" w:eastAsiaTheme="minorEastAsia" w:hAnsiTheme="minorEastAsia"/>
                <w:color w:val="000000" w:themeColor="text1"/>
                <w:szCs w:val="21"/>
              </w:rPr>
              <w:t>8</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Shenzhou International Group Holdings Ltd</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申洲国际</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2313 HK</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香港交易所</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中国香港</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25,000.00</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1,944,953.92</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2.80</w:t>
            </w:r>
          </w:p>
        </w:tc>
      </w:tr>
      <w:tr w:rsidR="00A95178">
        <w:tc>
          <w:tcPr>
            <w:tcW w:w="0" w:type="auto"/>
            <w:vAlign w:val="center"/>
          </w:tcPr>
          <w:p w:rsidR="00A95178" w:rsidRDefault="00BE13D5">
            <w:pPr>
              <w:jc w:val="center"/>
            </w:pPr>
            <w:r>
              <w:rPr>
                <w:rFonts w:asciiTheme="minorEastAsia" w:eastAsiaTheme="minorEastAsia" w:hAnsiTheme="minorEastAsia"/>
                <w:color w:val="000000" w:themeColor="text1"/>
                <w:szCs w:val="21"/>
              </w:rPr>
              <w:t>9</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China Mengniu Dairy Co Ltd</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蒙牛乳业</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2319 HK</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香港交易所</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中国香港</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90,000.00</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1,925,011.30</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2.77</w:t>
            </w:r>
          </w:p>
        </w:tc>
      </w:tr>
      <w:tr w:rsidR="00A95178">
        <w:tc>
          <w:tcPr>
            <w:tcW w:w="0" w:type="auto"/>
            <w:vAlign w:val="center"/>
          </w:tcPr>
          <w:p w:rsidR="00A95178" w:rsidRDefault="00BE13D5">
            <w:pPr>
              <w:jc w:val="center"/>
            </w:pPr>
            <w:r>
              <w:rPr>
                <w:rFonts w:asciiTheme="minorEastAsia" w:eastAsiaTheme="minorEastAsia" w:hAnsiTheme="minorEastAsia"/>
                <w:color w:val="000000" w:themeColor="text1"/>
                <w:szCs w:val="21"/>
              </w:rPr>
              <w:t>10</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Lotte Chemical Corp</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乐天石油化学</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011170 KS</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韩国证券交易所</w:t>
            </w:r>
          </w:p>
        </w:tc>
        <w:tc>
          <w:tcPr>
            <w:tcW w:w="0" w:type="auto"/>
            <w:vAlign w:val="center"/>
          </w:tcPr>
          <w:p w:rsidR="00A95178" w:rsidRDefault="00BE13D5">
            <w:pPr>
              <w:jc w:val="center"/>
            </w:pPr>
            <w:r>
              <w:rPr>
                <w:rFonts w:asciiTheme="minorEastAsia" w:eastAsiaTheme="minorEastAsia" w:hAnsiTheme="minorEastAsia"/>
                <w:color w:val="000000" w:themeColor="text1"/>
                <w:szCs w:val="21"/>
              </w:rPr>
              <w:t>韩国</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1,100.00</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1,874,186.27</w:t>
            </w:r>
          </w:p>
        </w:tc>
        <w:tc>
          <w:tcPr>
            <w:tcW w:w="0" w:type="auto"/>
            <w:vAlign w:val="center"/>
          </w:tcPr>
          <w:p w:rsidR="00A95178" w:rsidRDefault="00BE13D5">
            <w:pPr>
              <w:jc w:val="right"/>
            </w:pPr>
            <w:r>
              <w:rPr>
                <w:rFonts w:asciiTheme="minorEastAsia" w:eastAsiaTheme="minorEastAsia" w:hAnsiTheme="minorEastAsia"/>
                <w:color w:val="000000" w:themeColor="text1"/>
                <w:szCs w:val="21"/>
              </w:rPr>
              <w:t>2.70</w:t>
            </w:r>
          </w:p>
        </w:tc>
      </w:tr>
    </w:tbl>
    <w:p w:rsidR="00521EDE" w:rsidRPr="008277FF" w:rsidRDefault="00521EDE" w:rsidP="00890172">
      <w:pPr>
        <w:autoSpaceDE w:val="0"/>
        <w:autoSpaceDN w:val="0"/>
        <w:adjustRightInd w:val="0"/>
        <w:spacing w:before="29" w:line="360" w:lineRule="auto"/>
        <w:ind w:left="15"/>
        <w:jc w:val="left"/>
        <w:rPr>
          <w:rFonts w:asciiTheme="minorEastAsia" w:eastAsiaTheme="minorEastAsia" w:hAnsiTheme="minorEastAsia" w:cs="宋体"/>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5</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报告期末按债券信用等级分类的债券投资组合</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本基金本报告期末未持有债券。</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6</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报告期末按公允价值占基金资产净值比例大小排名的前五名债券投资明细</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本基金本报告期末未持有债券。</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7</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报告期末按公允价值占基金资产净值比例大小排名的前十名资产支持证券投资明细</w:t>
      </w:r>
    </w:p>
    <w:p w:rsidR="00521EDE" w:rsidRPr="008277FF" w:rsidRDefault="00521EDE"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本基金本报告期末未持有资产支持证券。</w:t>
      </w:r>
    </w:p>
    <w:p w:rsidR="005B6AC7" w:rsidRPr="008277FF" w:rsidRDefault="005B6AC7" w:rsidP="00521EDE">
      <w:pPr>
        <w:autoSpaceDE w:val="0"/>
        <w:autoSpaceDN w:val="0"/>
        <w:adjustRightInd w:val="0"/>
        <w:spacing w:before="29" w:line="360" w:lineRule="auto"/>
        <w:ind w:left="15"/>
        <w:jc w:val="left"/>
        <w:rPr>
          <w:rFonts w:asciiTheme="minorEastAsia" w:eastAsiaTheme="minorEastAsia" w:hAnsiTheme="minorEastAsia" w:cs="Arial"/>
          <w:b/>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8</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报告期末按公允价值占基金资产净值比例大小排名的前五名金融衍生品投资明细</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本基金本报告期末未持有金融衍生品。</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B22A61"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9</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报告期末按公允价值占基金资产净值比例大小排序的</w:t>
      </w:r>
      <w:r w:rsidR="0076518F" w:rsidRPr="008277FF">
        <w:rPr>
          <w:rFonts w:asciiTheme="minorEastAsia" w:eastAsiaTheme="minorEastAsia" w:hAnsiTheme="minorEastAsia" w:cs="Arial"/>
          <w:b/>
          <w:color w:val="000000" w:themeColor="text1"/>
          <w:kern w:val="0"/>
          <w:sz w:val="24"/>
        </w:rPr>
        <w:t>前</w:t>
      </w:r>
      <w:r w:rsidR="0076518F" w:rsidRPr="008277FF">
        <w:rPr>
          <w:rFonts w:asciiTheme="minorEastAsia" w:eastAsiaTheme="minorEastAsia" w:hAnsiTheme="minorEastAsia" w:cs="Arial" w:hint="eastAsia"/>
          <w:b/>
          <w:color w:val="000000" w:themeColor="text1"/>
          <w:kern w:val="0"/>
          <w:sz w:val="24"/>
        </w:rPr>
        <w:t>十名基金投资明细</w:t>
      </w:r>
    </w:p>
    <w:p w:rsidR="00521EDE" w:rsidRPr="008277FF" w:rsidRDefault="00521EDE"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本基金本报告期末未持有基金。</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B55EA7" w:rsidP="0049659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0076518F"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10</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投资组合报告附注</w:t>
      </w:r>
    </w:p>
    <w:p w:rsidR="00B55EA7" w:rsidRPr="008277FF" w:rsidRDefault="00B55EA7" w:rsidP="000E3F11">
      <w:pPr>
        <w:widowControl/>
        <w:spacing w:line="360" w:lineRule="auto"/>
        <w:ind w:left="120" w:hangingChars="50" w:hanging="120"/>
        <w:rPr>
          <w:rFonts w:asciiTheme="minorEastAsia" w:eastAsiaTheme="minorEastAsia" w:hAnsiTheme="minorEastAsia"/>
          <w:color w:val="000000" w:themeColor="text1"/>
          <w:sz w:val="24"/>
        </w:rPr>
      </w:pPr>
      <w:r w:rsidRPr="008277FF">
        <w:rPr>
          <w:rFonts w:asciiTheme="minorEastAsia" w:eastAsiaTheme="minorEastAsia" w:hAnsiTheme="minorEastAsia"/>
          <w:color w:val="000000" w:themeColor="text1"/>
          <w:sz w:val="24"/>
        </w:rPr>
        <w:t>5.10.1根据中国银监会（现名：中国银行保险监督管理委员会）于2018年2月12日作出的处罚决定（银监罚决字〔2018〕1号），本基金投资的招商银行股份有限公司（以下简称“招商银行”，股票代码03968.HK）有如下主要违法违规事实：（一）内控管理严重违反审慎经营规则；（二）违规批量转让以个人为借款主体的不良贷款；（三）同业投资业务违规接受第三方金融机构信用担保；（四）销售同业非保本理财产品时违规承诺保本；（五）违规将票据贴现资金直接转回出票人账户；（六）为同业投资业务违规提供第三方金融机构信用担保；（七）未将房地产企业贷款计入房地产开发贷款科目；（八）高管人员在获得任职资格核准前履职；（九）未严格审查贸易背景真实性办理银行承兑业务；（十）未严格审查贸易背景真实性开立信用证；（十一）违规签订保本合同销售同业非保本理财产品；（十二）非真实</w:t>
      </w:r>
      <w:r w:rsidRPr="008277FF">
        <w:rPr>
          <w:rFonts w:asciiTheme="minorEastAsia" w:eastAsiaTheme="minorEastAsia" w:hAnsiTheme="minorEastAsia"/>
          <w:color w:val="000000" w:themeColor="text1"/>
          <w:sz w:val="24"/>
        </w:rPr>
        <w:lastRenderedPageBreak/>
        <w:t>转让信贷资产；（十三）违规向典当行发放贷款；（十四）违规向关系人发放信用贷款。中国银监会对招商银行上述的违法违规事项作出如下处罚决定：罚款6570万元，没收违法所得3.024万元，罚没合计6573.024万元。</w:t>
      </w:r>
    </w:p>
    <w:p w:rsidR="00A95178" w:rsidRDefault="00A95178">
      <w:pPr>
        <w:widowControl/>
        <w:spacing w:line="360" w:lineRule="auto"/>
        <w:ind w:left="120" w:hangingChars="50" w:hanging="120"/>
        <w:rPr>
          <w:rFonts w:asciiTheme="minorEastAsia" w:eastAsiaTheme="minorEastAsia" w:hAnsiTheme="minorEastAsia"/>
          <w:color w:val="000000" w:themeColor="text1"/>
          <w:sz w:val="24"/>
        </w:rPr>
      </w:pPr>
    </w:p>
    <w:p w:rsidR="00A95178" w:rsidRDefault="00BE13D5">
      <w:pPr>
        <w:widowControl/>
        <w:spacing w:line="360" w:lineRule="auto"/>
        <w:ind w:left="120" w:hangingChars="50" w:hanging="12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对上述股票投资决策程序的说明：本基金管理人在投资招商银行前严格执行了对上市公司的调研、内部研究推荐、投资计划审批等相关投资决策流程。上述股票根据股票池审批流程进入本基金备选库，由研究员跟踪并分析。上述事件发生后，本基金管理人对上市公司进行了进一步了解和分析，认为上述事项对上市公司财务状况、经营成果和现金流量未产生重大的实质性影响，因此，没有改变本基金管理人对上述上市公司的投资判断。</w:t>
      </w:r>
    </w:p>
    <w:p w:rsidR="00A95178" w:rsidRDefault="00A95178">
      <w:pPr>
        <w:widowControl/>
        <w:spacing w:line="360" w:lineRule="auto"/>
        <w:ind w:left="120" w:hangingChars="50" w:hanging="120"/>
        <w:rPr>
          <w:rFonts w:asciiTheme="minorEastAsia" w:eastAsiaTheme="minorEastAsia" w:hAnsiTheme="minorEastAsia"/>
          <w:color w:val="000000" w:themeColor="text1"/>
          <w:sz w:val="24"/>
        </w:rPr>
      </w:pPr>
    </w:p>
    <w:p w:rsidR="00A95178" w:rsidRDefault="00BE13D5">
      <w:pPr>
        <w:widowControl/>
        <w:spacing w:line="360" w:lineRule="auto"/>
        <w:ind w:left="120" w:hangingChars="50" w:hanging="12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除上述股票外，本基金投资的其余前十名证券的发行主体本期未出现被监管部门立案调查，或在报告编制日前一年内受到公开谴责、处罚的情形。</w:t>
      </w:r>
    </w:p>
    <w:p w:rsidR="00B55EA7" w:rsidRPr="008277FF" w:rsidRDefault="00B55EA7" w:rsidP="00B55EA7">
      <w:pPr>
        <w:widowControl/>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color w:val="000000" w:themeColor="text1"/>
          <w:sz w:val="24"/>
        </w:rPr>
        <w:t>5.10.2报告期内本基金投资的前十名股票中没有在基金合同规定备选股票库之外的股票。</w:t>
      </w:r>
    </w:p>
    <w:p w:rsidR="0076518F" w:rsidRPr="008277FF" w:rsidRDefault="008C71EB" w:rsidP="0049659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.3</w:t>
      </w:r>
      <w:r w:rsidR="0076518F" w:rsidRPr="008277FF">
        <w:rPr>
          <w:rFonts w:asciiTheme="minorEastAsia" w:eastAsiaTheme="minorEastAsia" w:hAnsiTheme="minorEastAsia" w:cs="Arial" w:hint="eastAsia"/>
          <w:b/>
          <w:color w:val="000000" w:themeColor="text1"/>
          <w:kern w:val="0"/>
          <w:sz w:val="24"/>
        </w:rPr>
        <w:t>其他资产构成</w:t>
      </w:r>
    </w:p>
    <w:tbl>
      <w:tblPr>
        <w:tblStyle w:val="af7"/>
        <w:tblW w:w="0" w:type="auto"/>
        <w:tblInd w:w="15" w:type="dxa"/>
        <w:tblLayout w:type="fixed"/>
        <w:tblLook w:val="04A0" w:firstRow="1" w:lastRow="0" w:firstColumn="1" w:lastColumn="0" w:noHBand="0" w:noVBand="1"/>
      </w:tblPr>
      <w:tblGrid>
        <w:gridCol w:w="802"/>
        <w:gridCol w:w="2903"/>
        <w:gridCol w:w="4808"/>
      </w:tblGrid>
      <w:tr w:rsidR="008277FF" w:rsidRPr="008277FF" w:rsidTr="004C05F3">
        <w:tc>
          <w:tcPr>
            <w:tcW w:w="802"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序号</w:t>
            </w:r>
          </w:p>
        </w:tc>
        <w:tc>
          <w:tcPr>
            <w:tcW w:w="2903"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名称</w:t>
            </w:r>
          </w:p>
        </w:tc>
        <w:tc>
          <w:tcPr>
            <w:tcW w:w="4808"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金额(</w:t>
            </w:r>
            <w:r w:rsidR="00C42431" w:rsidRPr="008277FF">
              <w:rPr>
                <w:rFonts w:asciiTheme="minorEastAsia" w:eastAsiaTheme="minorEastAsia" w:hAnsiTheme="minorEastAsia" w:cs="宋体" w:hint="eastAsia"/>
                <w:color w:val="000000" w:themeColor="text1"/>
                <w:kern w:val="0"/>
                <w:szCs w:val="21"/>
              </w:rPr>
              <w:t>人民币</w:t>
            </w:r>
            <w:r w:rsidRPr="008277FF">
              <w:rPr>
                <w:rFonts w:asciiTheme="minorEastAsia" w:eastAsiaTheme="minorEastAsia" w:hAnsiTheme="minorEastAsia" w:cs="宋体" w:hint="eastAsia"/>
                <w:color w:val="000000" w:themeColor="text1"/>
                <w:kern w:val="0"/>
                <w:szCs w:val="21"/>
              </w:rPr>
              <w:t>元)</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szCs w:val="21"/>
              </w:rPr>
              <w:t>1</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存出保证金</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2</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3</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应收股利</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343.77</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4</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应收利息</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2,161.11</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5</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应收申购款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69,414.75</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6</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其他应收款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待摊费用</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8</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其他</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9</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合计</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71,919.63</w:t>
            </w:r>
          </w:p>
        </w:tc>
      </w:tr>
    </w:tbl>
    <w:p w:rsidR="00A22D4B" w:rsidRPr="008277FF" w:rsidRDefault="00A22D4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lastRenderedPageBreak/>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.4</w:t>
      </w:r>
      <w:r w:rsidR="0076518F" w:rsidRPr="008277FF">
        <w:rPr>
          <w:rFonts w:asciiTheme="minorEastAsia" w:eastAsiaTheme="minorEastAsia" w:hAnsiTheme="minorEastAsia" w:cs="Arial" w:hint="eastAsia"/>
          <w:b/>
          <w:color w:val="000000" w:themeColor="text1"/>
          <w:kern w:val="0"/>
          <w:sz w:val="24"/>
        </w:rPr>
        <w:t>报告期末持有的处于转股期的可转换债券明细</w:t>
      </w:r>
    </w:p>
    <w:p w:rsidR="000A55BD" w:rsidRPr="008277FF" w:rsidRDefault="000A55BD"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本基金本报告期末未持有处于转股期的可转换债券。</w:t>
      </w:r>
    </w:p>
    <w:p w:rsidR="009E3391" w:rsidRPr="008277FF" w:rsidRDefault="009E3391" w:rsidP="002236BC">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.5</w:t>
      </w:r>
      <w:r w:rsidR="0076518F" w:rsidRPr="008277FF">
        <w:rPr>
          <w:rFonts w:asciiTheme="minorEastAsia" w:eastAsiaTheme="minorEastAsia" w:hAnsiTheme="minorEastAsia" w:cs="Arial" w:hint="eastAsia"/>
          <w:b/>
          <w:color w:val="000000" w:themeColor="text1"/>
          <w:kern w:val="0"/>
          <w:sz w:val="24"/>
        </w:rPr>
        <w:t xml:space="preserve"> 报告期末前十名股票中存在流通受限情况的说明</w:t>
      </w:r>
    </w:p>
    <w:p w:rsidR="000A55BD" w:rsidRPr="008277FF" w:rsidRDefault="000A55BD"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本基金本报告期末前十名股票中不存在流通受限情况。</w:t>
      </w:r>
    </w:p>
    <w:p w:rsidR="000E3B88" w:rsidRPr="008277FF" w:rsidRDefault="000E3B88" w:rsidP="002236BC">
      <w:pPr>
        <w:autoSpaceDE w:val="0"/>
        <w:autoSpaceDN w:val="0"/>
        <w:adjustRightInd w:val="0"/>
        <w:spacing w:line="360" w:lineRule="auto"/>
        <w:jc w:val="left"/>
        <w:rPr>
          <w:rFonts w:asciiTheme="minorEastAsia" w:eastAsiaTheme="minorEastAsia" w:hAnsiTheme="minorEastAsia"/>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.6</w:t>
      </w:r>
      <w:r w:rsidR="001C46E1" w:rsidRPr="008277FF">
        <w:rPr>
          <w:rFonts w:asciiTheme="minorEastAsia" w:eastAsiaTheme="minorEastAsia" w:hAnsiTheme="minorEastAsia" w:cs="Arial" w:hint="eastAsia"/>
          <w:b/>
          <w:color w:val="000000" w:themeColor="text1"/>
          <w:kern w:val="0"/>
          <w:sz w:val="24"/>
        </w:rPr>
        <w:t>投资组合报告附注的其他文字描述部分</w:t>
      </w:r>
    </w:p>
    <w:p w:rsidR="000A55BD" w:rsidRPr="008277FF" w:rsidRDefault="000A55BD" w:rsidP="009E3391">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因四舍五入的原因，投资组合报告中分项之和与合计数可能存在尾差。</w:t>
      </w:r>
    </w:p>
    <w:p w:rsidR="0076518F" w:rsidRPr="008277FF" w:rsidRDefault="0076518F" w:rsidP="00BE13D5">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6  </w:t>
      </w:r>
      <w:r w:rsidRPr="008277FF">
        <w:rPr>
          <w:rFonts w:asciiTheme="minorEastAsia" w:eastAsiaTheme="minorEastAsia" w:hAnsiTheme="minorEastAsia" w:cs="Arial" w:hint="eastAsia"/>
          <w:color w:val="000000" w:themeColor="text1"/>
          <w:kern w:val="0"/>
          <w:sz w:val="24"/>
          <w:szCs w:val="24"/>
        </w:rPr>
        <w:t>开放式基金份额变动</w:t>
      </w:r>
    </w:p>
    <w:p w:rsidR="0076518F" w:rsidRPr="008277FF" w:rsidRDefault="0076518F" w:rsidP="008B6A4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77,151,473.41</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FB0D88"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color w:val="000000" w:themeColor="text1"/>
                <w:kern w:val="0"/>
                <w:szCs w:val="21"/>
              </w:rPr>
              <w:t>报告期</w:t>
            </w:r>
            <w:r w:rsidR="004027BA" w:rsidRPr="008277FF">
              <w:rPr>
                <w:rFonts w:asciiTheme="minorEastAsia" w:eastAsiaTheme="minorEastAsia" w:hAnsiTheme="minorEastAsia" w:cs="宋体" w:hint="eastAsia"/>
                <w:color w:val="000000" w:themeColor="text1"/>
                <w:kern w:val="0"/>
                <w:szCs w:val="21"/>
              </w:rPr>
              <w:t>基金</w:t>
            </w:r>
            <w:r w:rsidR="008975BC" w:rsidRPr="008277FF">
              <w:rPr>
                <w:rFonts w:asciiTheme="minorEastAsia" w:eastAsiaTheme="minorEastAsia" w:hAnsiTheme="minorEastAsia" w:cs="宋体" w:hint="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2,813,465.85</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减：</w:t>
            </w:r>
            <w:r w:rsidR="00FB0D88" w:rsidRPr="008277FF">
              <w:rPr>
                <w:rFonts w:asciiTheme="minorEastAsia" w:eastAsiaTheme="minorEastAsia" w:hAnsiTheme="minorEastAsia" w:cs="宋体"/>
                <w:color w:val="000000" w:themeColor="text1"/>
                <w:kern w:val="0"/>
                <w:szCs w:val="21"/>
              </w:rPr>
              <w:t>报告期</w:t>
            </w:r>
            <w:r w:rsidRPr="008277FF">
              <w:rPr>
                <w:rFonts w:asciiTheme="minorEastAsia" w:eastAsiaTheme="minorEastAsia" w:hAnsiTheme="minorEastAsia" w:cs="宋体" w:hint="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3,872,044.00</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FB0D88"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color w:val="000000" w:themeColor="text1"/>
                <w:kern w:val="0"/>
                <w:szCs w:val="21"/>
              </w:rPr>
              <w:t>报告期</w:t>
            </w:r>
            <w:r w:rsidR="008975BC" w:rsidRPr="008277FF">
              <w:rPr>
                <w:rFonts w:asciiTheme="minorEastAsia" w:eastAsiaTheme="minorEastAsia" w:hAnsiTheme="minorEastAsia" w:cs="宋体" w:hint="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76,092,895.26</w:t>
            </w:r>
          </w:p>
        </w:tc>
      </w:tr>
    </w:tbl>
    <w:p w:rsidR="00BB5F3D" w:rsidRPr="00696B8B" w:rsidRDefault="00BB5F3D" w:rsidP="00BE13D5">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t xml:space="preserve">§7  </w:t>
      </w:r>
      <w:r w:rsidRPr="00696B8B">
        <w:rPr>
          <w:rFonts w:ascii="方正仿宋简体" w:hint="eastAsia"/>
          <w:color w:val="000000" w:themeColor="text1"/>
          <w:sz w:val="24"/>
          <w:szCs w:val="24"/>
        </w:rPr>
        <w:t>基金管理人运用固有资金投资本基金情况</w:t>
      </w:r>
    </w:p>
    <w:p w:rsidR="00BB5F3D" w:rsidRPr="003508B0" w:rsidRDefault="00BB5F3D" w:rsidP="00BB5F3D">
      <w:pPr>
        <w:spacing w:line="360" w:lineRule="auto"/>
        <w:jc w:val="left"/>
        <w:rPr>
          <w:rFonts w:asciiTheme="minorEastAsia" w:eastAsiaTheme="minorEastAsia" w:hAnsiTheme="minorEastAsia"/>
          <w:b/>
          <w:color w:val="000000" w:themeColor="text1"/>
          <w:sz w:val="24"/>
        </w:rPr>
      </w:pPr>
      <w:r w:rsidRPr="003508B0">
        <w:rPr>
          <w:rFonts w:asciiTheme="minorEastAsia" w:eastAsiaTheme="minorEastAsia" w:hAnsiTheme="minorEastAsia"/>
          <w:b/>
          <w:color w:val="000000" w:themeColor="text1"/>
          <w:sz w:val="24"/>
        </w:rPr>
        <w:t xml:space="preserve">7.1 </w:t>
      </w:r>
      <w:r w:rsidRPr="003508B0">
        <w:rPr>
          <w:rFonts w:asciiTheme="minorEastAsia" w:eastAsiaTheme="minorEastAsia" w:hAnsiTheme="minorEastAsia" w:hint="eastAsia"/>
          <w:b/>
          <w:color w:val="000000" w:themeColor="text1"/>
          <w:sz w:val="24"/>
        </w:rPr>
        <w:t>基金管理人运用固有资金投资本基金交易明细</w:t>
      </w:r>
    </w:p>
    <w:p w:rsidR="005E64DA" w:rsidRPr="008277FF" w:rsidRDefault="00BB5F3D" w:rsidP="005E64DA">
      <w:pPr>
        <w:autoSpaceDE w:val="0"/>
        <w:autoSpaceDN w:val="0"/>
        <w:adjustRightInd w:val="0"/>
        <w:spacing w:line="360" w:lineRule="auto"/>
        <w:jc w:val="left"/>
        <w:rPr>
          <w:rFonts w:asciiTheme="minorEastAsia" w:eastAsiaTheme="minorEastAsia" w:hAnsiTheme="minorEastAsia"/>
          <w:color w:val="000000" w:themeColor="text1"/>
          <w:szCs w:val="21"/>
        </w:rPr>
      </w:pPr>
      <w:r w:rsidRPr="00285ABF">
        <w:rPr>
          <w:rFonts w:asciiTheme="minorEastAsia" w:eastAsiaTheme="minorEastAsia" w:hAnsiTheme="minorEastAsia" w:hint="eastAsia"/>
          <w:color w:val="000000" w:themeColor="text1"/>
          <w:szCs w:val="21"/>
        </w:rPr>
        <w:t>无。</w:t>
      </w:r>
    </w:p>
    <w:p w:rsidR="0076518F" w:rsidRPr="008277FF" w:rsidRDefault="0076518F" w:rsidP="00BE13D5">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lastRenderedPageBreak/>
        <w:t>§</w:t>
      </w:r>
      <w:r w:rsidR="002711AA" w:rsidRPr="008277FF">
        <w:rPr>
          <w:rFonts w:asciiTheme="minorEastAsia" w:eastAsiaTheme="minorEastAsia" w:hAnsiTheme="minorEastAsia" w:cs="Arial" w:hint="eastAsia"/>
          <w:color w:val="000000" w:themeColor="text1"/>
          <w:kern w:val="0"/>
          <w:sz w:val="24"/>
          <w:szCs w:val="24"/>
        </w:rPr>
        <w:t>8</w:t>
      </w:r>
      <w:r w:rsidRPr="008277FF">
        <w:rPr>
          <w:rFonts w:asciiTheme="minorEastAsia" w:eastAsiaTheme="minorEastAsia" w:hAnsiTheme="minorEastAsia" w:cs="Arial" w:hint="eastAsia"/>
          <w:color w:val="000000" w:themeColor="text1"/>
          <w:kern w:val="0"/>
          <w:sz w:val="24"/>
          <w:szCs w:val="24"/>
        </w:rPr>
        <w:t xml:space="preserve"> </w:t>
      </w:r>
      <w:r w:rsidRPr="008277FF">
        <w:rPr>
          <w:rFonts w:asciiTheme="minorEastAsia" w:eastAsiaTheme="minorEastAsia" w:hAnsiTheme="minorEastAsia" w:cs="Arial"/>
          <w:color w:val="000000" w:themeColor="text1"/>
          <w:kern w:val="0"/>
          <w:sz w:val="24"/>
          <w:szCs w:val="24"/>
        </w:rPr>
        <w:t>备查文件目录</w:t>
      </w: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1</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备查文件目录</w:t>
      </w:r>
    </w:p>
    <w:p w:rsidR="00A95178" w:rsidRDefault="00BE13D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1、中国证监会批准上投摩根全球新兴市场混合型证券投资基金设立的文件；</w:t>
      </w:r>
    </w:p>
    <w:p w:rsidR="00A95178" w:rsidRDefault="00BE13D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2、《上投摩根全球新兴市场混合型证券投资基金基金合同》；</w:t>
      </w:r>
    </w:p>
    <w:p w:rsidR="00A95178" w:rsidRDefault="00BE13D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3、《上投摩根全球新兴市场混合型证券投资基金基金托管协议》；</w:t>
      </w:r>
    </w:p>
    <w:p w:rsidR="00A95178" w:rsidRDefault="00BE13D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4、《上投摩根基金管理有限公司开放式基金业务规则》；</w:t>
      </w:r>
    </w:p>
    <w:p w:rsidR="00A95178" w:rsidRDefault="00BE13D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5、基金管理人业务资格批件、营业执照；</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6、基金托管人业务资格批件和营业执照。</w:t>
      </w:r>
    </w:p>
    <w:p w:rsidR="008A2EC6" w:rsidRPr="008277FF" w:rsidRDefault="008A2EC6" w:rsidP="000C7596">
      <w:pPr>
        <w:spacing w:line="360" w:lineRule="auto"/>
        <w:ind w:firstLineChars="200" w:firstLine="480"/>
        <w:rPr>
          <w:rFonts w:asciiTheme="minorEastAsia" w:eastAsiaTheme="minorEastAsia" w:hAnsiTheme="minorEastAsia"/>
          <w:color w:val="000000" w:themeColor="text1"/>
          <w:sz w:val="24"/>
        </w:rPr>
      </w:pP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2</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存放地点</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基金管理人或基金托管人处。</w:t>
      </w:r>
    </w:p>
    <w:p w:rsidR="008A2EC6" w:rsidRPr="008277FF" w:rsidRDefault="008A2EC6" w:rsidP="000C7596">
      <w:pPr>
        <w:spacing w:line="360" w:lineRule="auto"/>
        <w:ind w:firstLineChars="200" w:firstLine="480"/>
        <w:rPr>
          <w:rFonts w:asciiTheme="minorEastAsia" w:eastAsiaTheme="minorEastAsia" w:hAnsiTheme="minorEastAsia"/>
          <w:color w:val="000000" w:themeColor="text1"/>
          <w:sz w:val="24"/>
        </w:rPr>
      </w:pP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3</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查阅方式</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投资者可在营业时间免费查阅，也可按工本费购买复印件。</w:t>
      </w:r>
    </w:p>
    <w:p w:rsidR="0076518F" w:rsidRPr="008277FF" w:rsidRDefault="0076518F" w:rsidP="008B6A4A">
      <w:pPr>
        <w:spacing w:line="360" w:lineRule="auto"/>
        <w:ind w:firstLineChars="200" w:firstLine="480"/>
        <w:rPr>
          <w:rFonts w:asciiTheme="minorEastAsia" w:eastAsiaTheme="minorEastAsia" w:hAnsiTheme="minorEastAsia"/>
          <w:color w:val="000000" w:themeColor="text1"/>
          <w:sz w:val="24"/>
        </w:rPr>
      </w:pPr>
    </w:p>
    <w:p w:rsidR="008A2EC6" w:rsidRPr="008277FF" w:rsidRDefault="008A2EC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76518F" w:rsidRPr="008277FF" w:rsidRDefault="0076518F" w:rsidP="008B6A4A">
      <w:pPr>
        <w:spacing w:line="360" w:lineRule="auto"/>
        <w:ind w:firstLineChars="200" w:firstLine="480"/>
        <w:rPr>
          <w:rFonts w:asciiTheme="minorEastAsia" w:eastAsiaTheme="minorEastAsia" w:hAnsiTheme="minorEastAsia"/>
          <w:color w:val="000000" w:themeColor="text1"/>
          <w:sz w:val="24"/>
        </w:rPr>
      </w:pPr>
    </w:p>
    <w:p w:rsidR="008975BC" w:rsidRPr="008277FF" w:rsidRDefault="008975BC" w:rsidP="000C7596">
      <w:pPr>
        <w:spacing w:line="360" w:lineRule="auto"/>
        <w:jc w:val="right"/>
        <w:rPr>
          <w:rFonts w:asciiTheme="minorEastAsia" w:eastAsiaTheme="minorEastAsia" w:hAnsiTheme="minorEastAsia"/>
          <w:b/>
          <w:bCs/>
          <w:color w:val="000000" w:themeColor="text1"/>
          <w:sz w:val="24"/>
        </w:rPr>
      </w:pPr>
      <w:r w:rsidRPr="008277FF">
        <w:rPr>
          <w:rFonts w:asciiTheme="minorEastAsia" w:eastAsiaTheme="minorEastAsia" w:hAnsiTheme="minorEastAsia"/>
          <w:b/>
          <w:bCs/>
          <w:color w:val="000000" w:themeColor="text1"/>
          <w:sz w:val="24"/>
        </w:rPr>
        <w:t>上投摩根基金管理有限公司</w:t>
      </w:r>
    </w:p>
    <w:p w:rsidR="0076518F" w:rsidRPr="008277FF" w:rsidRDefault="00623556" w:rsidP="000C7596">
      <w:pPr>
        <w:spacing w:line="360" w:lineRule="auto"/>
        <w:jc w:val="right"/>
        <w:rPr>
          <w:rFonts w:asciiTheme="minorEastAsia" w:eastAsiaTheme="minorEastAsia" w:hAnsiTheme="minorEastAsia"/>
          <w:b/>
          <w:bCs/>
          <w:color w:val="000000" w:themeColor="text1"/>
          <w:sz w:val="24"/>
        </w:rPr>
      </w:pPr>
      <w:r w:rsidRPr="008277FF">
        <w:rPr>
          <w:rFonts w:asciiTheme="minorEastAsia" w:eastAsiaTheme="minorEastAsia" w:hAnsiTheme="minorEastAsia"/>
          <w:b/>
          <w:bCs/>
          <w:color w:val="000000" w:themeColor="text1"/>
          <w:sz w:val="24"/>
        </w:rPr>
        <w:t>二〇一九年一月二十二日</w:t>
      </w:r>
    </w:p>
    <w:sectPr w:rsidR="0076518F" w:rsidRPr="008277FF"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0A5" w:rsidRDefault="009670A5">
      <w:r>
        <w:separator/>
      </w:r>
    </w:p>
  </w:endnote>
  <w:endnote w:type="continuationSeparator" w:id="0">
    <w:p w:rsidR="009670A5" w:rsidRDefault="0096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C0" w:rsidRPr="001D0DB0" w:rsidRDefault="00F512C0" w:rsidP="00B918B8">
    <w:pPr>
      <w:pStyle w:val="a6"/>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634876">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634876">
      <w:rPr>
        <w:noProof/>
        <w:kern w:val="0"/>
        <w:szCs w:val="21"/>
      </w:rPr>
      <w:t>1</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C0" w:rsidRDefault="00960EB7">
    <w:pPr>
      <w:pStyle w:val="a6"/>
      <w:framePr w:wrap="around" w:vAnchor="text" w:hAnchor="margin" w:xAlign="center" w:y="1"/>
      <w:rPr>
        <w:rStyle w:val="a7"/>
      </w:rPr>
    </w:pPr>
    <w:r>
      <w:rPr>
        <w:rStyle w:val="a7"/>
      </w:rPr>
      <w:fldChar w:fldCharType="begin"/>
    </w:r>
    <w:r w:rsidR="00F512C0">
      <w:rPr>
        <w:rStyle w:val="a7"/>
      </w:rPr>
      <w:instrText xml:space="preserve">PAGE  </w:instrText>
    </w:r>
    <w:r>
      <w:rPr>
        <w:rStyle w:val="a7"/>
      </w:rPr>
      <w:fldChar w:fldCharType="end"/>
    </w:r>
  </w:p>
  <w:p w:rsidR="00F512C0" w:rsidRDefault="00F512C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C0" w:rsidRDefault="00960EB7">
    <w:pPr>
      <w:pStyle w:val="a6"/>
      <w:framePr w:wrap="around" w:vAnchor="text" w:hAnchor="margin" w:xAlign="center" w:y="1"/>
      <w:rPr>
        <w:rStyle w:val="a7"/>
      </w:rPr>
    </w:pPr>
    <w:r>
      <w:rPr>
        <w:rStyle w:val="a7"/>
      </w:rPr>
      <w:fldChar w:fldCharType="begin"/>
    </w:r>
    <w:r w:rsidR="00F512C0">
      <w:rPr>
        <w:rStyle w:val="a7"/>
      </w:rPr>
      <w:instrText xml:space="preserve">PAGE  </w:instrText>
    </w:r>
    <w:r>
      <w:rPr>
        <w:rStyle w:val="a7"/>
      </w:rPr>
      <w:fldChar w:fldCharType="separate"/>
    </w:r>
    <w:r w:rsidR="00634876">
      <w:rPr>
        <w:rStyle w:val="a7"/>
        <w:noProof/>
      </w:rPr>
      <w:t>2</w:t>
    </w:r>
    <w:r>
      <w:rPr>
        <w:rStyle w:val="a7"/>
      </w:rPr>
      <w:fldChar w:fldCharType="end"/>
    </w:r>
  </w:p>
  <w:p w:rsidR="00F512C0" w:rsidRDefault="00F512C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C0" w:rsidRDefault="00F512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0A5" w:rsidRDefault="009670A5">
      <w:r>
        <w:separator/>
      </w:r>
    </w:p>
  </w:footnote>
  <w:footnote w:type="continuationSeparator" w:id="0">
    <w:p w:rsidR="009670A5" w:rsidRDefault="00967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C0" w:rsidRPr="006669C9" w:rsidRDefault="00F512C0" w:rsidP="001D1356">
    <w:pPr>
      <w:pStyle w:val="a9"/>
      <w:pBdr>
        <w:bottom w:val="single" w:sz="6" w:space="0" w:color="auto"/>
      </w:pBdr>
      <w:jc w:val="right"/>
    </w:pPr>
    <w:r w:rsidRPr="006669C9">
      <w:t>上投摩根全球新兴市场混合型证券投资基金</w:t>
    </w:r>
    <w:r w:rsidRPr="006669C9">
      <w:t>2018</w:t>
    </w:r>
    <w:r w:rsidRPr="006669C9">
      <w:t>年第</w:t>
    </w:r>
    <w:r w:rsidRPr="006669C9">
      <w:t>4</w:t>
    </w:r>
    <w:r w:rsidRPr="006669C9">
      <w:t>季度报告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C0" w:rsidRDefault="00F512C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C0" w:rsidRDefault="00F512C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4876"/>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57A1"/>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3982"/>
    <w:rsid w:val="00954567"/>
    <w:rsid w:val="00957466"/>
    <w:rsid w:val="00960EB7"/>
    <w:rsid w:val="0096260B"/>
    <w:rsid w:val="009664D5"/>
    <w:rsid w:val="009670A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5178"/>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13D5"/>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3081"/>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FA2E462-7D8C-4221-AB78-0968C9EA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a">
    <w:name w:val="FollowedHyperlink"/>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link w:val="Char1"/>
    <w:uiPriority w:val="99"/>
    <w:rPr>
      <w:sz w:val="24"/>
      <w:szCs w:val="20"/>
    </w:rPr>
  </w:style>
  <w:style w:type="character" w:customStyle="1" w:styleId="c1">
    <w:name w:val="c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uiPriority w:val="99"/>
    <w:rsid w:val="00C503D3"/>
    <w:rPr>
      <w:kern w:val="2"/>
      <w:sz w:val="24"/>
    </w:rPr>
  </w:style>
  <w:style w:type="character" w:styleId="af8">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0</TotalTime>
  <Pages>17</Pages>
  <Words>1281</Words>
  <Characters>7304</Characters>
  <Application>Microsoft Office Word</Application>
  <DocSecurity>0</DocSecurity>
  <Lines>60</Lines>
  <Paragraphs>17</Paragraphs>
  <ScaleCrop>false</ScaleCrop>
  <Company>TRT. Ltd. Co.</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Sissy.Gan@DOD</cp:lastModifiedBy>
  <cp:revision>2</cp:revision>
  <cp:lastPrinted>2007-07-19T00:46:00Z</cp:lastPrinted>
  <dcterms:created xsi:type="dcterms:W3CDTF">2019-03-26T07:53:00Z</dcterms:created>
  <dcterms:modified xsi:type="dcterms:W3CDTF">2019-03-26T07:53:00Z</dcterms:modified>
</cp:coreProperties>
</file>