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摩根成长先锋混合型证券投资基金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1113C4" w:rsidRDefault="00913FB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1113C4" w:rsidRDefault="00913FB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1113C4" w:rsidRDefault="00913FB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1113C4" w:rsidRDefault="00913FB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1113C4" w:rsidRDefault="00913FB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摩根成长先锋混合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378010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2006</w:t>
            </w:r>
            <w:r w:rsidRPr="00B27A29">
              <w:rPr>
                <w:rFonts w:eastAsiaTheme="minorEastAsia"/>
                <w:color w:val="000000" w:themeColor="text1"/>
                <w:kern w:val="0"/>
                <w:szCs w:val="21"/>
              </w:rPr>
              <w:t>年</w:t>
            </w:r>
            <w:r w:rsidRPr="00B27A29">
              <w:rPr>
                <w:rFonts w:eastAsiaTheme="minorEastAsia"/>
                <w:color w:val="000000" w:themeColor="text1"/>
                <w:kern w:val="0"/>
                <w:szCs w:val="21"/>
              </w:rPr>
              <w:t>9</w:t>
            </w:r>
            <w:r w:rsidRPr="00B27A29">
              <w:rPr>
                <w:rFonts w:eastAsiaTheme="minorEastAsia"/>
                <w:color w:val="000000" w:themeColor="text1"/>
                <w:kern w:val="0"/>
                <w:szCs w:val="21"/>
              </w:rPr>
              <w:t>月</w:t>
            </w:r>
            <w:r w:rsidRPr="00B27A29">
              <w:rPr>
                <w:rFonts w:eastAsiaTheme="minorEastAsia"/>
                <w:color w:val="000000" w:themeColor="text1"/>
                <w:kern w:val="0"/>
                <w:szCs w:val="21"/>
              </w:rPr>
              <w:t>20</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701,261,983.82</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本基金主要投资于国内市场上展现最佳成长特质的股票，积极捕捉高成长性上市公司所带来的投资机会，努力实现基金资产长期稳健增值。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1113C4" w:rsidRDefault="00913FB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）股票投资策略</w:t>
            </w:r>
            <w:r>
              <w:rPr>
                <w:rFonts w:eastAsiaTheme="minorEastAsia"/>
                <w:color w:val="000000" w:themeColor="text1"/>
                <w:kern w:val="0"/>
                <w:szCs w:val="21"/>
              </w:rPr>
              <w:t xml:space="preserve"> </w:t>
            </w:r>
            <w:r>
              <w:rPr>
                <w:rFonts w:eastAsiaTheme="minorEastAsia"/>
                <w:color w:val="000000" w:themeColor="text1"/>
                <w:kern w:val="0"/>
                <w:szCs w:val="21"/>
              </w:rPr>
              <w:t>本基金采取定量分析与定性分析相结合方式，挖掘具有突出成长潜力且被当前市场低估的上市公司，主动出击、积极管理将是本基金运作的重要特色。</w:t>
            </w:r>
          </w:p>
          <w:p w:rsidR="001113C4" w:rsidRDefault="00913FB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）固定收益类投资策略</w:t>
            </w:r>
            <w:r>
              <w:rPr>
                <w:rFonts w:eastAsiaTheme="minorEastAsia"/>
                <w:color w:val="000000" w:themeColor="text1"/>
                <w:kern w:val="0"/>
                <w:szCs w:val="21"/>
              </w:rPr>
              <w:t xml:space="preserve"> </w:t>
            </w:r>
            <w:r>
              <w:rPr>
                <w:rFonts w:eastAsiaTheme="minorEastAsia"/>
                <w:color w:val="000000" w:themeColor="text1"/>
                <w:kern w:val="0"/>
                <w:szCs w:val="21"/>
              </w:rPr>
              <w:t>本基金以股票投资为主，一般市场情况下，基金管理人不会积极追求大类资产配置，但为进一步控制投资风险，优化组合流动性管理，本基金将</w:t>
            </w:r>
            <w:r>
              <w:rPr>
                <w:rFonts w:eastAsiaTheme="minorEastAsia"/>
                <w:color w:val="000000" w:themeColor="text1"/>
                <w:kern w:val="0"/>
                <w:szCs w:val="21"/>
              </w:rPr>
              <w:lastRenderedPageBreak/>
              <w:t>适度防御性资产配置，进行债券、货币市场工具等品种投资。</w:t>
            </w:r>
            <w:r>
              <w:rPr>
                <w:rFonts w:eastAsiaTheme="minorEastAsia"/>
                <w:color w:val="000000" w:themeColor="text1"/>
                <w:kern w:val="0"/>
                <w:szCs w:val="21"/>
              </w:rPr>
              <w:t xml:space="preserve"> </w:t>
            </w:r>
            <w:r>
              <w:rPr>
                <w:rFonts w:eastAsiaTheme="minorEastAsia"/>
                <w:color w:val="000000" w:themeColor="text1"/>
                <w:kern w:val="0"/>
                <w:szCs w:val="21"/>
              </w:rPr>
              <w:t>在券种选择上，本基金以中长期利率趋势分析为基础，结合经济趋势、货币政策及不同债券品种的收益率水平、流动性和信用风险等因素，重点选择那些流动性较好、风险水平合理、到期收益率与信用质量相对较高的债券品种。</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w:t>
            </w:r>
            <w:r w:rsidRPr="00B27A29">
              <w:rPr>
                <w:rFonts w:eastAsiaTheme="minorEastAsia"/>
                <w:color w:val="000000" w:themeColor="text1"/>
                <w:kern w:val="0"/>
                <w:szCs w:val="21"/>
              </w:rPr>
              <w:t>3</w:t>
            </w:r>
            <w:r w:rsidRPr="00B27A29">
              <w:rPr>
                <w:rFonts w:eastAsiaTheme="minorEastAsia"/>
                <w:color w:val="000000" w:themeColor="text1"/>
                <w:kern w:val="0"/>
                <w:szCs w:val="21"/>
              </w:rPr>
              <w:t>）存托凭证投资策略</w:t>
            </w:r>
            <w:r w:rsidRPr="00B27A29">
              <w:rPr>
                <w:rFonts w:eastAsiaTheme="minorEastAsia"/>
                <w:color w:val="000000" w:themeColor="text1"/>
                <w:kern w:val="0"/>
                <w:szCs w:val="21"/>
              </w:rPr>
              <w:t xml:space="preserve"> </w:t>
            </w:r>
            <w:r w:rsidRPr="00B27A29">
              <w:rPr>
                <w:rFonts w:eastAsiaTheme="minorEastAsia"/>
                <w:color w:val="000000" w:themeColor="text1"/>
                <w:kern w:val="0"/>
                <w:szCs w:val="21"/>
              </w:rPr>
              <w:t>本基金将根据本基金的投资目标和股票投资策略，基于对基础证券投资价值的深入研究判断，进行存托凭证的投资。</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×80%+</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×20%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1113C4" w:rsidRDefault="00913FB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本基金是主动型混合型基金，属于证券投资基金的较高风险品种，预期风险收益水平低于股票型基金，高于</w:t>
            </w:r>
            <w:r>
              <w:rPr>
                <w:rFonts w:eastAsiaTheme="minorEastAsia"/>
                <w:color w:val="000000" w:themeColor="text1"/>
                <w:kern w:val="0"/>
                <w:szCs w:val="21"/>
              </w:rPr>
              <w:t>债券基金和货币市场基金。</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摩根成长先锋混合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摩根成长先锋混合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378010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015077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631,973,543.73</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69,288,440.09</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lastRenderedPageBreak/>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摩根成长先锋混合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摩根成长先锋混合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-3,431,488.78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-379,893.69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21,117,455.67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2,007,676.80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0.0329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0.0323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753,982,587.10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80,677,673.96</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1.1931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1.1644</w:t>
            </w:r>
          </w:p>
        </w:tc>
      </w:tr>
    </w:tbl>
    <w:p w:rsidR="001113C4" w:rsidRDefault="00913FB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摩根成长先锋混合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1113C4">
        <w:tc>
          <w:tcPr>
            <w:tcW w:w="1290" w:type="dxa"/>
            <w:vAlign w:val="center"/>
          </w:tcPr>
          <w:p w:rsidR="001113C4" w:rsidRDefault="00913FBF">
            <w:pPr>
              <w:jc w:val="left"/>
            </w:pPr>
            <w:r>
              <w:rPr>
                <w:rFonts w:eastAsiaTheme="minorEastAsia"/>
                <w:color w:val="000000" w:themeColor="text1"/>
                <w:szCs w:val="21"/>
              </w:rPr>
              <w:t>过去三个月</w:t>
            </w:r>
          </w:p>
        </w:tc>
        <w:tc>
          <w:tcPr>
            <w:tcW w:w="1291" w:type="dxa"/>
            <w:vAlign w:val="center"/>
          </w:tcPr>
          <w:p w:rsidR="001113C4" w:rsidRDefault="00913FBF">
            <w:pPr>
              <w:jc w:val="right"/>
            </w:pPr>
            <w:r>
              <w:rPr>
                <w:rFonts w:eastAsiaTheme="minorEastAsia"/>
                <w:color w:val="000000" w:themeColor="text1"/>
                <w:szCs w:val="21"/>
              </w:rPr>
              <w:t>3.01%</w:t>
            </w:r>
          </w:p>
        </w:tc>
        <w:tc>
          <w:tcPr>
            <w:tcW w:w="1291" w:type="dxa"/>
            <w:vAlign w:val="center"/>
          </w:tcPr>
          <w:p w:rsidR="001113C4" w:rsidRDefault="00913FBF">
            <w:pPr>
              <w:jc w:val="right"/>
            </w:pPr>
            <w:r>
              <w:rPr>
                <w:rFonts w:eastAsiaTheme="minorEastAsia"/>
                <w:color w:val="000000" w:themeColor="text1"/>
                <w:szCs w:val="21"/>
              </w:rPr>
              <w:t>1.36%</w:t>
            </w:r>
          </w:p>
        </w:tc>
        <w:tc>
          <w:tcPr>
            <w:tcW w:w="1291" w:type="dxa"/>
            <w:vAlign w:val="center"/>
          </w:tcPr>
          <w:p w:rsidR="001113C4" w:rsidRDefault="00913FBF">
            <w:pPr>
              <w:jc w:val="right"/>
            </w:pPr>
            <w:r>
              <w:rPr>
                <w:rFonts w:eastAsiaTheme="minorEastAsia"/>
                <w:color w:val="000000" w:themeColor="text1"/>
                <w:szCs w:val="21"/>
              </w:rPr>
              <w:t>2.73%</w:t>
            </w:r>
          </w:p>
        </w:tc>
        <w:tc>
          <w:tcPr>
            <w:tcW w:w="1291" w:type="dxa"/>
            <w:vAlign w:val="center"/>
          </w:tcPr>
          <w:p w:rsidR="001113C4" w:rsidRDefault="00913FBF">
            <w:pPr>
              <w:jc w:val="right"/>
            </w:pPr>
            <w:r>
              <w:rPr>
                <w:rFonts w:eastAsiaTheme="minorEastAsia"/>
                <w:color w:val="000000" w:themeColor="text1"/>
                <w:szCs w:val="21"/>
              </w:rPr>
              <w:t>0.82%</w:t>
            </w:r>
          </w:p>
        </w:tc>
        <w:tc>
          <w:tcPr>
            <w:tcW w:w="1291" w:type="dxa"/>
            <w:vAlign w:val="center"/>
          </w:tcPr>
          <w:p w:rsidR="001113C4" w:rsidRDefault="00913FBF">
            <w:pPr>
              <w:jc w:val="right"/>
            </w:pPr>
            <w:r>
              <w:rPr>
                <w:rFonts w:eastAsiaTheme="minorEastAsia"/>
                <w:color w:val="000000" w:themeColor="text1"/>
                <w:szCs w:val="21"/>
              </w:rPr>
              <w:t>0.28%</w:t>
            </w:r>
          </w:p>
        </w:tc>
        <w:tc>
          <w:tcPr>
            <w:tcW w:w="1291" w:type="dxa"/>
            <w:vAlign w:val="center"/>
          </w:tcPr>
          <w:p w:rsidR="001113C4" w:rsidRDefault="00913FBF">
            <w:pPr>
              <w:jc w:val="right"/>
            </w:pPr>
            <w:r>
              <w:rPr>
                <w:rFonts w:eastAsiaTheme="minorEastAsia"/>
                <w:color w:val="000000" w:themeColor="text1"/>
                <w:szCs w:val="21"/>
              </w:rPr>
              <w:t>0.54%</w:t>
            </w:r>
          </w:p>
        </w:tc>
      </w:tr>
      <w:tr w:rsidR="001113C4">
        <w:tc>
          <w:tcPr>
            <w:tcW w:w="1290" w:type="dxa"/>
            <w:vAlign w:val="center"/>
          </w:tcPr>
          <w:p w:rsidR="001113C4" w:rsidRDefault="00913FBF">
            <w:pPr>
              <w:jc w:val="left"/>
            </w:pPr>
            <w:r>
              <w:rPr>
                <w:rFonts w:eastAsiaTheme="minorEastAsia"/>
                <w:color w:val="000000" w:themeColor="text1"/>
                <w:szCs w:val="21"/>
              </w:rPr>
              <w:t>过去六个月</w:t>
            </w:r>
          </w:p>
        </w:tc>
        <w:tc>
          <w:tcPr>
            <w:tcW w:w="1291" w:type="dxa"/>
            <w:vAlign w:val="center"/>
          </w:tcPr>
          <w:p w:rsidR="001113C4" w:rsidRDefault="00913FBF">
            <w:pPr>
              <w:jc w:val="right"/>
            </w:pPr>
            <w:r>
              <w:rPr>
                <w:rFonts w:eastAsiaTheme="minorEastAsia"/>
                <w:color w:val="000000" w:themeColor="text1"/>
                <w:szCs w:val="21"/>
              </w:rPr>
              <w:t>0.31%</w:t>
            </w:r>
          </w:p>
        </w:tc>
        <w:tc>
          <w:tcPr>
            <w:tcW w:w="1291" w:type="dxa"/>
            <w:vAlign w:val="center"/>
          </w:tcPr>
          <w:p w:rsidR="001113C4" w:rsidRDefault="00913FBF">
            <w:pPr>
              <w:jc w:val="right"/>
            </w:pPr>
            <w:r>
              <w:rPr>
                <w:rFonts w:eastAsiaTheme="minorEastAsia"/>
                <w:color w:val="000000" w:themeColor="text1"/>
                <w:szCs w:val="21"/>
              </w:rPr>
              <w:t>1.11%</w:t>
            </w:r>
          </w:p>
        </w:tc>
        <w:tc>
          <w:tcPr>
            <w:tcW w:w="1291" w:type="dxa"/>
            <w:vAlign w:val="center"/>
          </w:tcPr>
          <w:p w:rsidR="001113C4" w:rsidRDefault="00913FBF">
            <w:pPr>
              <w:jc w:val="right"/>
            </w:pPr>
            <w:r>
              <w:rPr>
                <w:rFonts w:eastAsiaTheme="minorEastAsia"/>
                <w:color w:val="000000" w:themeColor="text1"/>
                <w:szCs w:val="21"/>
              </w:rPr>
              <w:t>-2.88%</w:t>
            </w:r>
          </w:p>
        </w:tc>
        <w:tc>
          <w:tcPr>
            <w:tcW w:w="1291" w:type="dxa"/>
            <w:vAlign w:val="center"/>
          </w:tcPr>
          <w:p w:rsidR="001113C4" w:rsidRDefault="00913FBF">
            <w:pPr>
              <w:jc w:val="right"/>
            </w:pPr>
            <w:r>
              <w:rPr>
                <w:rFonts w:eastAsiaTheme="minorEastAsia"/>
                <w:color w:val="000000" w:themeColor="text1"/>
                <w:szCs w:val="21"/>
              </w:rPr>
              <w:t>0.73%</w:t>
            </w:r>
          </w:p>
        </w:tc>
        <w:tc>
          <w:tcPr>
            <w:tcW w:w="1291" w:type="dxa"/>
            <w:vAlign w:val="center"/>
          </w:tcPr>
          <w:p w:rsidR="001113C4" w:rsidRDefault="00913FBF">
            <w:pPr>
              <w:jc w:val="right"/>
            </w:pPr>
            <w:r>
              <w:rPr>
                <w:rFonts w:eastAsiaTheme="minorEastAsia"/>
                <w:color w:val="000000" w:themeColor="text1"/>
                <w:szCs w:val="21"/>
              </w:rPr>
              <w:t>3.19%</w:t>
            </w:r>
          </w:p>
        </w:tc>
        <w:tc>
          <w:tcPr>
            <w:tcW w:w="1291" w:type="dxa"/>
            <w:vAlign w:val="center"/>
          </w:tcPr>
          <w:p w:rsidR="001113C4" w:rsidRDefault="00913FBF">
            <w:pPr>
              <w:jc w:val="right"/>
            </w:pPr>
            <w:r>
              <w:rPr>
                <w:rFonts w:eastAsiaTheme="minorEastAsia"/>
                <w:color w:val="000000" w:themeColor="text1"/>
                <w:szCs w:val="21"/>
              </w:rPr>
              <w:t>0.38%</w:t>
            </w:r>
          </w:p>
        </w:tc>
      </w:tr>
      <w:tr w:rsidR="001113C4">
        <w:tc>
          <w:tcPr>
            <w:tcW w:w="1290" w:type="dxa"/>
            <w:vAlign w:val="center"/>
          </w:tcPr>
          <w:p w:rsidR="001113C4" w:rsidRDefault="00913FBF">
            <w:pPr>
              <w:jc w:val="left"/>
            </w:pPr>
            <w:r>
              <w:rPr>
                <w:rFonts w:eastAsiaTheme="minorEastAsia"/>
                <w:color w:val="000000" w:themeColor="text1"/>
                <w:szCs w:val="21"/>
              </w:rPr>
              <w:t>过去一年</w:t>
            </w:r>
          </w:p>
        </w:tc>
        <w:tc>
          <w:tcPr>
            <w:tcW w:w="1291" w:type="dxa"/>
            <w:vAlign w:val="center"/>
          </w:tcPr>
          <w:p w:rsidR="001113C4" w:rsidRDefault="00913FBF">
            <w:pPr>
              <w:jc w:val="right"/>
            </w:pPr>
            <w:r>
              <w:rPr>
                <w:rFonts w:eastAsiaTheme="minorEastAsia"/>
                <w:color w:val="000000" w:themeColor="text1"/>
                <w:szCs w:val="21"/>
              </w:rPr>
              <w:t>-16.00%</w:t>
            </w:r>
          </w:p>
        </w:tc>
        <w:tc>
          <w:tcPr>
            <w:tcW w:w="1291" w:type="dxa"/>
            <w:vAlign w:val="center"/>
          </w:tcPr>
          <w:p w:rsidR="001113C4" w:rsidRDefault="00913FBF">
            <w:pPr>
              <w:jc w:val="right"/>
            </w:pPr>
            <w:r>
              <w:rPr>
                <w:rFonts w:eastAsiaTheme="minorEastAsia"/>
                <w:color w:val="000000" w:themeColor="text1"/>
                <w:szCs w:val="21"/>
              </w:rPr>
              <w:t>1.06%</w:t>
            </w:r>
          </w:p>
        </w:tc>
        <w:tc>
          <w:tcPr>
            <w:tcW w:w="1291" w:type="dxa"/>
            <w:vAlign w:val="center"/>
          </w:tcPr>
          <w:p w:rsidR="001113C4" w:rsidRDefault="00913FBF">
            <w:pPr>
              <w:jc w:val="right"/>
            </w:pPr>
            <w:r>
              <w:rPr>
                <w:rFonts w:eastAsiaTheme="minorEastAsia"/>
                <w:color w:val="000000" w:themeColor="text1"/>
                <w:szCs w:val="21"/>
              </w:rPr>
              <w:t>-9.52%</w:t>
            </w:r>
          </w:p>
        </w:tc>
        <w:tc>
          <w:tcPr>
            <w:tcW w:w="1291" w:type="dxa"/>
            <w:vAlign w:val="center"/>
          </w:tcPr>
          <w:p w:rsidR="001113C4" w:rsidRDefault="00913FBF">
            <w:pPr>
              <w:jc w:val="right"/>
            </w:pPr>
            <w:r>
              <w:rPr>
                <w:rFonts w:eastAsiaTheme="minorEastAsia"/>
                <w:color w:val="000000" w:themeColor="text1"/>
                <w:szCs w:val="21"/>
              </w:rPr>
              <w:t>0.71%</w:t>
            </w:r>
          </w:p>
        </w:tc>
        <w:tc>
          <w:tcPr>
            <w:tcW w:w="1291" w:type="dxa"/>
            <w:vAlign w:val="center"/>
          </w:tcPr>
          <w:p w:rsidR="001113C4" w:rsidRDefault="00913FBF">
            <w:pPr>
              <w:jc w:val="right"/>
            </w:pPr>
            <w:r>
              <w:rPr>
                <w:rFonts w:eastAsiaTheme="minorEastAsia"/>
                <w:color w:val="000000" w:themeColor="text1"/>
                <w:szCs w:val="21"/>
              </w:rPr>
              <w:t>-6.48%</w:t>
            </w:r>
          </w:p>
        </w:tc>
        <w:tc>
          <w:tcPr>
            <w:tcW w:w="1291" w:type="dxa"/>
            <w:vAlign w:val="center"/>
          </w:tcPr>
          <w:p w:rsidR="001113C4" w:rsidRDefault="00913FBF">
            <w:pPr>
              <w:jc w:val="right"/>
            </w:pPr>
            <w:r>
              <w:rPr>
                <w:rFonts w:eastAsiaTheme="minorEastAsia"/>
                <w:color w:val="000000" w:themeColor="text1"/>
                <w:szCs w:val="21"/>
              </w:rPr>
              <w:t>0.35%</w:t>
            </w:r>
          </w:p>
        </w:tc>
      </w:tr>
      <w:tr w:rsidR="001113C4">
        <w:tc>
          <w:tcPr>
            <w:tcW w:w="1290" w:type="dxa"/>
            <w:vAlign w:val="center"/>
          </w:tcPr>
          <w:p w:rsidR="001113C4" w:rsidRDefault="00913FBF">
            <w:pPr>
              <w:jc w:val="left"/>
            </w:pPr>
            <w:r>
              <w:rPr>
                <w:rFonts w:eastAsiaTheme="minorEastAsia"/>
                <w:color w:val="000000" w:themeColor="text1"/>
                <w:szCs w:val="21"/>
              </w:rPr>
              <w:t>过去三年</w:t>
            </w:r>
          </w:p>
        </w:tc>
        <w:tc>
          <w:tcPr>
            <w:tcW w:w="1291" w:type="dxa"/>
            <w:vAlign w:val="center"/>
          </w:tcPr>
          <w:p w:rsidR="001113C4" w:rsidRDefault="00913FBF">
            <w:pPr>
              <w:jc w:val="right"/>
            </w:pPr>
            <w:r>
              <w:rPr>
                <w:rFonts w:eastAsiaTheme="minorEastAsia"/>
                <w:color w:val="000000" w:themeColor="text1"/>
                <w:szCs w:val="21"/>
              </w:rPr>
              <w:t>-30.83%</w:t>
            </w:r>
          </w:p>
        </w:tc>
        <w:tc>
          <w:tcPr>
            <w:tcW w:w="1291" w:type="dxa"/>
            <w:vAlign w:val="center"/>
          </w:tcPr>
          <w:p w:rsidR="001113C4" w:rsidRDefault="00913FBF">
            <w:pPr>
              <w:jc w:val="right"/>
            </w:pPr>
            <w:r>
              <w:rPr>
                <w:rFonts w:eastAsiaTheme="minorEastAsia"/>
                <w:color w:val="000000" w:themeColor="text1"/>
                <w:szCs w:val="21"/>
              </w:rPr>
              <w:t>1.27%</w:t>
            </w:r>
          </w:p>
        </w:tc>
        <w:tc>
          <w:tcPr>
            <w:tcW w:w="1291" w:type="dxa"/>
            <w:vAlign w:val="center"/>
          </w:tcPr>
          <w:p w:rsidR="001113C4" w:rsidRDefault="00913FBF">
            <w:pPr>
              <w:jc w:val="right"/>
            </w:pPr>
            <w:r>
              <w:rPr>
                <w:rFonts w:eastAsiaTheme="minorEastAsia"/>
                <w:color w:val="000000" w:themeColor="text1"/>
                <w:szCs w:val="21"/>
              </w:rPr>
              <w:t>-22.80%</w:t>
            </w:r>
          </w:p>
        </w:tc>
        <w:tc>
          <w:tcPr>
            <w:tcW w:w="1291" w:type="dxa"/>
            <w:vAlign w:val="center"/>
          </w:tcPr>
          <w:p w:rsidR="001113C4" w:rsidRDefault="00913FBF">
            <w:pPr>
              <w:jc w:val="right"/>
            </w:pPr>
            <w:r>
              <w:rPr>
                <w:rFonts w:eastAsiaTheme="minorEastAsia"/>
                <w:color w:val="000000" w:themeColor="text1"/>
                <w:szCs w:val="21"/>
              </w:rPr>
              <w:t>0.85%</w:t>
            </w:r>
          </w:p>
        </w:tc>
        <w:tc>
          <w:tcPr>
            <w:tcW w:w="1291" w:type="dxa"/>
            <w:vAlign w:val="center"/>
          </w:tcPr>
          <w:p w:rsidR="001113C4" w:rsidRDefault="00913FBF">
            <w:pPr>
              <w:jc w:val="right"/>
            </w:pPr>
            <w:r>
              <w:rPr>
                <w:rFonts w:eastAsiaTheme="minorEastAsia"/>
                <w:color w:val="000000" w:themeColor="text1"/>
                <w:szCs w:val="21"/>
              </w:rPr>
              <w:t>-8.03%</w:t>
            </w:r>
          </w:p>
        </w:tc>
        <w:tc>
          <w:tcPr>
            <w:tcW w:w="1291" w:type="dxa"/>
            <w:vAlign w:val="center"/>
          </w:tcPr>
          <w:p w:rsidR="001113C4" w:rsidRDefault="00913FBF">
            <w:pPr>
              <w:jc w:val="right"/>
            </w:pPr>
            <w:r>
              <w:rPr>
                <w:rFonts w:eastAsiaTheme="minorEastAsia"/>
                <w:color w:val="000000" w:themeColor="text1"/>
                <w:szCs w:val="21"/>
              </w:rPr>
              <w:t>0.42%</w:t>
            </w:r>
          </w:p>
        </w:tc>
      </w:tr>
      <w:tr w:rsidR="001113C4">
        <w:tc>
          <w:tcPr>
            <w:tcW w:w="1290" w:type="dxa"/>
            <w:vAlign w:val="center"/>
          </w:tcPr>
          <w:p w:rsidR="001113C4" w:rsidRDefault="00913FBF">
            <w:pPr>
              <w:jc w:val="left"/>
            </w:pPr>
            <w:r>
              <w:rPr>
                <w:rFonts w:eastAsiaTheme="minorEastAsia"/>
                <w:color w:val="000000" w:themeColor="text1"/>
                <w:szCs w:val="21"/>
              </w:rPr>
              <w:t>过去五年</w:t>
            </w:r>
          </w:p>
        </w:tc>
        <w:tc>
          <w:tcPr>
            <w:tcW w:w="1291" w:type="dxa"/>
            <w:vAlign w:val="center"/>
          </w:tcPr>
          <w:p w:rsidR="001113C4" w:rsidRDefault="00913FBF">
            <w:pPr>
              <w:jc w:val="right"/>
            </w:pPr>
            <w:r>
              <w:rPr>
                <w:rFonts w:eastAsiaTheme="minorEastAsia"/>
                <w:color w:val="000000" w:themeColor="text1"/>
                <w:szCs w:val="21"/>
              </w:rPr>
              <w:t>28.98%</w:t>
            </w:r>
          </w:p>
        </w:tc>
        <w:tc>
          <w:tcPr>
            <w:tcW w:w="1291" w:type="dxa"/>
            <w:vAlign w:val="center"/>
          </w:tcPr>
          <w:p w:rsidR="001113C4" w:rsidRDefault="00913FBF">
            <w:pPr>
              <w:jc w:val="right"/>
            </w:pPr>
            <w:r>
              <w:rPr>
                <w:rFonts w:eastAsiaTheme="minorEastAsia"/>
                <w:color w:val="000000" w:themeColor="text1"/>
                <w:szCs w:val="21"/>
              </w:rPr>
              <w:t>1.35%</w:t>
            </w:r>
          </w:p>
        </w:tc>
        <w:tc>
          <w:tcPr>
            <w:tcW w:w="1291" w:type="dxa"/>
            <w:vAlign w:val="center"/>
          </w:tcPr>
          <w:p w:rsidR="001113C4" w:rsidRDefault="00913FBF">
            <w:pPr>
              <w:jc w:val="right"/>
            </w:pPr>
            <w:r>
              <w:rPr>
                <w:rFonts w:eastAsiaTheme="minorEastAsia"/>
                <w:color w:val="000000" w:themeColor="text1"/>
                <w:szCs w:val="21"/>
              </w:rPr>
              <w:t>-5.66%</w:t>
            </w:r>
          </w:p>
        </w:tc>
        <w:tc>
          <w:tcPr>
            <w:tcW w:w="1291" w:type="dxa"/>
            <w:vAlign w:val="center"/>
          </w:tcPr>
          <w:p w:rsidR="001113C4" w:rsidRDefault="00913FBF">
            <w:pPr>
              <w:jc w:val="right"/>
            </w:pPr>
            <w:r>
              <w:rPr>
                <w:rFonts w:eastAsiaTheme="minorEastAsia"/>
                <w:color w:val="000000" w:themeColor="text1"/>
                <w:szCs w:val="21"/>
              </w:rPr>
              <w:t>0.94%</w:t>
            </w:r>
          </w:p>
        </w:tc>
        <w:tc>
          <w:tcPr>
            <w:tcW w:w="1291" w:type="dxa"/>
            <w:vAlign w:val="center"/>
          </w:tcPr>
          <w:p w:rsidR="001113C4" w:rsidRDefault="00913FBF">
            <w:pPr>
              <w:jc w:val="right"/>
            </w:pPr>
            <w:r>
              <w:rPr>
                <w:rFonts w:eastAsiaTheme="minorEastAsia"/>
                <w:color w:val="000000" w:themeColor="text1"/>
                <w:szCs w:val="21"/>
              </w:rPr>
              <w:t>34.64%</w:t>
            </w:r>
          </w:p>
        </w:tc>
        <w:tc>
          <w:tcPr>
            <w:tcW w:w="1291" w:type="dxa"/>
            <w:vAlign w:val="center"/>
          </w:tcPr>
          <w:p w:rsidR="001113C4" w:rsidRDefault="00913FBF">
            <w:pPr>
              <w:jc w:val="right"/>
            </w:pPr>
            <w:r>
              <w:rPr>
                <w:rFonts w:eastAsiaTheme="minorEastAsia"/>
                <w:color w:val="000000" w:themeColor="text1"/>
                <w:szCs w:val="21"/>
              </w:rPr>
              <w:t>0.41%</w:t>
            </w:r>
          </w:p>
        </w:tc>
      </w:tr>
      <w:tr w:rsidR="001113C4">
        <w:tc>
          <w:tcPr>
            <w:tcW w:w="1290" w:type="dxa"/>
            <w:vAlign w:val="center"/>
          </w:tcPr>
          <w:p w:rsidR="001113C4" w:rsidRDefault="00913FBF">
            <w:pPr>
              <w:jc w:val="left"/>
            </w:pPr>
            <w:r>
              <w:rPr>
                <w:rFonts w:eastAsiaTheme="minorEastAsia"/>
                <w:color w:val="000000" w:themeColor="text1"/>
                <w:szCs w:val="21"/>
              </w:rPr>
              <w:t>自基金合同生效起至今</w:t>
            </w:r>
          </w:p>
        </w:tc>
        <w:tc>
          <w:tcPr>
            <w:tcW w:w="1291" w:type="dxa"/>
            <w:vAlign w:val="center"/>
          </w:tcPr>
          <w:p w:rsidR="001113C4" w:rsidRDefault="00913FBF">
            <w:pPr>
              <w:jc w:val="right"/>
            </w:pPr>
            <w:r>
              <w:rPr>
                <w:rFonts w:eastAsiaTheme="minorEastAsia"/>
                <w:color w:val="000000" w:themeColor="text1"/>
                <w:szCs w:val="21"/>
              </w:rPr>
              <w:t>180.85%</w:t>
            </w:r>
          </w:p>
        </w:tc>
        <w:tc>
          <w:tcPr>
            <w:tcW w:w="1291" w:type="dxa"/>
            <w:vAlign w:val="center"/>
          </w:tcPr>
          <w:p w:rsidR="001113C4" w:rsidRDefault="00913FBF">
            <w:pPr>
              <w:jc w:val="right"/>
            </w:pPr>
            <w:r>
              <w:rPr>
                <w:rFonts w:eastAsiaTheme="minorEastAsia"/>
                <w:color w:val="000000" w:themeColor="text1"/>
                <w:szCs w:val="21"/>
              </w:rPr>
              <w:t>1.57%</w:t>
            </w:r>
          </w:p>
        </w:tc>
        <w:tc>
          <w:tcPr>
            <w:tcW w:w="1291" w:type="dxa"/>
            <w:vAlign w:val="center"/>
          </w:tcPr>
          <w:p w:rsidR="001113C4" w:rsidRDefault="00913FBF">
            <w:pPr>
              <w:jc w:val="right"/>
            </w:pPr>
            <w:r>
              <w:rPr>
                <w:rFonts w:eastAsiaTheme="minorEastAsia"/>
                <w:color w:val="000000" w:themeColor="text1"/>
                <w:szCs w:val="21"/>
              </w:rPr>
              <w:t>115.58%</w:t>
            </w:r>
          </w:p>
        </w:tc>
        <w:tc>
          <w:tcPr>
            <w:tcW w:w="1291" w:type="dxa"/>
            <w:vAlign w:val="center"/>
          </w:tcPr>
          <w:p w:rsidR="001113C4" w:rsidRDefault="00913FBF">
            <w:pPr>
              <w:jc w:val="right"/>
            </w:pPr>
            <w:r>
              <w:rPr>
                <w:rFonts w:eastAsiaTheme="minorEastAsia"/>
                <w:color w:val="000000" w:themeColor="text1"/>
                <w:szCs w:val="21"/>
              </w:rPr>
              <w:t>1.31%</w:t>
            </w:r>
          </w:p>
        </w:tc>
        <w:tc>
          <w:tcPr>
            <w:tcW w:w="1291" w:type="dxa"/>
            <w:vAlign w:val="center"/>
          </w:tcPr>
          <w:p w:rsidR="001113C4" w:rsidRDefault="00913FBF">
            <w:pPr>
              <w:jc w:val="right"/>
            </w:pPr>
            <w:r>
              <w:rPr>
                <w:rFonts w:eastAsiaTheme="minorEastAsia"/>
                <w:color w:val="000000" w:themeColor="text1"/>
                <w:szCs w:val="21"/>
              </w:rPr>
              <w:t>65.27%</w:t>
            </w:r>
          </w:p>
        </w:tc>
        <w:tc>
          <w:tcPr>
            <w:tcW w:w="1291" w:type="dxa"/>
            <w:vAlign w:val="center"/>
          </w:tcPr>
          <w:p w:rsidR="001113C4" w:rsidRDefault="00913FBF">
            <w:pPr>
              <w:jc w:val="right"/>
            </w:pPr>
            <w:r>
              <w:rPr>
                <w:rFonts w:eastAsiaTheme="minorEastAsia"/>
                <w:color w:val="000000" w:themeColor="text1"/>
                <w:szCs w:val="21"/>
              </w:rPr>
              <w:t>0.26%</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摩根成长先锋混合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1113C4">
        <w:tc>
          <w:tcPr>
            <w:tcW w:w="1290" w:type="dxa"/>
            <w:vAlign w:val="center"/>
          </w:tcPr>
          <w:p w:rsidR="001113C4" w:rsidRDefault="00913FBF">
            <w:pPr>
              <w:jc w:val="left"/>
            </w:pPr>
            <w:r>
              <w:rPr>
                <w:rFonts w:eastAsiaTheme="minorEastAsia"/>
                <w:color w:val="000000" w:themeColor="text1"/>
                <w:szCs w:val="21"/>
              </w:rPr>
              <w:t>过去三个月</w:t>
            </w:r>
          </w:p>
        </w:tc>
        <w:tc>
          <w:tcPr>
            <w:tcW w:w="1291" w:type="dxa"/>
            <w:vAlign w:val="center"/>
          </w:tcPr>
          <w:p w:rsidR="001113C4" w:rsidRDefault="00913FBF">
            <w:pPr>
              <w:jc w:val="right"/>
            </w:pPr>
            <w:r>
              <w:rPr>
                <w:rFonts w:eastAsiaTheme="minorEastAsia"/>
                <w:color w:val="000000" w:themeColor="text1"/>
                <w:szCs w:val="21"/>
              </w:rPr>
              <w:t>2.86%</w:t>
            </w:r>
          </w:p>
        </w:tc>
        <w:tc>
          <w:tcPr>
            <w:tcW w:w="1291" w:type="dxa"/>
            <w:vAlign w:val="center"/>
          </w:tcPr>
          <w:p w:rsidR="001113C4" w:rsidRDefault="00913FBF">
            <w:pPr>
              <w:jc w:val="right"/>
            </w:pPr>
            <w:r>
              <w:rPr>
                <w:rFonts w:eastAsiaTheme="minorEastAsia"/>
                <w:color w:val="000000" w:themeColor="text1"/>
                <w:szCs w:val="21"/>
              </w:rPr>
              <w:t>1.36%</w:t>
            </w:r>
          </w:p>
        </w:tc>
        <w:tc>
          <w:tcPr>
            <w:tcW w:w="1291" w:type="dxa"/>
            <w:vAlign w:val="center"/>
          </w:tcPr>
          <w:p w:rsidR="001113C4" w:rsidRDefault="00913FBF">
            <w:pPr>
              <w:jc w:val="right"/>
            </w:pPr>
            <w:r>
              <w:rPr>
                <w:rFonts w:eastAsiaTheme="minorEastAsia"/>
                <w:color w:val="000000" w:themeColor="text1"/>
                <w:szCs w:val="21"/>
              </w:rPr>
              <w:t>2.73%</w:t>
            </w:r>
          </w:p>
        </w:tc>
        <w:tc>
          <w:tcPr>
            <w:tcW w:w="1291" w:type="dxa"/>
            <w:vAlign w:val="center"/>
          </w:tcPr>
          <w:p w:rsidR="001113C4" w:rsidRDefault="00913FBF">
            <w:pPr>
              <w:jc w:val="right"/>
            </w:pPr>
            <w:r>
              <w:rPr>
                <w:rFonts w:eastAsiaTheme="minorEastAsia"/>
                <w:color w:val="000000" w:themeColor="text1"/>
                <w:szCs w:val="21"/>
              </w:rPr>
              <w:t>0.82%</w:t>
            </w:r>
          </w:p>
        </w:tc>
        <w:tc>
          <w:tcPr>
            <w:tcW w:w="1291" w:type="dxa"/>
            <w:vAlign w:val="center"/>
          </w:tcPr>
          <w:p w:rsidR="001113C4" w:rsidRDefault="00913FBF">
            <w:pPr>
              <w:jc w:val="right"/>
            </w:pPr>
            <w:r>
              <w:rPr>
                <w:rFonts w:eastAsiaTheme="minorEastAsia"/>
                <w:color w:val="000000" w:themeColor="text1"/>
                <w:szCs w:val="21"/>
              </w:rPr>
              <w:t>0.13%</w:t>
            </w:r>
          </w:p>
        </w:tc>
        <w:tc>
          <w:tcPr>
            <w:tcW w:w="1291" w:type="dxa"/>
            <w:vAlign w:val="center"/>
          </w:tcPr>
          <w:p w:rsidR="001113C4" w:rsidRDefault="00913FBF">
            <w:pPr>
              <w:jc w:val="right"/>
            </w:pPr>
            <w:r>
              <w:rPr>
                <w:rFonts w:eastAsiaTheme="minorEastAsia"/>
                <w:color w:val="000000" w:themeColor="text1"/>
                <w:szCs w:val="21"/>
              </w:rPr>
              <w:t>0.54%</w:t>
            </w:r>
          </w:p>
        </w:tc>
      </w:tr>
      <w:tr w:rsidR="001113C4">
        <w:tc>
          <w:tcPr>
            <w:tcW w:w="1290" w:type="dxa"/>
            <w:vAlign w:val="center"/>
          </w:tcPr>
          <w:p w:rsidR="001113C4" w:rsidRDefault="00913FBF">
            <w:pPr>
              <w:jc w:val="left"/>
            </w:pPr>
            <w:r>
              <w:rPr>
                <w:rFonts w:eastAsiaTheme="minorEastAsia"/>
                <w:color w:val="000000" w:themeColor="text1"/>
                <w:szCs w:val="21"/>
              </w:rPr>
              <w:t>过去六个月</w:t>
            </w:r>
          </w:p>
        </w:tc>
        <w:tc>
          <w:tcPr>
            <w:tcW w:w="1291" w:type="dxa"/>
            <w:vAlign w:val="center"/>
          </w:tcPr>
          <w:p w:rsidR="001113C4" w:rsidRDefault="00913FBF">
            <w:pPr>
              <w:jc w:val="right"/>
            </w:pPr>
            <w:r>
              <w:rPr>
                <w:rFonts w:eastAsiaTheme="minorEastAsia"/>
                <w:color w:val="000000" w:themeColor="text1"/>
                <w:szCs w:val="21"/>
              </w:rPr>
              <w:t>0.01%</w:t>
            </w:r>
          </w:p>
        </w:tc>
        <w:tc>
          <w:tcPr>
            <w:tcW w:w="1291" w:type="dxa"/>
            <w:vAlign w:val="center"/>
          </w:tcPr>
          <w:p w:rsidR="001113C4" w:rsidRDefault="00913FBF">
            <w:pPr>
              <w:jc w:val="right"/>
            </w:pPr>
            <w:r>
              <w:rPr>
                <w:rFonts w:eastAsiaTheme="minorEastAsia"/>
                <w:color w:val="000000" w:themeColor="text1"/>
                <w:szCs w:val="21"/>
              </w:rPr>
              <w:t>1.11%</w:t>
            </w:r>
          </w:p>
        </w:tc>
        <w:tc>
          <w:tcPr>
            <w:tcW w:w="1291" w:type="dxa"/>
            <w:vAlign w:val="center"/>
          </w:tcPr>
          <w:p w:rsidR="001113C4" w:rsidRDefault="00913FBF">
            <w:pPr>
              <w:jc w:val="right"/>
            </w:pPr>
            <w:r>
              <w:rPr>
                <w:rFonts w:eastAsiaTheme="minorEastAsia"/>
                <w:color w:val="000000" w:themeColor="text1"/>
                <w:szCs w:val="21"/>
              </w:rPr>
              <w:t>-2.88%</w:t>
            </w:r>
          </w:p>
        </w:tc>
        <w:tc>
          <w:tcPr>
            <w:tcW w:w="1291" w:type="dxa"/>
            <w:vAlign w:val="center"/>
          </w:tcPr>
          <w:p w:rsidR="001113C4" w:rsidRDefault="00913FBF">
            <w:pPr>
              <w:jc w:val="right"/>
            </w:pPr>
            <w:r>
              <w:rPr>
                <w:rFonts w:eastAsiaTheme="minorEastAsia"/>
                <w:color w:val="000000" w:themeColor="text1"/>
                <w:szCs w:val="21"/>
              </w:rPr>
              <w:t>0.73%</w:t>
            </w:r>
          </w:p>
        </w:tc>
        <w:tc>
          <w:tcPr>
            <w:tcW w:w="1291" w:type="dxa"/>
            <w:vAlign w:val="center"/>
          </w:tcPr>
          <w:p w:rsidR="001113C4" w:rsidRDefault="00913FBF">
            <w:pPr>
              <w:jc w:val="right"/>
            </w:pPr>
            <w:r>
              <w:rPr>
                <w:rFonts w:eastAsiaTheme="minorEastAsia"/>
                <w:color w:val="000000" w:themeColor="text1"/>
                <w:szCs w:val="21"/>
              </w:rPr>
              <w:t>2.89%</w:t>
            </w:r>
          </w:p>
        </w:tc>
        <w:tc>
          <w:tcPr>
            <w:tcW w:w="1291" w:type="dxa"/>
            <w:vAlign w:val="center"/>
          </w:tcPr>
          <w:p w:rsidR="001113C4" w:rsidRDefault="00913FBF">
            <w:pPr>
              <w:jc w:val="right"/>
            </w:pPr>
            <w:r>
              <w:rPr>
                <w:rFonts w:eastAsiaTheme="minorEastAsia"/>
                <w:color w:val="000000" w:themeColor="text1"/>
                <w:szCs w:val="21"/>
              </w:rPr>
              <w:t>0.38%</w:t>
            </w:r>
          </w:p>
        </w:tc>
      </w:tr>
      <w:tr w:rsidR="001113C4">
        <w:tc>
          <w:tcPr>
            <w:tcW w:w="1290" w:type="dxa"/>
            <w:vAlign w:val="center"/>
          </w:tcPr>
          <w:p w:rsidR="001113C4" w:rsidRDefault="00913FBF">
            <w:pPr>
              <w:jc w:val="left"/>
            </w:pPr>
            <w:r>
              <w:rPr>
                <w:rFonts w:eastAsiaTheme="minorEastAsia"/>
                <w:color w:val="000000" w:themeColor="text1"/>
                <w:szCs w:val="21"/>
              </w:rPr>
              <w:lastRenderedPageBreak/>
              <w:t>过去一年</w:t>
            </w:r>
          </w:p>
        </w:tc>
        <w:tc>
          <w:tcPr>
            <w:tcW w:w="1291" w:type="dxa"/>
            <w:vAlign w:val="center"/>
          </w:tcPr>
          <w:p w:rsidR="001113C4" w:rsidRDefault="00913FBF">
            <w:pPr>
              <w:jc w:val="right"/>
            </w:pPr>
            <w:r>
              <w:rPr>
                <w:rFonts w:eastAsiaTheme="minorEastAsia"/>
                <w:color w:val="000000" w:themeColor="text1"/>
                <w:szCs w:val="21"/>
              </w:rPr>
              <w:t>-16.49%</w:t>
            </w:r>
          </w:p>
        </w:tc>
        <w:tc>
          <w:tcPr>
            <w:tcW w:w="1291" w:type="dxa"/>
            <w:vAlign w:val="center"/>
          </w:tcPr>
          <w:p w:rsidR="001113C4" w:rsidRDefault="00913FBF">
            <w:pPr>
              <w:jc w:val="right"/>
            </w:pPr>
            <w:r>
              <w:rPr>
                <w:rFonts w:eastAsiaTheme="minorEastAsia"/>
                <w:color w:val="000000" w:themeColor="text1"/>
                <w:szCs w:val="21"/>
              </w:rPr>
              <w:t>1.06%</w:t>
            </w:r>
          </w:p>
        </w:tc>
        <w:tc>
          <w:tcPr>
            <w:tcW w:w="1291" w:type="dxa"/>
            <w:vAlign w:val="center"/>
          </w:tcPr>
          <w:p w:rsidR="001113C4" w:rsidRDefault="00913FBF">
            <w:pPr>
              <w:jc w:val="right"/>
            </w:pPr>
            <w:r>
              <w:rPr>
                <w:rFonts w:eastAsiaTheme="minorEastAsia"/>
                <w:color w:val="000000" w:themeColor="text1"/>
                <w:szCs w:val="21"/>
              </w:rPr>
              <w:t>-9.52%</w:t>
            </w:r>
          </w:p>
        </w:tc>
        <w:tc>
          <w:tcPr>
            <w:tcW w:w="1291" w:type="dxa"/>
            <w:vAlign w:val="center"/>
          </w:tcPr>
          <w:p w:rsidR="001113C4" w:rsidRDefault="00913FBF">
            <w:pPr>
              <w:jc w:val="right"/>
            </w:pPr>
            <w:r>
              <w:rPr>
                <w:rFonts w:eastAsiaTheme="minorEastAsia"/>
                <w:color w:val="000000" w:themeColor="text1"/>
                <w:szCs w:val="21"/>
              </w:rPr>
              <w:t>0.71%</w:t>
            </w:r>
          </w:p>
        </w:tc>
        <w:tc>
          <w:tcPr>
            <w:tcW w:w="1291" w:type="dxa"/>
            <w:vAlign w:val="center"/>
          </w:tcPr>
          <w:p w:rsidR="001113C4" w:rsidRDefault="00913FBF">
            <w:pPr>
              <w:jc w:val="right"/>
            </w:pPr>
            <w:r>
              <w:rPr>
                <w:rFonts w:eastAsiaTheme="minorEastAsia"/>
                <w:color w:val="000000" w:themeColor="text1"/>
                <w:szCs w:val="21"/>
              </w:rPr>
              <w:t>-6.97%</w:t>
            </w:r>
          </w:p>
        </w:tc>
        <w:tc>
          <w:tcPr>
            <w:tcW w:w="1291" w:type="dxa"/>
            <w:vAlign w:val="center"/>
          </w:tcPr>
          <w:p w:rsidR="001113C4" w:rsidRDefault="00913FBF">
            <w:pPr>
              <w:jc w:val="right"/>
            </w:pPr>
            <w:r>
              <w:rPr>
                <w:rFonts w:eastAsiaTheme="minorEastAsia"/>
                <w:color w:val="000000" w:themeColor="text1"/>
                <w:szCs w:val="21"/>
              </w:rPr>
              <w:t>0.35%</w:t>
            </w:r>
          </w:p>
        </w:tc>
      </w:tr>
      <w:tr w:rsidR="001113C4">
        <w:tc>
          <w:tcPr>
            <w:tcW w:w="1290" w:type="dxa"/>
            <w:vAlign w:val="center"/>
          </w:tcPr>
          <w:p w:rsidR="001113C4" w:rsidRDefault="00913FBF">
            <w:pPr>
              <w:jc w:val="left"/>
            </w:pPr>
            <w:r>
              <w:rPr>
                <w:rFonts w:eastAsiaTheme="minorEastAsia"/>
                <w:color w:val="000000" w:themeColor="text1"/>
                <w:szCs w:val="21"/>
              </w:rPr>
              <w:t>过去三年</w:t>
            </w:r>
          </w:p>
        </w:tc>
        <w:tc>
          <w:tcPr>
            <w:tcW w:w="1291" w:type="dxa"/>
            <w:vAlign w:val="center"/>
          </w:tcPr>
          <w:p w:rsidR="001113C4" w:rsidRDefault="00913FBF">
            <w:pPr>
              <w:jc w:val="right"/>
            </w:pPr>
            <w:r>
              <w:rPr>
                <w:rFonts w:eastAsiaTheme="minorEastAsia"/>
                <w:color w:val="000000" w:themeColor="text1"/>
                <w:szCs w:val="21"/>
              </w:rPr>
              <w:t>-</w:t>
            </w:r>
          </w:p>
        </w:tc>
        <w:tc>
          <w:tcPr>
            <w:tcW w:w="1291" w:type="dxa"/>
            <w:vAlign w:val="center"/>
          </w:tcPr>
          <w:p w:rsidR="001113C4" w:rsidRDefault="00913FBF">
            <w:pPr>
              <w:jc w:val="right"/>
            </w:pPr>
            <w:r>
              <w:rPr>
                <w:rFonts w:eastAsiaTheme="minorEastAsia"/>
                <w:color w:val="000000" w:themeColor="text1"/>
                <w:szCs w:val="21"/>
              </w:rPr>
              <w:t>-</w:t>
            </w:r>
          </w:p>
        </w:tc>
        <w:tc>
          <w:tcPr>
            <w:tcW w:w="1291" w:type="dxa"/>
            <w:vAlign w:val="center"/>
          </w:tcPr>
          <w:p w:rsidR="001113C4" w:rsidRDefault="00913FBF">
            <w:pPr>
              <w:jc w:val="right"/>
            </w:pPr>
            <w:r>
              <w:rPr>
                <w:rFonts w:eastAsiaTheme="minorEastAsia"/>
                <w:color w:val="000000" w:themeColor="text1"/>
                <w:szCs w:val="21"/>
              </w:rPr>
              <w:t>-</w:t>
            </w:r>
          </w:p>
        </w:tc>
        <w:tc>
          <w:tcPr>
            <w:tcW w:w="1291" w:type="dxa"/>
            <w:vAlign w:val="center"/>
          </w:tcPr>
          <w:p w:rsidR="001113C4" w:rsidRDefault="00913FBF">
            <w:pPr>
              <w:jc w:val="right"/>
            </w:pPr>
            <w:r>
              <w:rPr>
                <w:rFonts w:eastAsiaTheme="minorEastAsia"/>
                <w:color w:val="000000" w:themeColor="text1"/>
                <w:szCs w:val="21"/>
              </w:rPr>
              <w:t>-</w:t>
            </w:r>
          </w:p>
        </w:tc>
        <w:tc>
          <w:tcPr>
            <w:tcW w:w="1291" w:type="dxa"/>
            <w:vAlign w:val="center"/>
          </w:tcPr>
          <w:p w:rsidR="001113C4" w:rsidRDefault="00913FBF">
            <w:pPr>
              <w:jc w:val="right"/>
            </w:pPr>
            <w:r>
              <w:rPr>
                <w:rFonts w:eastAsiaTheme="minorEastAsia"/>
                <w:color w:val="000000" w:themeColor="text1"/>
                <w:szCs w:val="21"/>
              </w:rPr>
              <w:t>-</w:t>
            </w:r>
          </w:p>
        </w:tc>
        <w:tc>
          <w:tcPr>
            <w:tcW w:w="1291" w:type="dxa"/>
            <w:vAlign w:val="center"/>
          </w:tcPr>
          <w:p w:rsidR="001113C4" w:rsidRDefault="00913FBF">
            <w:pPr>
              <w:jc w:val="right"/>
            </w:pPr>
            <w:r>
              <w:rPr>
                <w:rFonts w:eastAsiaTheme="minorEastAsia"/>
                <w:color w:val="000000" w:themeColor="text1"/>
                <w:szCs w:val="21"/>
              </w:rPr>
              <w:t>-</w:t>
            </w:r>
          </w:p>
        </w:tc>
      </w:tr>
      <w:tr w:rsidR="001113C4">
        <w:tc>
          <w:tcPr>
            <w:tcW w:w="1290" w:type="dxa"/>
            <w:vAlign w:val="center"/>
          </w:tcPr>
          <w:p w:rsidR="001113C4" w:rsidRDefault="00913FBF">
            <w:pPr>
              <w:jc w:val="left"/>
            </w:pPr>
            <w:r>
              <w:rPr>
                <w:rFonts w:eastAsiaTheme="minorEastAsia"/>
                <w:color w:val="000000" w:themeColor="text1"/>
                <w:szCs w:val="21"/>
              </w:rPr>
              <w:t>过去五年</w:t>
            </w:r>
          </w:p>
        </w:tc>
        <w:tc>
          <w:tcPr>
            <w:tcW w:w="1291" w:type="dxa"/>
            <w:vAlign w:val="center"/>
          </w:tcPr>
          <w:p w:rsidR="001113C4" w:rsidRDefault="00913FBF">
            <w:pPr>
              <w:jc w:val="right"/>
            </w:pPr>
            <w:r>
              <w:rPr>
                <w:rFonts w:eastAsiaTheme="minorEastAsia"/>
                <w:color w:val="000000" w:themeColor="text1"/>
                <w:szCs w:val="21"/>
              </w:rPr>
              <w:t>-</w:t>
            </w:r>
          </w:p>
        </w:tc>
        <w:tc>
          <w:tcPr>
            <w:tcW w:w="1291" w:type="dxa"/>
            <w:vAlign w:val="center"/>
          </w:tcPr>
          <w:p w:rsidR="001113C4" w:rsidRDefault="00913FBF">
            <w:pPr>
              <w:jc w:val="right"/>
            </w:pPr>
            <w:r>
              <w:rPr>
                <w:rFonts w:eastAsiaTheme="minorEastAsia"/>
                <w:color w:val="000000" w:themeColor="text1"/>
                <w:szCs w:val="21"/>
              </w:rPr>
              <w:t>-</w:t>
            </w:r>
          </w:p>
        </w:tc>
        <w:tc>
          <w:tcPr>
            <w:tcW w:w="1291" w:type="dxa"/>
            <w:vAlign w:val="center"/>
          </w:tcPr>
          <w:p w:rsidR="001113C4" w:rsidRDefault="00913FBF">
            <w:pPr>
              <w:jc w:val="right"/>
            </w:pPr>
            <w:r>
              <w:rPr>
                <w:rFonts w:eastAsiaTheme="minorEastAsia"/>
                <w:color w:val="000000" w:themeColor="text1"/>
                <w:szCs w:val="21"/>
              </w:rPr>
              <w:t>-</w:t>
            </w:r>
          </w:p>
        </w:tc>
        <w:tc>
          <w:tcPr>
            <w:tcW w:w="1291" w:type="dxa"/>
            <w:vAlign w:val="center"/>
          </w:tcPr>
          <w:p w:rsidR="001113C4" w:rsidRDefault="00913FBF">
            <w:pPr>
              <w:jc w:val="right"/>
            </w:pPr>
            <w:r>
              <w:rPr>
                <w:rFonts w:eastAsiaTheme="minorEastAsia"/>
                <w:color w:val="000000" w:themeColor="text1"/>
                <w:szCs w:val="21"/>
              </w:rPr>
              <w:t>-</w:t>
            </w:r>
          </w:p>
        </w:tc>
        <w:tc>
          <w:tcPr>
            <w:tcW w:w="1291" w:type="dxa"/>
            <w:vAlign w:val="center"/>
          </w:tcPr>
          <w:p w:rsidR="001113C4" w:rsidRDefault="00913FBF">
            <w:pPr>
              <w:jc w:val="right"/>
            </w:pPr>
            <w:r>
              <w:rPr>
                <w:rFonts w:eastAsiaTheme="minorEastAsia"/>
                <w:color w:val="000000" w:themeColor="text1"/>
                <w:szCs w:val="21"/>
              </w:rPr>
              <w:t>-</w:t>
            </w:r>
          </w:p>
        </w:tc>
        <w:tc>
          <w:tcPr>
            <w:tcW w:w="1291" w:type="dxa"/>
            <w:vAlign w:val="center"/>
          </w:tcPr>
          <w:p w:rsidR="001113C4" w:rsidRDefault="00913FBF">
            <w:pPr>
              <w:jc w:val="right"/>
            </w:pPr>
            <w:r>
              <w:rPr>
                <w:rFonts w:eastAsiaTheme="minorEastAsia"/>
                <w:color w:val="000000" w:themeColor="text1"/>
                <w:szCs w:val="21"/>
              </w:rPr>
              <w:t>-</w:t>
            </w:r>
          </w:p>
        </w:tc>
      </w:tr>
      <w:tr w:rsidR="001113C4">
        <w:tc>
          <w:tcPr>
            <w:tcW w:w="1290" w:type="dxa"/>
            <w:vAlign w:val="center"/>
          </w:tcPr>
          <w:p w:rsidR="001113C4" w:rsidRDefault="00913FBF">
            <w:pPr>
              <w:jc w:val="left"/>
            </w:pPr>
            <w:r>
              <w:rPr>
                <w:rFonts w:eastAsiaTheme="minorEastAsia"/>
                <w:color w:val="000000" w:themeColor="text1"/>
                <w:szCs w:val="21"/>
              </w:rPr>
              <w:t>自基金合同生效起至今</w:t>
            </w:r>
          </w:p>
        </w:tc>
        <w:tc>
          <w:tcPr>
            <w:tcW w:w="1291" w:type="dxa"/>
            <w:vAlign w:val="center"/>
          </w:tcPr>
          <w:p w:rsidR="001113C4" w:rsidRDefault="00913FBF">
            <w:pPr>
              <w:jc w:val="right"/>
            </w:pPr>
            <w:r>
              <w:rPr>
                <w:rFonts w:eastAsiaTheme="minorEastAsia"/>
                <w:color w:val="000000" w:themeColor="text1"/>
                <w:szCs w:val="21"/>
              </w:rPr>
              <w:t>-34.99%</w:t>
            </w:r>
          </w:p>
        </w:tc>
        <w:tc>
          <w:tcPr>
            <w:tcW w:w="1291" w:type="dxa"/>
            <w:vAlign w:val="center"/>
          </w:tcPr>
          <w:p w:rsidR="001113C4" w:rsidRDefault="00913FBF">
            <w:pPr>
              <w:jc w:val="right"/>
            </w:pPr>
            <w:r>
              <w:rPr>
                <w:rFonts w:eastAsiaTheme="minorEastAsia"/>
                <w:color w:val="000000" w:themeColor="text1"/>
                <w:szCs w:val="21"/>
              </w:rPr>
              <w:t>1.23%</w:t>
            </w:r>
          </w:p>
        </w:tc>
        <w:tc>
          <w:tcPr>
            <w:tcW w:w="1291" w:type="dxa"/>
            <w:vAlign w:val="center"/>
          </w:tcPr>
          <w:p w:rsidR="001113C4" w:rsidRDefault="00913FBF">
            <w:pPr>
              <w:jc w:val="right"/>
            </w:pPr>
            <w:r>
              <w:rPr>
                <w:rFonts w:eastAsiaTheme="minorEastAsia"/>
                <w:color w:val="000000" w:themeColor="text1"/>
                <w:szCs w:val="21"/>
              </w:rPr>
              <w:t>-16.88%</w:t>
            </w:r>
          </w:p>
        </w:tc>
        <w:tc>
          <w:tcPr>
            <w:tcW w:w="1291" w:type="dxa"/>
            <w:vAlign w:val="center"/>
          </w:tcPr>
          <w:p w:rsidR="001113C4" w:rsidRDefault="00913FBF">
            <w:pPr>
              <w:jc w:val="right"/>
            </w:pPr>
            <w:r>
              <w:rPr>
                <w:rFonts w:eastAsiaTheme="minorEastAsia"/>
                <w:color w:val="000000" w:themeColor="text1"/>
                <w:szCs w:val="21"/>
              </w:rPr>
              <w:t>0.86%</w:t>
            </w:r>
          </w:p>
        </w:tc>
        <w:tc>
          <w:tcPr>
            <w:tcW w:w="1291" w:type="dxa"/>
            <w:vAlign w:val="center"/>
          </w:tcPr>
          <w:p w:rsidR="001113C4" w:rsidRDefault="00913FBF">
            <w:pPr>
              <w:jc w:val="right"/>
            </w:pPr>
            <w:r>
              <w:rPr>
                <w:rFonts w:eastAsiaTheme="minorEastAsia"/>
                <w:color w:val="000000" w:themeColor="text1"/>
                <w:szCs w:val="21"/>
              </w:rPr>
              <w:t>-18.11%</w:t>
            </w:r>
          </w:p>
        </w:tc>
        <w:tc>
          <w:tcPr>
            <w:tcW w:w="1291" w:type="dxa"/>
            <w:vAlign w:val="center"/>
          </w:tcPr>
          <w:p w:rsidR="001113C4" w:rsidRDefault="00913FBF">
            <w:pPr>
              <w:jc w:val="right"/>
            </w:pPr>
            <w:r>
              <w:rPr>
                <w:rFonts w:eastAsiaTheme="minorEastAsia"/>
                <w:color w:val="000000" w:themeColor="text1"/>
                <w:szCs w:val="21"/>
              </w:rPr>
              <w:t>0.37%</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摩根成长先锋混合型证券投资基金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(2006</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20</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．摩根成长先锋混合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1113C4" w:rsidRDefault="00913FB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日，图示的时间段为合同生效日至本报告期末。</w:t>
      </w:r>
    </w:p>
    <w:p w:rsidR="001113C4" w:rsidRDefault="00913FB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本基金的业绩比较基准于</w:t>
      </w:r>
      <w:r w:rsidRPr="00B27A29">
        <w:rPr>
          <w:rFonts w:eastAsiaTheme="minorEastAsia"/>
          <w:color w:val="000000" w:themeColor="text1"/>
          <w:szCs w:val="21"/>
        </w:rPr>
        <w:t>2013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7</w:t>
      </w:r>
      <w:r w:rsidRPr="00B27A29">
        <w:rPr>
          <w:rFonts w:eastAsiaTheme="minorEastAsia"/>
          <w:color w:val="000000" w:themeColor="text1"/>
          <w:szCs w:val="21"/>
        </w:rPr>
        <w:t>日由原</w:t>
      </w:r>
      <w:r w:rsidRPr="00B27A29">
        <w:rPr>
          <w:rFonts w:eastAsiaTheme="minorEastAsia"/>
          <w:color w:val="000000" w:themeColor="text1"/>
          <w:szCs w:val="21"/>
        </w:rPr>
        <w:t>“</w:t>
      </w:r>
      <w:r w:rsidRPr="00B27A29">
        <w:rPr>
          <w:rFonts w:eastAsiaTheme="minorEastAsia"/>
          <w:color w:val="000000" w:themeColor="text1"/>
          <w:szCs w:val="21"/>
        </w:rPr>
        <w:t>富时中国</w:t>
      </w:r>
      <w:r w:rsidRPr="00B27A29">
        <w:rPr>
          <w:rFonts w:eastAsiaTheme="minorEastAsia"/>
          <w:color w:val="000000" w:themeColor="text1"/>
          <w:szCs w:val="21"/>
        </w:rPr>
        <w:t>A600</w:t>
      </w:r>
      <w:r w:rsidRPr="00B27A29">
        <w:rPr>
          <w:rFonts w:eastAsiaTheme="minorEastAsia"/>
          <w:color w:val="000000" w:themeColor="text1"/>
          <w:szCs w:val="21"/>
        </w:rPr>
        <w:t>成长指数</w:t>
      </w:r>
      <w:r w:rsidRPr="00B27A29">
        <w:rPr>
          <w:rFonts w:eastAsiaTheme="minorEastAsia"/>
          <w:color w:val="000000" w:themeColor="text1"/>
          <w:szCs w:val="21"/>
        </w:rPr>
        <w:t>×80%+</w:t>
      </w:r>
      <w:r w:rsidRPr="00B27A29">
        <w:rPr>
          <w:rFonts w:eastAsiaTheme="minorEastAsia"/>
          <w:color w:val="000000" w:themeColor="text1"/>
          <w:szCs w:val="21"/>
        </w:rPr>
        <w:t>同业存款利率</w:t>
      </w:r>
      <w:r w:rsidRPr="00B27A29">
        <w:rPr>
          <w:rFonts w:eastAsiaTheme="minorEastAsia"/>
          <w:color w:val="000000" w:themeColor="text1"/>
          <w:szCs w:val="21"/>
        </w:rPr>
        <w:t>×20%”</w:t>
      </w:r>
      <w:r w:rsidRPr="00B27A29">
        <w:rPr>
          <w:rFonts w:eastAsiaTheme="minorEastAsia"/>
          <w:color w:val="000000" w:themeColor="text1"/>
          <w:szCs w:val="21"/>
        </w:rPr>
        <w:t>变更为</w:t>
      </w:r>
      <w:r w:rsidRPr="00B27A29">
        <w:rPr>
          <w:rFonts w:eastAsiaTheme="minorEastAsia"/>
          <w:color w:val="000000" w:themeColor="text1"/>
          <w:szCs w:val="21"/>
        </w:rPr>
        <w:t>“</w:t>
      </w:r>
      <w:r w:rsidRPr="00B27A29">
        <w:rPr>
          <w:rFonts w:eastAsiaTheme="minorEastAsia"/>
          <w:color w:val="000000" w:themeColor="text1"/>
          <w:szCs w:val="21"/>
        </w:rPr>
        <w:t>沪深</w:t>
      </w:r>
      <w:r w:rsidRPr="00B27A29">
        <w:rPr>
          <w:rFonts w:eastAsiaTheme="minorEastAsia"/>
          <w:color w:val="000000" w:themeColor="text1"/>
          <w:szCs w:val="21"/>
        </w:rPr>
        <w:t>300</w:t>
      </w:r>
      <w:r w:rsidRPr="00B27A29">
        <w:rPr>
          <w:rFonts w:eastAsiaTheme="minorEastAsia"/>
          <w:color w:val="000000" w:themeColor="text1"/>
          <w:szCs w:val="21"/>
        </w:rPr>
        <w:t>指数收益率</w:t>
      </w:r>
      <w:r w:rsidRPr="00B27A29">
        <w:rPr>
          <w:rFonts w:eastAsiaTheme="minorEastAsia"/>
          <w:color w:val="000000" w:themeColor="text1"/>
          <w:szCs w:val="21"/>
        </w:rPr>
        <w:t>×80%+</w:t>
      </w:r>
      <w:r w:rsidRPr="00B27A29">
        <w:rPr>
          <w:rFonts w:eastAsiaTheme="minorEastAsia"/>
          <w:color w:val="000000" w:themeColor="text1"/>
          <w:szCs w:val="21"/>
        </w:rPr>
        <w:t>中债总指数收益率</w:t>
      </w:r>
      <w:r w:rsidRPr="00B27A29">
        <w:rPr>
          <w:rFonts w:eastAsiaTheme="minorEastAsia"/>
          <w:color w:val="000000" w:themeColor="text1"/>
          <w:szCs w:val="21"/>
        </w:rPr>
        <w:t>×20%”</w:t>
      </w:r>
      <w:r w:rsidRPr="00B27A29">
        <w:rPr>
          <w:rFonts w:eastAsiaTheme="minorEastAsia"/>
          <w:color w:val="000000" w:themeColor="text1"/>
          <w:szCs w:val="21"/>
        </w:rPr>
        <w:t>。</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．摩根成长先锋混合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1113C4" w:rsidRDefault="00913FB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1113C4" w:rsidRDefault="00913FB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本基金的业绩比较基准于</w:t>
      </w:r>
      <w:r w:rsidRPr="00B27A29">
        <w:rPr>
          <w:rFonts w:eastAsiaTheme="minorEastAsia"/>
          <w:color w:val="000000" w:themeColor="text1"/>
          <w:szCs w:val="21"/>
        </w:rPr>
        <w:t>2013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7</w:t>
      </w:r>
      <w:r w:rsidRPr="00B27A29">
        <w:rPr>
          <w:rFonts w:eastAsiaTheme="minorEastAsia"/>
          <w:color w:val="000000" w:themeColor="text1"/>
          <w:szCs w:val="21"/>
        </w:rPr>
        <w:t>日由原</w:t>
      </w:r>
      <w:r w:rsidRPr="00B27A29">
        <w:rPr>
          <w:rFonts w:eastAsiaTheme="minorEastAsia"/>
          <w:color w:val="000000" w:themeColor="text1"/>
          <w:szCs w:val="21"/>
        </w:rPr>
        <w:t>“</w:t>
      </w:r>
      <w:r w:rsidRPr="00B27A29">
        <w:rPr>
          <w:rFonts w:eastAsiaTheme="minorEastAsia"/>
          <w:color w:val="000000" w:themeColor="text1"/>
          <w:szCs w:val="21"/>
        </w:rPr>
        <w:t>富时中国</w:t>
      </w:r>
      <w:r w:rsidRPr="00B27A29">
        <w:rPr>
          <w:rFonts w:eastAsiaTheme="minorEastAsia"/>
          <w:color w:val="000000" w:themeColor="text1"/>
          <w:szCs w:val="21"/>
        </w:rPr>
        <w:t>A600</w:t>
      </w:r>
      <w:r w:rsidRPr="00B27A29">
        <w:rPr>
          <w:rFonts w:eastAsiaTheme="minorEastAsia"/>
          <w:color w:val="000000" w:themeColor="text1"/>
          <w:szCs w:val="21"/>
        </w:rPr>
        <w:t>成长指数</w:t>
      </w:r>
      <w:r w:rsidRPr="00B27A29">
        <w:rPr>
          <w:rFonts w:eastAsiaTheme="minorEastAsia"/>
          <w:color w:val="000000" w:themeColor="text1"/>
          <w:szCs w:val="21"/>
        </w:rPr>
        <w:t>×80%+</w:t>
      </w:r>
      <w:r w:rsidRPr="00B27A29">
        <w:rPr>
          <w:rFonts w:eastAsiaTheme="minorEastAsia"/>
          <w:color w:val="000000" w:themeColor="text1"/>
          <w:szCs w:val="21"/>
        </w:rPr>
        <w:t>同业存款利率</w:t>
      </w:r>
      <w:r w:rsidRPr="00B27A29">
        <w:rPr>
          <w:rFonts w:eastAsiaTheme="minorEastAsia"/>
          <w:color w:val="000000" w:themeColor="text1"/>
          <w:szCs w:val="21"/>
        </w:rPr>
        <w:t>×20%”</w:t>
      </w:r>
      <w:r w:rsidRPr="00B27A29">
        <w:rPr>
          <w:rFonts w:eastAsiaTheme="minorEastAsia"/>
          <w:color w:val="000000" w:themeColor="text1"/>
          <w:szCs w:val="21"/>
        </w:rPr>
        <w:t>变更为</w:t>
      </w:r>
      <w:r w:rsidRPr="00B27A29">
        <w:rPr>
          <w:rFonts w:eastAsiaTheme="minorEastAsia"/>
          <w:color w:val="000000" w:themeColor="text1"/>
          <w:szCs w:val="21"/>
        </w:rPr>
        <w:t>“</w:t>
      </w:r>
      <w:r w:rsidRPr="00B27A29">
        <w:rPr>
          <w:rFonts w:eastAsiaTheme="minorEastAsia"/>
          <w:color w:val="000000" w:themeColor="text1"/>
          <w:szCs w:val="21"/>
        </w:rPr>
        <w:t>沪深</w:t>
      </w:r>
      <w:r w:rsidRPr="00B27A29">
        <w:rPr>
          <w:rFonts w:eastAsiaTheme="minorEastAsia"/>
          <w:color w:val="000000" w:themeColor="text1"/>
          <w:szCs w:val="21"/>
        </w:rPr>
        <w:t>300</w:t>
      </w:r>
      <w:r w:rsidRPr="00B27A29">
        <w:rPr>
          <w:rFonts w:eastAsiaTheme="minorEastAsia"/>
          <w:color w:val="000000" w:themeColor="text1"/>
          <w:szCs w:val="21"/>
        </w:rPr>
        <w:t>指数收益率</w:t>
      </w:r>
      <w:r w:rsidRPr="00B27A29">
        <w:rPr>
          <w:rFonts w:eastAsiaTheme="minorEastAsia"/>
          <w:color w:val="000000" w:themeColor="text1"/>
          <w:szCs w:val="21"/>
        </w:rPr>
        <w:t>×80%+</w:t>
      </w:r>
      <w:r w:rsidRPr="00B27A29">
        <w:rPr>
          <w:rFonts w:eastAsiaTheme="minorEastAsia"/>
          <w:color w:val="000000" w:themeColor="text1"/>
          <w:szCs w:val="21"/>
        </w:rPr>
        <w:t>中债总指数收益率</w:t>
      </w:r>
      <w:r w:rsidRPr="00B27A29">
        <w:rPr>
          <w:rFonts w:eastAsiaTheme="minorEastAsia"/>
          <w:color w:val="000000" w:themeColor="text1"/>
          <w:szCs w:val="21"/>
        </w:rPr>
        <w:t>×20%”</w:t>
      </w:r>
      <w:r w:rsidRPr="00B27A29">
        <w:rPr>
          <w:rFonts w:eastAsiaTheme="minorEastAsia"/>
          <w:color w:val="000000" w:themeColor="text1"/>
          <w:szCs w:val="21"/>
        </w:rPr>
        <w:t>。</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1113C4">
        <w:tc>
          <w:tcPr>
            <w:tcW w:w="952" w:type="dxa"/>
            <w:vAlign w:val="center"/>
          </w:tcPr>
          <w:p w:rsidR="001113C4" w:rsidRDefault="00913FBF">
            <w:pPr>
              <w:jc w:val="center"/>
            </w:pPr>
            <w:r>
              <w:rPr>
                <w:rFonts w:eastAsiaTheme="minorEastAsia"/>
                <w:color w:val="000000" w:themeColor="text1"/>
                <w:szCs w:val="21"/>
              </w:rPr>
              <w:t>倪权生</w:t>
            </w:r>
          </w:p>
        </w:tc>
        <w:tc>
          <w:tcPr>
            <w:tcW w:w="930" w:type="dxa"/>
            <w:vAlign w:val="center"/>
          </w:tcPr>
          <w:p w:rsidR="001113C4" w:rsidRDefault="00913FBF">
            <w:pPr>
              <w:jc w:val="center"/>
            </w:pPr>
            <w:r>
              <w:rPr>
                <w:rFonts w:eastAsiaTheme="minorEastAsia"/>
                <w:color w:val="000000" w:themeColor="text1"/>
                <w:szCs w:val="21"/>
              </w:rPr>
              <w:t>本基金基金经理</w:t>
            </w:r>
          </w:p>
        </w:tc>
        <w:tc>
          <w:tcPr>
            <w:tcW w:w="1210" w:type="dxa"/>
            <w:vAlign w:val="center"/>
          </w:tcPr>
          <w:p w:rsidR="001113C4" w:rsidRDefault="00913FBF">
            <w:pPr>
              <w:jc w:val="center"/>
            </w:pPr>
            <w:r>
              <w:rPr>
                <w:rFonts w:eastAsiaTheme="minorEastAsia"/>
                <w:color w:val="000000" w:themeColor="text1"/>
                <w:szCs w:val="21"/>
              </w:rPr>
              <w:t>2019-12-27</w:t>
            </w:r>
          </w:p>
        </w:tc>
        <w:tc>
          <w:tcPr>
            <w:tcW w:w="1309" w:type="dxa"/>
            <w:vAlign w:val="center"/>
          </w:tcPr>
          <w:p w:rsidR="001113C4" w:rsidRDefault="00913FBF">
            <w:pPr>
              <w:jc w:val="center"/>
            </w:pPr>
            <w:r>
              <w:rPr>
                <w:rFonts w:eastAsiaTheme="minorEastAsia"/>
                <w:color w:val="000000" w:themeColor="text1"/>
                <w:szCs w:val="21"/>
              </w:rPr>
              <w:t>-</w:t>
            </w:r>
          </w:p>
        </w:tc>
        <w:tc>
          <w:tcPr>
            <w:tcW w:w="1254" w:type="dxa"/>
            <w:vAlign w:val="center"/>
          </w:tcPr>
          <w:p w:rsidR="001113C4" w:rsidRDefault="00913FBF">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rsidR="001113C4" w:rsidRDefault="00913FBF">
            <w:r>
              <w:rPr>
                <w:rFonts w:eastAsiaTheme="minorEastAsia"/>
                <w:color w:val="000000" w:themeColor="text1"/>
                <w:szCs w:val="21"/>
              </w:rPr>
              <w:t>倪权生先生曾任博时基金管理有限公司高级研究员，浙商基金管理有限公司投资经理助理、基金经理</w:t>
            </w:r>
            <w:r>
              <w:rPr>
                <w:rFonts w:eastAsiaTheme="minorEastAsia"/>
                <w:color w:val="000000" w:themeColor="text1"/>
                <w:szCs w:val="21"/>
              </w:rPr>
              <w:t>/</w:t>
            </w:r>
            <w:r>
              <w:rPr>
                <w:rFonts w:eastAsiaTheme="minorEastAsia"/>
                <w:color w:val="000000" w:themeColor="text1"/>
                <w:szCs w:val="21"/>
              </w:rPr>
              <w:t>股票投资部副总经理。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月起加入摩根基金管理（中国）有限公司（原上投摩根基金管理有限公司），历任领先组副组长兼资深基金经理，现任国内权益投资部均衡组组长兼资深基金经理。</w:t>
            </w:r>
          </w:p>
        </w:tc>
      </w:tr>
    </w:tbl>
    <w:p w:rsidR="001113C4" w:rsidRDefault="00913FB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1113C4" w:rsidRDefault="00913FB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w:t>
      </w:r>
      <w:r>
        <w:rPr>
          <w:rFonts w:eastAsiaTheme="minorEastAsia"/>
          <w:color w:val="000000" w:themeColor="text1"/>
          <w:szCs w:val="21"/>
        </w:rPr>
        <w:t>易等活动，通过系统和人工相结合的方式进行交易执行和监控分析，以确保本公司管理的不同投资组合在授权、研究分析、投资决策、交易执行、业绩评估等投资管理活动相关的环节均得到公平对待。</w:t>
      </w:r>
    </w:p>
    <w:p w:rsidR="001113C4" w:rsidRDefault="00913FBF">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w:t>
      </w:r>
      <w:r>
        <w:rPr>
          <w:rFonts w:eastAsiaTheme="minorEastAsia"/>
          <w:color w:val="000000" w:themeColor="text1"/>
          <w:szCs w:val="21"/>
        </w:rPr>
        <w:t>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1113C4" w:rsidRDefault="00913FB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1113C4" w:rsidRDefault="00913FBF">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今年市场一季度先抑后扬，前期情绪较为悲观并充分在股价中反应，</w:t>
      </w:r>
      <w:r>
        <w:rPr>
          <w:rFonts w:eastAsiaTheme="minorEastAsia"/>
          <w:color w:val="000000" w:themeColor="text1"/>
          <w:szCs w:val="21"/>
        </w:rPr>
        <w:t>2</w:t>
      </w:r>
      <w:r>
        <w:rPr>
          <w:rFonts w:eastAsiaTheme="minorEastAsia"/>
          <w:color w:val="000000" w:themeColor="text1"/>
          <w:szCs w:val="21"/>
        </w:rPr>
        <w:t>月份市场迎来较为强劲的反弹。从行业来看，以资源为主的上游行业表现较好，这些行业多具备资源属性，同时行业资本开支有下降趋势，进而带来现金流的改善，其中相当一部分公司已经具有较高的股息率。而上游相关对应的大宗商品价格由于供给趋紧，同时需求由于海外库存触底以及中国制造业需求好于预期，因而表现也较好，这给上游资源类公司的盈利持续提供保障。医药、计算机、电子、国防军工等行业一季度相对较弱，主要与市场对短期业绩的不确定性担忧有关。</w:t>
      </w:r>
    </w:p>
    <w:p w:rsidR="001113C4" w:rsidRDefault="00913FBF">
      <w:pPr>
        <w:spacing w:line="360" w:lineRule="auto"/>
        <w:ind w:firstLineChars="200" w:firstLine="420"/>
        <w:rPr>
          <w:rFonts w:eastAsiaTheme="minorEastAsia"/>
          <w:color w:val="000000" w:themeColor="text1"/>
          <w:szCs w:val="21"/>
        </w:rPr>
      </w:pPr>
      <w:r>
        <w:rPr>
          <w:rFonts w:eastAsiaTheme="minorEastAsia"/>
          <w:color w:val="000000" w:themeColor="text1"/>
          <w:szCs w:val="21"/>
        </w:rPr>
        <w:t>组合操作层面，延续去年底的</w:t>
      </w:r>
      <w:r>
        <w:rPr>
          <w:rFonts w:eastAsiaTheme="minorEastAsia"/>
          <w:color w:val="000000" w:themeColor="text1"/>
          <w:szCs w:val="21"/>
        </w:rPr>
        <w:t>策略，即在假设总量增长有限的情况下，寻找确定性，这类盈利改善的确定性一部分来源于供给侧的格局改善，也有来源于需求仍有较好增长的细分领域。基于供给侧优化的逻辑，我们重点布局养殖、上游资源、化纤原料等，这些行业过去几年因盈利恶化或政策影响，资本开支受到约束，供给有望收紧，进而带来盈利反转。而在需求端，我们重点关注出口链和算力相关领域。近年来随着中国制造业企业在全球竞争力的提升，制造业出口结构由初级产品向复杂产品提升，如工程机械、电力设备等，在全球基建浪潮中具有提升市场份额的能力。算力方面，随着</w:t>
      </w:r>
      <w:r>
        <w:rPr>
          <w:rFonts w:eastAsiaTheme="minorEastAsia"/>
          <w:color w:val="000000" w:themeColor="text1"/>
          <w:szCs w:val="21"/>
        </w:rPr>
        <w:t>AI</w:t>
      </w:r>
      <w:r>
        <w:rPr>
          <w:rFonts w:eastAsiaTheme="minorEastAsia"/>
          <w:color w:val="000000" w:themeColor="text1"/>
          <w:szCs w:val="21"/>
        </w:rPr>
        <w:t>技术的进步，其</w:t>
      </w:r>
      <w:r>
        <w:rPr>
          <w:rFonts w:eastAsiaTheme="minorEastAsia"/>
          <w:color w:val="000000" w:themeColor="text1"/>
          <w:szCs w:val="21"/>
        </w:rPr>
        <w:t>模型训练和场景应用在国内和海外均处于快速发展中，前期我们认为算力基础设施的受益确定性仍然较强。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展望后市，我们认为前期悲观情绪得到一定修复，但市场也并未立刻转向非常乐观，估值仍处于相对低位。而</w:t>
      </w:r>
      <w:r w:rsidRPr="00B27A29">
        <w:rPr>
          <w:rFonts w:eastAsiaTheme="minorEastAsia"/>
          <w:color w:val="000000" w:themeColor="text1"/>
          <w:szCs w:val="21"/>
        </w:rPr>
        <w:t>3</w:t>
      </w:r>
      <w:r w:rsidRPr="00B27A29">
        <w:rPr>
          <w:rFonts w:eastAsiaTheme="minorEastAsia"/>
          <w:color w:val="000000" w:themeColor="text1"/>
          <w:szCs w:val="21"/>
        </w:rPr>
        <w:t>月份以来，我们正在看到一些边际的积极变化，如海外库存周期正在由去库存转向补库存，国内宏观指标如</w:t>
      </w:r>
      <w:r w:rsidRPr="00B27A29">
        <w:rPr>
          <w:rFonts w:eastAsiaTheme="minorEastAsia"/>
          <w:color w:val="000000" w:themeColor="text1"/>
          <w:szCs w:val="21"/>
        </w:rPr>
        <w:t>PMI</w:t>
      </w:r>
      <w:r w:rsidRPr="00B27A29">
        <w:rPr>
          <w:rFonts w:eastAsiaTheme="minorEastAsia"/>
          <w:color w:val="000000" w:themeColor="text1"/>
          <w:szCs w:val="21"/>
        </w:rPr>
        <w:t>边际也出现积极变化，这预示着经济有望好于此前预期，这可能会带来在顺经济周期行业以及上游资源品景气的改善。从这些角度来看，市场也有望随着企业盈利的边际改善而修复估值，并存在结构性投资机会。</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1113C4" w:rsidRDefault="00913FB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本报告期摩根成长先锋</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:3.01%</w:t>
      </w:r>
      <w:r>
        <w:rPr>
          <w:rFonts w:eastAsiaTheme="minorEastAsia"/>
          <w:color w:val="000000" w:themeColor="text1"/>
          <w:szCs w:val="21"/>
        </w:rPr>
        <w:t>，同期业绩比较基准收益率为</w:t>
      </w:r>
      <w:r>
        <w:rPr>
          <w:rFonts w:eastAsiaTheme="minorEastAsia"/>
          <w:color w:val="000000" w:themeColor="text1"/>
          <w:szCs w:val="21"/>
        </w:rPr>
        <w:t>:2.73%</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摩根成长先锋</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:2.86%</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:2.73%</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697,542,204.45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83.17</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697,542,204.45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83.17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140,852,140.50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16.79</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279,829.32</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838,674,174.27</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34,002,280.72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4.07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98,410,101.08</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11.79</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464,402,251.87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55.64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22,768,502.30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18,362,779.38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59,596,289.10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7.14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697,542,204.45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83.57</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1113C4">
        <w:tc>
          <w:tcPr>
            <w:tcW w:w="817" w:type="dxa"/>
            <w:vAlign w:val="center"/>
          </w:tcPr>
          <w:p w:rsidR="001113C4" w:rsidRDefault="00913FBF">
            <w:pPr>
              <w:jc w:val="center"/>
            </w:pPr>
            <w:r>
              <w:rPr>
                <w:rFonts w:eastAsiaTheme="minorEastAsia"/>
                <w:kern w:val="0"/>
                <w:szCs w:val="21"/>
              </w:rPr>
              <w:t>1</w:t>
            </w:r>
          </w:p>
        </w:tc>
        <w:tc>
          <w:tcPr>
            <w:tcW w:w="1276" w:type="dxa"/>
            <w:vAlign w:val="center"/>
          </w:tcPr>
          <w:p w:rsidR="001113C4" w:rsidRDefault="00913FBF">
            <w:pPr>
              <w:jc w:val="center"/>
            </w:pPr>
            <w:r>
              <w:rPr>
                <w:rFonts w:eastAsiaTheme="minorEastAsia"/>
                <w:kern w:val="0"/>
                <w:szCs w:val="21"/>
              </w:rPr>
              <w:t>002236</w:t>
            </w:r>
          </w:p>
        </w:tc>
        <w:tc>
          <w:tcPr>
            <w:tcW w:w="1701" w:type="dxa"/>
            <w:vAlign w:val="center"/>
          </w:tcPr>
          <w:p w:rsidR="001113C4" w:rsidRDefault="00913FBF">
            <w:pPr>
              <w:jc w:val="center"/>
            </w:pPr>
            <w:r>
              <w:rPr>
                <w:rFonts w:eastAsiaTheme="minorEastAsia"/>
                <w:kern w:val="0"/>
                <w:szCs w:val="21"/>
              </w:rPr>
              <w:t>大华股份</w:t>
            </w:r>
          </w:p>
        </w:tc>
        <w:tc>
          <w:tcPr>
            <w:tcW w:w="1276" w:type="dxa"/>
            <w:vAlign w:val="center"/>
          </w:tcPr>
          <w:p w:rsidR="001113C4" w:rsidRDefault="00913FBF">
            <w:pPr>
              <w:jc w:val="right"/>
            </w:pPr>
            <w:r>
              <w:rPr>
                <w:rFonts w:eastAsiaTheme="minorEastAsia"/>
                <w:kern w:val="0"/>
                <w:szCs w:val="21"/>
              </w:rPr>
              <w:t>1,467,919</w:t>
            </w:r>
          </w:p>
        </w:tc>
        <w:tc>
          <w:tcPr>
            <w:tcW w:w="1842" w:type="dxa"/>
            <w:vAlign w:val="center"/>
          </w:tcPr>
          <w:p w:rsidR="001113C4" w:rsidRDefault="00913FBF">
            <w:pPr>
              <w:jc w:val="right"/>
            </w:pPr>
            <w:r>
              <w:rPr>
                <w:rFonts w:eastAsiaTheme="minorEastAsia"/>
                <w:kern w:val="0"/>
                <w:szCs w:val="21"/>
              </w:rPr>
              <w:t>27,743,669.10</w:t>
            </w:r>
          </w:p>
        </w:tc>
        <w:tc>
          <w:tcPr>
            <w:tcW w:w="1616" w:type="dxa"/>
            <w:vAlign w:val="center"/>
          </w:tcPr>
          <w:p w:rsidR="001113C4" w:rsidRDefault="00913FBF">
            <w:pPr>
              <w:jc w:val="right"/>
            </w:pPr>
            <w:r>
              <w:rPr>
                <w:rFonts w:eastAsiaTheme="minorEastAsia"/>
                <w:kern w:val="0"/>
                <w:szCs w:val="21"/>
              </w:rPr>
              <w:t>3.32</w:t>
            </w:r>
          </w:p>
        </w:tc>
      </w:tr>
      <w:tr w:rsidR="001113C4">
        <w:tc>
          <w:tcPr>
            <w:tcW w:w="817" w:type="dxa"/>
            <w:vAlign w:val="center"/>
          </w:tcPr>
          <w:p w:rsidR="001113C4" w:rsidRDefault="00913FBF">
            <w:pPr>
              <w:jc w:val="center"/>
            </w:pPr>
            <w:r>
              <w:rPr>
                <w:rFonts w:eastAsiaTheme="minorEastAsia"/>
                <w:kern w:val="0"/>
                <w:szCs w:val="21"/>
              </w:rPr>
              <w:t>2</w:t>
            </w:r>
          </w:p>
        </w:tc>
        <w:tc>
          <w:tcPr>
            <w:tcW w:w="1276" w:type="dxa"/>
            <w:vAlign w:val="center"/>
          </w:tcPr>
          <w:p w:rsidR="001113C4" w:rsidRDefault="00913FBF">
            <w:pPr>
              <w:jc w:val="center"/>
            </w:pPr>
            <w:r>
              <w:rPr>
                <w:rFonts w:eastAsiaTheme="minorEastAsia"/>
                <w:kern w:val="0"/>
                <w:szCs w:val="21"/>
              </w:rPr>
              <w:t>603477</w:t>
            </w:r>
          </w:p>
        </w:tc>
        <w:tc>
          <w:tcPr>
            <w:tcW w:w="1701" w:type="dxa"/>
            <w:vAlign w:val="center"/>
          </w:tcPr>
          <w:p w:rsidR="001113C4" w:rsidRDefault="00913FBF">
            <w:pPr>
              <w:jc w:val="center"/>
            </w:pPr>
            <w:r>
              <w:rPr>
                <w:rFonts w:eastAsiaTheme="minorEastAsia"/>
                <w:kern w:val="0"/>
                <w:szCs w:val="21"/>
              </w:rPr>
              <w:t>巨星农牧</w:t>
            </w:r>
          </w:p>
        </w:tc>
        <w:tc>
          <w:tcPr>
            <w:tcW w:w="1276" w:type="dxa"/>
            <w:vAlign w:val="center"/>
          </w:tcPr>
          <w:p w:rsidR="001113C4" w:rsidRDefault="00913FBF">
            <w:pPr>
              <w:jc w:val="right"/>
            </w:pPr>
            <w:r>
              <w:rPr>
                <w:rFonts w:eastAsiaTheme="minorEastAsia"/>
                <w:kern w:val="0"/>
                <w:szCs w:val="21"/>
              </w:rPr>
              <w:t>615,762</w:t>
            </w:r>
          </w:p>
        </w:tc>
        <w:tc>
          <w:tcPr>
            <w:tcW w:w="1842" w:type="dxa"/>
            <w:vAlign w:val="center"/>
          </w:tcPr>
          <w:p w:rsidR="001113C4" w:rsidRDefault="00913FBF">
            <w:pPr>
              <w:jc w:val="right"/>
            </w:pPr>
            <w:r>
              <w:rPr>
                <w:rFonts w:eastAsiaTheme="minorEastAsia"/>
                <w:kern w:val="0"/>
                <w:szCs w:val="21"/>
              </w:rPr>
              <w:t>22,512,258.72</w:t>
            </w:r>
          </w:p>
        </w:tc>
        <w:tc>
          <w:tcPr>
            <w:tcW w:w="1616" w:type="dxa"/>
            <w:vAlign w:val="center"/>
          </w:tcPr>
          <w:p w:rsidR="001113C4" w:rsidRDefault="00913FBF">
            <w:pPr>
              <w:jc w:val="right"/>
            </w:pPr>
            <w:r>
              <w:rPr>
                <w:rFonts w:eastAsiaTheme="minorEastAsia"/>
                <w:kern w:val="0"/>
                <w:szCs w:val="21"/>
              </w:rPr>
              <w:t>2.70</w:t>
            </w:r>
          </w:p>
        </w:tc>
      </w:tr>
      <w:tr w:rsidR="001113C4">
        <w:tc>
          <w:tcPr>
            <w:tcW w:w="817" w:type="dxa"/>
            <w:vAlign w:val="center"/>
          </w:tcPr>
          <w:p w:rsidR="001113C4" w:rsidRDefault="00913FBF">
            <w:pPr>
              <w:jc w:val="center"/>
            </w:pPr>
            <w:r>
              <w:rPr>
                <w:rFonts w:eastAsiaTheme="minorEastAsia"/>
                <w:kern w:val="0"/>
                <w:szCs w:val="21"/>
              </w:rPr>
              <w:t>3</w:t>
            </w:r>
          </w:p>
        </w:tc>
        <w:tc>
          <w:tcPr>
            <w:tcW w:w="1276" w:type="dxa"/>
            <w:vAlign w:val="center"/>
          </w:tcPr>
          <w:p w:rsidR="001113C4" w:rsidRDefault="00913FBF">
            <w:pPr>
              <w:jc w:val="center"/>
            </w:pPr>
            <w:r>
              <w:rPr>
                <w:rFonts w:eastAsiaTheme="minorEastAsia"/>
                <w:kern w:val="0"/>
                <w:szCs w:val="21"/>
              </w:rPr>
              <w:t>002028</w:t>
            </w:r>
          </w:p>
        </w:tc>
        <w:tc>
          <w:tcPr>
            <w:tcW w:w="1701" w:type="dxa"/>
            <w:vAlign w:val="center"/>
          </w:tcPr>
          <w:p w:rsidR="001113C4" w:rsidRDefault="00913FBF">
            <w:pPr>
              <w:jc w:val="center"/>
            </w:pPr>
            <w:r>
              <w:rPr>
                <w:rFonts w:eastAsiaTheme="minorEastAsia"/>
                <w:kern w:val="0"/>
                <w:szCs w:val="21"/>
              </w:rPr>
              <w:t>思源电气</w:t>
            </w:r>
          </w:p>
        </w:tc>
        <w:tc>
          <w:tcPr>
            <w:tcW w:w="1276" w:type="dxa"/>
            <w:vAlign w:val="center"/>
          </w:tcPr>
          <w:p w:rsidR="001113C4" w:rsidRDefault="00913FBF">
            <w:pPr>
              <w:jc w:val="right"/>
            </w:pPr>
            <w:r>
              <w:rPr>
                <w:rFonts w:eastAsiaTheme="minorEastAsia"/>
                <w:kern w:val="0"/>
                <w:szCs w:val="21"/>
              </w:rPr>
              <w:t>355,695</w:t>
            </w:r>
          </w:p>
        </w:tc>
        <w:tc>
          <w:tcPr>
            <w:tcW w:w="1842" w:type="dxa"/>
            <w:vAlign w:val="center"/>
          </w:tcPr>
          <w:p w:rsidR="001113C4" w:rsidRDefault="00913FBF">
            <w:pPr>
              <w:jc w:val="right"/>
            </w:pPr>
            <w:r>
              <w:rPr>
                <w:rFonts w:eastAsiaTheme="minorEastAsia"/>
                <w:kern w:val="0"/>
                <w:szCs w:val="21"/>
              </w:rPr>
              <w:t>21,217,206.75</w:t>
            </w:r>
          </w:p>
        </w:tc>
        <w:tc>
          <w:tcPr>
            <w:tcW w:w="1616" w:type="dxa"/>
            <w:vAlign w:val="center"/>
          </w:tcPr>
          <w:p w:rsidR="001113C4" w:rsidRDefault="00913FBF">
            <w:pPr>
              <w:jc w:val="right"/>
            </w:pPr>
            <w:r>
              <w:rPr>
                <w:rFonts w:eastAsiaTheme="minorEastAsia"/>
                <w:kern w:val="0"/>
                <w:szCs w:val="21"/>
              </w:rPr>
              <w:t>2.54</w:t>
            </w:r>
          </w:p>
        </w:tc>
      </w:tr>
      <w:tr w:rsidR="001113C4">
        <w:tc>
          <w:tcPr>
            <w:tcW w:w="817" w:type="dxa"/>
            <w:vAlign w:val="center"/>
          </w:tcPr>
          <w:p w:rsidR="001113C4" w:rsidRDefault="00913FBF">
            <w:pPr>
              <w:jc w:val="center"/>
            </w:pPr>
            <w:r>
              <w:rPr>
                <w:rFonts w:eastAsiaTheme="minorEastAsia"/>
                <w:kern w:val="0"/>
                <w:szCs w:val="21"/>
              </w:rPr>
              <w:t>4</w:t>
            </w:r>
          </w:p>
        </w:tc>
        <w:tc>
          <w:tcPr>
            <w:tcW w:w="1276" w:type="dxa"/>
            <w:vAlign w:val="center"/>
          </w:tcPr>
          <w:p w:rsidR="001113C4" w:rsidRDefault="00913FBF">
            <w:pPr>
              <w:jc w:val="center"/>
            </w:pPr>
            <w:r>
              <w:rPr>
                <w:rFonts w:eastAsiaTheme="minorEastAsia"/>
                <w:kern w:val="0"/>
                <w:szCs w:val="21"/>
              </w:rPr>
              <w:t>300308</w:t>
            </w:r>
          </w:p>
        </w:tc>
        <w:tc>
          <w:tcPr>
            <w:tcW w:w="1701" w:type="dxa"/>
            <w:vAlign w:val="center"/>
          </w:tcPr>
          <w:p w:rsidR="001113C4" w:rsidRDefault="00913FBF">
            <w:pPr>
              <w:jc w:val="center"/>
            </w:pPr>
            <w:r>
              <w:rPr>
                <w:rFonts w:eastAsiaTheme="minorEastAsia"/>
                <w:kern w:val="0"/>
                <w:szCs w:val="21"/>
              </w:rPr>
              <w:t>中际旭创</w:t>
            </w:r>
          </w:p>
        </w:tc>
        <w:tc>
          <w:tcPr>
            <w:tcW w:w="1276" w:type="dxa"/>
            <w:vAlign w:val="center"/>
          </w:tcPr>
          <w:p w:rsidR="001113C4" w:rsidRDefault="00913FBF">
            <w:pPr>
              <w:jc w:val="right"/>
            </w:pPr>
            <w:r>
              <w:rPr>
                <w:rFonts w:eastAsiaTheme="minorEastAsia"/>
                <w:kern w:val="0"/>
                <w:szCs w:val="21"/>
              </w:rPr>
              <w:t>127,599</w:t>
            </w:r>
          </w:p>
        </w:tc>
        <w:tc>
          <w:tcPr>
            <w:tcW w:w="1842" w:type="dxa"/>
            <w:vAlign w:val="center"/>
          </w:tcPr>
          <w:p w:rsidR="001113C4" w:rsidRDefault="00913FBF">
            <w:pPr>
              <w:jc w:val="right"/>
            </w:pPr>
            <w:r>
              <w:rPr>
                <w:rFonts w:eastAsiaTheme="minorEastAsia"/>
                <w:kern w:val="0"/>
                <w:szCs w:val="21"/>
              </w:rPr>
              <w:t>19,976,899.44</w:t>
            </w:r>
          </w:p>
        </w:tc>
        <w:tc>
          <w:tcPr>
            <w:tcW w:w="1616" w:type="dxa"/>
            <w:vAlign w:val="center"/>
          </w:tcPr>
          <w:p w:rsidR="001113C4" w:rsidRDefault="00913FBF">
            <w:pPr>
              <w:jc w:val="right"/>
            </w:pPr>
            <w:r>
              <w:rPr>
                <w:rFonts w:eastAsiaTheme="minorEastAsia"/>
                <w:kern w:val="0"/>
                <w:szCs w:val="21"/>
              </w:rPr>
              <w:t>2.39</w:t>
            </w:r>
          </w:p>
        </w:tc>
      </w:tr>
      <w:tr w:rsidR="001113C4">
        <w:tc>
          <w:tcPr>
            <w:tcW w:w="817" w:type="dxa"/>
            <w:vAlign w:val="center"/>
          </w:tcPr>
          <w:p w:rsidR="001113C4" w:rsidRDefault="00913FBF">
            <w:pPr>
              <w:jc w:val="center"/>
            </w:pPr>
            <w:r>
              <w:rPr>
                <w:rFonts w:eastAsiaTheme="minorEastAsia"/>
                <w:kern w:val="0"/>
                <w:szCs w:val="21"/>
              </w:rPr>
              <w:t>5</w:t>
            </w:r>
          </w:p>
        </w:tc>
        <w:tc>
          <w:tcPr>
            <w:tcW w:w="1276" w:type="dxa"/>
            <w:vAlign w:val="center"/>
          </w:tcPr>
          <w:p w:rsidR="001113C4" w:rsidRDefault="00913FBF">
            <w:pPr>
              <w:jc w:val="center"/>
            </w:pPr>
            <w:r>
              <w:rPr>
                <w:rFonts w:eastAsiaTheme="minorEastAsia"/>
                <w:kern w:val="0"/>
                <w:szCs w:val="21"/>
              </w:rPr>
              <w:t>601899</w:t>
            </w:r>
          </w:p>
        </w:tc>
        <w:tc>
          <w:tcPr>
            <w:tcW w:w="1701" w:type="dxa"/>
            <w:vAlign w:val="center"/>
          </w:tcPr>
          <w:p w:rsidR="001113C4" w:rsidRDefault="00913FBF">
            <w:pPr>
              <w:jc w:val="center"/>
            </w:pPr>
            <w:r>
              <w:rPr>
                <w:rFonts w:eastAsiaTheme="minorEastAsia"/>
                <w:kern w:val="0"/>
                <w:szCs w:val="21"/>
              </w:rPr>
              <w:t>紫金矿业</w:t>
            </w:r>
          </w:p>
        </w:tc>
        <w:tc>
          <w:tcPr>
            <w:tcW w:w="1276" w:type="dxa"/>
            <w:vAlign w:val="center"/>
          </w:tcPr>
          <w:p w:rsidR="001113C4" w:rsidRDefault="00913FBF">
            <w:pPr>
              <w:jc w:val="right"/>
            </w:pPr>
            <w:r>
              <w:rPr>
                <w:rFonts w:eastAsiaTheme="minorEastAsia"/>
                <w:kern w:val="0"/>
                <w:szCs w:val="21"/>
              </w:rPr>
              <w:t>1,183,500</w:t>
            </w:r>
          </w:p>
        </w:tc>
        <w:tc>
          <w:tcPr>
            <w:tcW w:w="1842" w:type="dxa"/>
            <w:vAlign w:val="center"/>
          </w:tcPr>
          <w:p w:rsidR="001113C4" w:rsidRDefault="00913FBF">
            <w:pPr>
              <w:jc w:val="right"/>
            </w:pPr>
            <w:r>
              <w:rPr>
                <w:rFonts w:eastAsiaTheme="minorEastAsia"/>
                <w:kern w:val="0"/>
                <w:szCs w:val="21"/>
              </w:rPr>
              <w:t>19,906,470.00</w:t>
            </w:r>
          </w:p>
        </w:tc>
        <w:tc>
          <w:tcPr>
            <w:tcW w:w="1616" w:type="dxa"/>
            <w:vAlign w:val="center"/>
          </w:tcPr>
          <w:p w:rsidR="001113C4" w:rsidRDefault="00913FBF">
            <w:pPr>
              <w:jc w:val="right"/>
            </w:pPr>
            <w:r>
              <w:rPr>
                <w:rFonts w:eastAsiaTheme="minorEastAsia"/>
                <w:kern w:val="0"/>
                <w:szCs w:val="21"/>
              </w:rPr>
              <w:t>2.38</w:t>
            </w:r>
          </w:p>
        </w:tc>
      </w:tr>
      <w:tr w:rsidR="001113C4">
        <w:tc>
          <w:tcPr>
            <w:tcW w:w="817" w:type="dxa"/>
            <w:vAlign w:val="center"/>
          </w:tcPr>
          <w:p w:rsidR="001113C4" w:rsidRDefault="00913FBF">
            <w:pPr>
              <w:jc w:val="center"/>
            </w:pPr>
            <w:r>
              <w:rPr>
                <w:rFonts w:eastAsiaTheme="minorEastAsia"/>
                <w:kern w:val="0"/>
                <w:szCs w:val="21"/>
              </w:rPr>
              <w:t>6</w:t>
            </w:r>
          </w:p>
        </w:tc>
        <w:tc>
          <w:tcPr>
            <w:tcW w:w="1276" w:type="dxa"/>
            <w:vAlign w:val="center"/>
          </w:tcPr>
          <w:p w:rsidR="001113C4" w:rsidRDefault="00913FBF">
            <w:pPr>
              <w:jc w:val="center"/>
            </w:pPr>
            <w:r>
              <w:rPr>
                <w:rFonts w:eastAsiaTheme="minorEastAsia"/>
                <w:kern w:val="0"/>
                <w:szCs w:val="21"/>
              </w:rPr>
              <w:t>603806</w:t>
            </w:r>
          </w:p>
        </w:tc>
        <w:tc>
          <w:tcPr>
            <w:tcW w:w="1701" w:type="dxa"/>
            <w:vAlign w:val="center"/>
          </w:tcPr>
          <w:p w:rsidR="001113C4" w:rsidRDefault="00913FBF">
            <w:pPr>
              <w:jc w:val="center"/>
            </w:pPr>
            <w:r>
              <w:rPr>
                <w:rFonts w:eastAsiaTheme="minorEastAsia"/>
                <w:kern w:val="0"/>
                <w:szCs w:val="21"/>
              </w:rPr>
              <w:t>福斯特</w:t>
            </w:r>
          </w:p>
        </w:tc>
        <w:tc>
          <w:tcPr>
            <w:tcW w:w="1276" w:type="dxa"/>
            <w:vAlign w:val="center"/>
          </w:tcPr>
          <w:p w:rsidR="001113C4" w:rsidRDefault="00913FBF">
            <w:pPr>
              <w:jc w:val="right"/>
            </w:pPr>
            <w:r>
              <w:rPr>
                <w:rFonts w:eastAsiaTheme="minorEastAsia"/>
                <w:kern w:val="0"/>
                <w:szCs w:val="21"/>
              </w:rPr>
              <w:t>697,213</w:t>
            </w:r>
          </w:p>
        </w:tc>
        <w:tc>
          <w:tcPr>
            <w:tcW w:w="1842" w:type="dxa"/>
            <w:vAlign w:val="center"/>
          </w:tcPr>
          <w:p w:rsidR="001113C4" w:rsidRDefault="00913FBF">
            <w:pPr>
              <w:jc w:val="right"/>
            </w:pPr>
            <w:r>
              <w:rPr>
                <w:rFonts w:eastAsiaTheme="minorEastAsia"/>
                <w:kern w:val="0"/>
                <w:szCs w:val="21"/>
              </w:rPr>
              <w:t>19,807,821.33</w:t>
            </w:r>
          </w:p>
        </w:tc>
        <w:tc>
          <w:tcPr>
            <w:tcW w:w="1616" w:type="dxa"/>
            <w:vAlign w:val="center"/>
          </w:tcPr>
          <w:p w:rsidR="001113C4" w:rsidRDefault="00913FBF">
            <w:pPr>
              <w:jc w:val="right"/>
            </w:pPr>
            <w:r>
              <w:rPr>
                <w:rFonts w:eastAsiaTheme="minorEastAsia"/>
                <w:kern w:val="0"/>
                <w:szCs w:val="21"/>
              </w:rPr>
              <w:t>2.37</w:t>
            </w:r>
          </w:p>
        </w:tc>
      </w:tr>
      <w:tr w:rsidR="001113C4">
        <w:tc>
          <w:tcPr>
            <w:tcW w:w="817" w:type="dxa"/>
            <w:vAlign w:val="center"/>
          </w:tcPr>
          <w:p w:rsidR="001113C4" w:rsidRDefault="00913FBF">
            <w:pPr>
              <w:jc w:val="center"/>
            </w:pPr>
            <w:r>
              <w:rPr>
                <w:rFonts w:eastAsiaTheme="minorEastAsia"/>
                <w:kern w:val="0"/>
                <w:szCs w:val="21"/>
              </w:rPr>
              <w:t>7</w:t>
            </w:r>
          </w:p>
        </w:tc>
        <w:tc>
          <w:tcPr>
            <w:tcW w:w="1276" w:type="dxa"/>
            <w:vAlign w:val="center"/>
          </w:tcPr>
          <w:p w:rsidR="001113C4" w:rsidRDefault="00913FBF">
            <w:pPr>
              <w:jc w:val="center"/>
            </w:pPr>
            <w:r>
              <w:rPr>
                <w:rFonts w:eastAsiaTheme="minorEastAsia"/>
                <w:kern w:val="0"/>
                <w:szCs w:val="21"/>
              </w:rPr>
              <w:t>688676</w:t>
            </w:r>
          </w:p>
        </w:tc>
        <w:tc>
          <w:tcPr>
            <w:tcW w:w="1701" w:type="dxa"/>
            <w:vAlign w:val="center"/>
          </w:tcPr>
          <w:p w:rsidR="001113C4" w:rsidRDefault="00913FBF">
            <w:pPr>
              <w:jc w:val="center"/>
            </w:pPr>
            <w:r>
              <w:rPr>
                <w:rFonts w:eastAsiaTheme="minorEastAsia"/>
                <w:kern w:val="0"/>
                <w:szCs w:val="21"/>
              </w:rPr>
              <w:t>金盘科技</w:t>
            </w:r>
          </w:p>
        </w:tc>
        <w:tc>
          <w:tcPr>
            <w:tcW w:w="1276" w:type="dxa"/>
            <w:vAlign w:val="center"/>
          </w:tcPr>
          <w:p w:rsidR="001113C4" w:rsidRDefault="00913FBF">
            <w:pPr>
              <w:jc w:val="right"/>
            </w:pPr>
            <w:r>
              <w:rPr>
                <w:rFonts w:eastAsiaTheme="minorEastAsia"/>
                <w:kern w:val="0"/>
                <w:szCs w:val="21"/>
              </w:rPr>
              <w:t>478,706</w:t>
            </w:r>
          </w:p>
        </w:tc>
        <w:tc>
          <w:tcPr>
            <w:tcW w:w="1842" w:type="dxa"/>
            <w:vAlign w:val="center"/>
          </w:tcPr>
          <w:p w:rsidR="001113C4" w:rsidRDefault="00913FBF">
            <w:pPr>
              <w:jc w:val="right"/>
            </w:pPr>
            <w:r>
              <w:rPr>
                <w:rFonts w:eastAsiaTheme="minorEastAsia"/>
                <w:kern w:val="0"/>
                <w:szCs w:val="21"/>
              </w:rPr>
              <w:t>18,942,396.42</w:t>
            </w:r>
          </w:p>
        </w:tc>
        <w:tc>
          <w:tcPr>
            <w:tcW w:w="1616" w:type="dxa"/>
            <w:vAlign w:val="center"/>
          </w:tcPr>
          <w:p w:rsidR="001113C4" w:rsidRDefault="00913FBF">
            <w:pPr>
              <w:jc w:val="right"/>
            </w:pPr>
            <w:r>
              <w:rPr>
                <w:rFonts w:eastAsiaTheme="minorEastAsia"/>
                <w:kern w:val="0"/>
                <w:szCs w:val="21"/>
              </w:rPr>
              <w:t>2.27</w:t>
            </w:r>
          </w:p>
        </w:tc>
      </w:tr>
      <w:tr w:rsidR="001113C4">
        <w:tc>
          <w:tcPr>
            <w:tcW w:w="817" w:type="dxa"/>
            <w:vAlign w:val="center"/>
          </w:tcPr>
          <w:p w:rsidR="001113C4" w:rsidRDefault="00913FBF">
            <w:pPr>
              <w:jc w:val="center"/>
            </w:pPr>
            <w:r>
              <w:rPr>
                <w:rFonts w:eastAsiaTheme="minorEastAsia"/>
                <w:kern w:val="0"/>
                <w:szCs w:val="21"/>
              </w:rPr>
              <w:t>8</w:t>
            </w:r>
          </w:p>
        </w:tc>
        <w:tc>
          <w:tcPr>
            <w:tcW w:w="1276" w:type="dxa"/>
            <w:vAlign w:val="center"/>
          </w:tcPr>
          <w:p w:rsidR="001113C4" w:rsidRDefault="00913FBF">
            <w:pPr>
              <w:jc w:val="center"/>
            </w:pPr>
            <w:r>
              <w:rPr>
                <w:rFonts w:eastAsiaTheme="minorEastAsia"/>
                <w:kern w:val="0"/>
                <w:szCs w:val="21"/>
              </w:rPr>
              <w:t>603993</w:t>
            </w:r>
          </w:p>
        </w:tc>
        <w:tc>
          <w:tcPr>
            <w:tcW w:w="1701" w:type="dxa"/>
            <w:vAlign w:val="center"/>
          </w:tcPr>
          <w:p w:rsidR="001113C4" w:rsidRDefault="00913FBF">
            <w:pPr>
              <w:jc w:val="center"/>
            </w:pPr>
            <w:r>
              <w:rPr>
                <w:rFonts w:eastAsiaTheme="minorEastAsia"/>
                <w:kern w:val="0"/>
                <w:szCs w:val="21"/>
              </w:rPr>
              <w:t>洛阳钼业</w:t>
            </w:r>
          </w:p>
        </w:tc>
        <w:tc>
          <w:tcPr>
            <w:tcW w:w="1276" w:type="dxa"/>
            <w:vAlign w:val="center"/>
          </w:tcPr>
          <w:p w:rsidR="001113C4" w:rsidRDefault="00913FBF">
            <w:pPr>
              <w:jc w:val="right"/>
            </w:pPr>
            <w:r>
              <w:rPr>
                <w:rFonts w:eastAsiaTheme="minorEastAsia"/>
                <w:kern w:val="0"/>
                <w:szCs w:val="21"/>
              </w:rPr>
              <w:t>2,267,900</w:t>
            </w:r>
          </w:p>
        </w:tc>
        <w:tc>
          <w:tcPr>
            <w:tcW w:w="1842" w:type="dxa"/>
            <w:vAlign w:val="center"/>
          </w:tcPr>
          <w:p w:rsidR="001113C4" w:rsidRDefault="00913FBF">
            <w:pPr>
              <w:jc w:val="right"/>
            </w:pPr>
            <w:r>
              <w:rPr>
                <w:rFonts w:eastAsiaTheme="minorEastAsia"/>
                <w:kern w:val="0"/>
                <w:szCs w:val="21"/>
              </w:rPr>
              <w:t>18,868,928.00</w:t>
            </w:r>
          </w:p>
        </w:tc>
        <w:tc>
          <w:tcPr>
            <w:tcW w:w="1616" w:type="dxa"/>
            <w:vAlign w:val="center"/>
          </w:tcPr>
          <w:p w:rsidR="001113C4" w:rsidRDefault="00913FBF">
            <w:pPr>
              <w:jc w:val="right"/>
            </w:pPr>
            <w:r>
              <w:rPr>
                <w:rFonts w:eastAsiaTheme="minorEastAsia"/>
                <w:kern w:val="0"/>
                <w:szCs w:val="21"/>
              </w:rPr>
              <w:t>2.26</w:t>
            </w:r>
          </w:p>
        </w:tc>
      </w:tr>
      <w:tr w:rsidR="001113C4">
        <w:tc>
          <w:tcPr>
            <w:tcW w:w="817" w:type="dxa"/>
            <w:vAlign w:val="center"/>
          </w:tcPr>
          <w:p w:rsidR="001113C4" w:rsidRDefault="00913FBF">
            <w:pPr>
              <w:jc w:val="center"/>
            </w:pPr>
            <w:r>
              <w:rPr>
                <w:rFonts w:eastAsiaTheme="minorEastAsia"/>
                <w:kern w:val="0"/>
                <w:szCs w:val="21"/>
              </w:rPr>
              <w:t>9</w:t>
            </w:r>
          </w:p>
        </w:tc>
        <w:tc>
          <w:tcPr>
            <w:tcW w:w="1276" w:type="dxa"/>
            <w:vAlign w:val="center"/>
          </w:tcPr>
          <w:p w:rsidR="001113C4" w:rsidRDefault="00913FBF">
            <w:pPr>
              <w:jc w:val="center"/>
            </w:pPr>
            <w:r>
              <w:rPr>
                <w:rFonts w:eastAsiaTheme="minorEastAsia"/>
                <w:kern w:val="0"/>
                <w:szCs w:val="21"/>
              </w:rPr>
              <w:t>000400</w:t>
            </w:r>
          </w:p>
        </w:tc>
        <w:tc>
          <w:tcPr>
            <w:tcW w:w="1701" w:type="dxa"/>
            <w:vAlign w:val="center"/>
          </w:tcPr>
          <w:p w:rsidR="001113C4" w:rsidRDefault="00913FBF">
            <w:pPr>
              <w:jc w:val="center"/>
            </w:pPr>
            <w:r>
              <w:rPr>
                <w:rFonts w:eastAsiaTheme="minorEastAsia"/>
                <w:kern w:val="0"/>
                <w:szCs w:val="21"/>
              </w:rPr>
              <w:t>许继电气</w:t>
            </w:r>
          </w:p>
        </w:tc>
        <w:tc>
          <w:tcPr>
            <w:tcW w:w="1276" w:type="dxa"/>
            <w:vAlign w:val="center"/>
          </w:tcPr>
          <w:p w:rsidR="001113C4" w:rsidRDefault="00913FBF">
            <w:pPr>
              <w:jc w:val="right"/>
            </w:pPr>
            <w:r>
              <w:rPr>
                <w:rFonts w:eastAsiaTheme="minorEastAsia"/>
                <w:kern w:val="0"/>
                <w:szCs w:val="21"/>
              </w:rPr>
              <w:t>729,956</w:t>
            </w:r>
          </w:p>
        </w:tc>
        <w:tc>
          <w:tcPr>
            <w:tcW w:w="1842" w:type="dxa"/>
            <w:vAlign w:val="center"/>
          </w:tcPr>
          <w:p w:rsidR="001113C4" w:rsidRDefault="00913FBF">
            <w:pPr>
              <w:jc w:val="right"/>
            </w:pPr>
            <w:r>
              <w:rPr>
                <w:rFonts w:eastAsiaTheme="minorEastAsia"/>
                <w:kern w:val="0"/>
                <w:szCs w:val="21"/>
              </w:rPr>
              <w:t>18,234,300.88</w:t>
            </w:r>
          </w:p>
        </w:tc>
        <w:tc>
          <w:tcPr>
            <w:tcW w:w="1616" w:type="dxa"/>
            <w:vAlign w:val="center"/>
          </w:tcPr>
          <w:p w:rsidR="001113C4" w:rsidRDefault="00913FBF">
            <w:pPr>
              <w:jc w:val="right"/>
            </w:pPr>
            <w:r>
              <w:rPr>
                <w:rFonts w:eastAsiaTheme="minorEastAsia"/>
                <w:kern w:val="0"/>
                <w:szCs w:val="21"/>
              </w:rPr>
              <w:t>2.18</w:t>
            </w:r>
          </w:p>
        </w:tc>
      </w:tr>
      <w:tr w:rsidR="001113C4">
        <w:tc>
          <w:tcPr>
            <w:tcW w:w="817" w:type="dxa"/>
            <w:vAlign w:val="center"/>
          </w:tcPr>
          <w:p w:rsidR="001113C4" w:rsidRDefault="00913FBF">
            <w:pPr>
              <w:jc w:val="center"/>
            </w:pPr>
            <w:r>
              <w:rPr>
                <w:rFonts w:eastAsiaTheme="minorEastAsia"/>
                <w:kern w:val="0"/>
                <w:szCs w:val="21"/>
              </w:rPr>
              <w:t>10</w:t>
            </w:r>
          </w:p>
        </w:tc>
        <w:tc>
          <w:tcPr>
            <w:tcW w:w="1276" w:type="dxa"/>
            <w:vAlign w:val="center"/>
          </w:tcPr>
          <w:p w:rsidR="001113C4" w:rsidRDefault="00913FBF">
            <w:pPr>
              <w:jc w:val="center"/>
            </w:pPr>
            <w:r>
              <w:rPr>
                <w:rFonts w:eastAsiaTheme="minorEastAsia"/>
                <w:kern w:val="0"/>
                <w:szCs w:val="21"/>
              </w:rPr>
              <w:t>002270</w:t>
            </w:r>
          </w:p>
        </w:tc>
        <w:tc>
          <w:tcPr>
            <w:tcW w:w="1701" w:type="dxa"/>
            <w:vAlign w:val="center"/>
          </w:tcPr>
          <w:p w:rsidR="001113C4" w:rsidRDefault="00913FBF">
            <w:pPr>
              <w:jc w:val="center"/>
            </w:pPr>
            <w:r>
              <w:rPr>
                <w:rFonts w:eastAsiaTheme="minorEastAsia"/>
                <w:kern w:val="0"/>
                <w:szCs w:val="21"/>
              </w:rPr>
              <w:t>华明装备</w:t>
            </w:r>
          </w:p>
        </w:tc>
        <w:tc>
          <w:tcPr>
            <w:tcW w:w="1276" w:type="dxa"/>
            <w:vAlign w:val="center"/>
          </w:tcPr>
          <w:p w:rsidR="001113C4" w:rsidRDefault="00913FBF">
            <w:pPr>
              <w:jc w:val="right"/>
            </w:pPr>
            <w:r>
              <w:rPr>
                <w:rFonts w:eastAsiaTheme="minorEastAsia"/>
                <w:kern w:val="0"/>
                <w:szCs w:val="21"/>
              </w:rPr>
              <w:t>1,001,315</w:t>
            </w:r>
          </w:p>
        </w:tc>
        <w:tc>
          <w:tcPr>
            <w:tcW w:w="1842" w:type="dxa"/>
            <w:vAlign w:val="center"/>
          </w:tcPr>
          <w:p w:rsidR="001113C4" w:rsidRDefault="00913FBF">
            <w:pPr>
              <w:jc w:val="right"/>
            </w:pPr>
            <w:r>
              <w:rPr>
                <w:rFonts w:eastAsiaTheme="minorEastAsia"/>
                <w:kern w:val="0"/>
                <w:szCs w:val="21"/>
              </w:rPr>
              <w:t>18,173,867.25</w:t>
            </w:r>
          </w:p>
        </w:tc>
        <w:tc>
          <w:tcPr>
            <w:tcW w:w="1616" w:type="dxa"/>
            <w:vAlign w:val="center"/>
          </w:tcPr>
          <w:p w:rsidR="001113C4" w:rsidRDefault="00913FBF">
            <w:pPr>
              <w:jc w:val="right"/>
            </w:pPr>
            <w:r>
              <w:rPr>
                <w:rFonts w:eastAsiaTheme="minorEastAsia"/>
                <w:kern w:val="0"/>
                <w:szCs w:val="21"/>
              </w:rPr>
              <w:t>2.18</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lastRenderedPageBreak/>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207,095.33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72,733.99</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279,829.32</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摩根成长先锋混合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摩根成长先锋混合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655,716,524.84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61,532,599.93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13,805,757.63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7,850,493.13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37,548,738.74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94,652.97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631,973,543.73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69,288,440.09</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摩根成长先锋混合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摩根成长先锋混合</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419,298.48</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419,298.48</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0.06</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1113C4" w:rsidRDefault="00913FBF">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、中国证监会批准本基金募集的文件</w:t>
      </w:r>
    </w:p>
    <w:p w:rsidR="001113C4" w:rsidRDefault="00913FBF">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、摩根成长先锋混合型证券投资基金基金合同</w:t>
      </w:r>
    </w:p>
    <w:p w:rsidR="001113C4" w:rsidRDefault="00913FBF">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、摩根成长先锋混合型证券投资基金托管协议</w:t>
      </w:r>
    </w:p>
    <w:p w:rsidR="001113C4" w:rsidRDefault="00913FBF">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rsidR="001113C4" w:rsidRDefault="00913FBF">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1113C4" w:rsidRDefault="00913FBF">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rsidR="001113C4" w:rsidRDefault="00913FBF">
      <w:pPr>
        <w:spacing w:line="360" w:lineRule="auto"/>
        <w:ind w:firstLineChars="200" w:firstLine="420"/>
        <w:rPr>
          <w:rFonts w:eastAsiaTheme="minorEastAsia"/>
          <w:color w:val="000000" w:themeColor="text1"/>
          <w:szCs w:val="21"/>
        </w:rPr>
      </w:pPr>
      <w:r>
        <w:rPr>
          <w:rFonts w:eastAsiaTheme="minorEastAsia"/>
          <w:color w:val="000000" w:themeColor="text1"/>
          <w:szCs w:val="21"/>
        </w:rPr>
        <w:t>7</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8</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13FBF">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13FBF">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913FBF">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摩根成长先锋混合型证券投资基金</w:t>
    </w:r>
    <w:r>
      <w:t>2024</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13C4"/>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3FBF"/>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3D9EDF-9014-4DDC-AE0F-EA65C2255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TotalTime>
  <Pages>13</Pages>
  <Words>1147</Words>
  <Characters>6543</Characters>
  <Application>Microsoft Office Word</Application>
  <DocSecurity>0</DocSecurity>
  <Lines>54</Lines>
  <Paragraphs>15</Paragraphs>
  <ScaleCrop>false</ScaleCrop>
  <Company>TRT. Ltd. Co.</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Niki.Jiang@GMC</cp:lastModifiedBy>
  <cp:revision>220</cp:revision>
  <cp:lastPrinted>2007-07-19T00:46:00Z</cp:lastPrinted>
  <dcterms:created xsi:type="dcterms:W3CDTF">2013-06-21T06:56:00Z</dcterms:created>
  <dcterms:modified xsi:type="dcterms:W3CDTF">2024-04-19T02:21:00Z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