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B841FE" w14:textId="77777777" w:rsidR="00C77304" w:rsidRDefault="00C77304">
      <w:pPr>
        <w:spacing w:line="360" w:lineRule="auto"/>
        <w:rPr>
          <w:rFonts w:ascii="宋体" w:hAnsi="宋体" w:hint="eastAsia"/>
          <w:sz w:val="48"/>
        </w:rPr>
      </w:pPr>
      <w:r>
        <w:rPr>
          <w:rFonts w:ascii="宋体" w:hAnsi="宋体" w:hint="eastAsia"/>
          <w:sz w:val="48"/>
        </w:rPr>
        <w:t xml:space="preserve">　 </w:t>
      </w:r>
    </w:p>
    <w:p w14:paraId="38C8B246" w14:textId="77777777" w:rsidR="00C77304" w:rsidRDefault="00C77304">
      <w:pPr>
        <w:spacing w:line="360" w:lineRule="auto"/>
        <w:rPr>
          <w:rFonts w:ascii="宋体" w:hAnsi="宋体" w:hint="eastAsia"/>
          <w:sz w:val="48"/>
        </w:rPr>
      </w:pPr>
      <w:r>
        <w:rPr>
          <w:rFonts w:ascii="宋体" w:hAnsi="宋体" w:hint="eastAsia"/>
          <w:sz w:val="48"/>
        </w:rPr>
        <w:t xml:space="preserve">　 </w:t>
      </w:r>
    </w:p>
    <w:p w14:paraId="066BEACB" w14:textId="77777777" w:rsidR="00C77304" w:rsidRDefault="00C7730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摩根全球天然资源混合型证券投资基金(QDII)</w:t>
      </w:r>
      <w:r>
        <w:rPr>
          <w:rFonts w:ascii="宋体" w:hAnsi="宋体" w:hint="eastAsia"/>
          <w:b/>
          <w:bCs/>
          <w:sz w:val="48"/>
          <w:szCs w:val="48"/>
        </w:rPr>
        <w:br/>
        <w:t>2026年第1季度报告</w:t>
      </w:r>
    </w:p>
    <w:p w14:paraId="751B2C88" w14:textId="77777777" w:rsidR="00C77304" w:rsidRDefault="00C77304">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2E8865DA" w14:textId="77777777" w:rsidR="00C77304" w:rsidRDefault="00C77304">
      <w:pPr>
        <w:spacing w:line="360" w:lineRule="auto"/>
        <w:jc w:val="center"/>
      </w:pPr>
      <w:r>
        <w:rPr>
          <w:rFonts w:ascii="宋体" w:hAnsi="宋体" w:hint="eastAsia"/>
          <w:b/>
          <w:bCs/>
          <w:sz w:val="28"/>
          <w:szCs w:val="30"/>
        </w:rPr>
        <w:t>2026年3月31日</w:t>
      </w:r>
    </w:p>
    <w:p w14:paraId="41B82D31"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1AA9833"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89DCFD8"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93B59D9"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4F2C580"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08FC074"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5D6ECD8"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148F7FA"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75E2609"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1E5F68C"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E301313" w14:textId="77777777" w:rsidR="00C77304" w:rsidRDefault="00C7730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558C547" w14:textId="77777777" w:rsidR="00C77304" w:rsidRDefault="00C77304">
      <w:pPr>
        <w:spacing w:line="360" w:lineRule="auto"/>
        <w:ind w:firstLineChars="800" w:firstLine="2249"/>
        <w:jc w:val="left"/>
      </w:pPr>
      <w:r>
        <w:rPr>
          <w:rFonts w:ascii="宋体" w:hAnsi="宋体" w:hint="eastAsia"/>
          <w:b/>
          <w:bCs/>
          <w:sz w:val="28"/>
          <w:szCs w:val="30"/>
        </w:rPr>
        <w:t>基金管理人：摩根基金管理（中国）有限公司</w:t>
      </w:r>
    </w:p>
    <w:p w14:paraId="79950BA2" w14:textId="77777777" w:rsidR="00C77304" w:rsidRDefault="00C77304">
      <w:pPr>
        <w:spacing w:line="360" w:lineRule="auto"/>
        <w:ind w:firstLineChars="800" w:firstLine="2249"/>
        <w:jc w:val="left"/>
      </w:pPr>
      <w:r>
        <w:rPr>
          <w:rFonts w:ascii="宋体" w:hAnsi="宋体" w:hint="eastAsia"/>
          <w:b/>
          <w:bCs/>
          <w:sz w:val="28"/>
          <w:szCs w:val="30"/>
        </w:rPr>
        <w:t>基金托管人：中国银行股份有限公司</w:t>
      </w:r>
    </w:p>
    <w:p w14:paraId="65EC33B2" w14:textId="77777777" w:rsidR="00C77304" w:rsidRDefault="00C77304">
      <w:pPr>
        <w:spacing w:line="360" w:lineRule="auto"/>
        <w:ind w:firstLineChars="800" w:firstLine="2249"/>
        <w:jc w:val="left"/>
      </w:pPr>
      <w:r>
        <w:rPr>
          <w:rFonts w:ascii="宋体" w:hAnsi="宋体" w:hint="eastAsia"/>
          <w:b/>
          <w:bCs/>
          <w:sz w:val="28"/>
          <w:szCs w:val="30"/>
        </w:rPr>
        <w:t>报告送出日期：2026年4月22日</w:t>
      </w:r>
    </w:p>
    <w:p w14:paraId="31881898" w14:textId="77777777" w:rsidR="00C77304" w:rsidRDefault="00C77304">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4D244C65" w14:textId="77777777" w:rsidR="00C77304" w:rsidRDefault="00C77304">
      <w:pPr>
        <w:spacing w:line="360" w:lineRule="auto"/>
        <w:ind w:firstLineChars="200" w:firstLine="420"/>
        <w:divId w:val="311636839"/>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4939BFB" w14:textId="77777777" w:rsidR="00C77304" w:rsidRDefault="00C77304">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9B721B" w14:paraId="6C07DF95" w14:textId="77777777">
        <w:trPr>
          <w:divId w:val="1410083417"/>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3A521" w14:textId="77777777" w:rsidR="00C77304" w:rsidRDefault="00C77304">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2BEA1" w14:textId="77777777" w:rsidR="00C77304" w:rsidRDefault="00C77304">
            <w:pPr>
              <w:spacing w:line="360" w:lineRule="auto"/>
              <w:jc w:val="left"/>
            </w:pPr>
            <w:r>
              <w:rPr>
                <w:rFonts w:ascii="宋体" w:hAnsi="宋体" w:hint="eastAsia"/>
                <w:szCs w:val="24"/>
                <w:lang w:eastAsia="zh-Hans"/>
              </w:rPr>
              <w:t>摩根全球天然资源混合(QDII)</w:t>
            </w:r>
            <w:r>
              <w:rPr>
                <w:rFonts w:ascii="宋体" w:hAnsi="宋体" w:hint="eastAsia"/>
                <w:lang w:eastAsia="zh-Hans"/>
              </w:rPr>
              <w:t xml:space="preserve"> </w:t>
            </w:r>
          </w:p>
        </w:tc>
      </w:tr>
      <w:tr w:rsidR="009B721B" w14:paraId="4690D481" w14:textId="77777777">
        <w:trPr>
          <w:divId w:val="141008341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40B5" w14:textId="77777777" w:rsidR="00C77304" w:rsidRDefault="00C77304">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410AF" w14:textId="77777777" w:rsidR="00C77304" w:rsidRDefault="00C77304">
            <w:pPr>
              <w:spacing w:line="360" w:lineRule="auto"/>
              <w:jc w:val="left"/>
            </w:pPr>
            <w:r>
              <w:rPr>
                <w:rFonts w:ascii="宋体" w:hAnsi="宋体" w:hint="eastAsia"/>
                <w:lang w:eastAsia="zh-Hans"/>
              </w:rPr>
              <w:t>378546</w:t>
            </w:r>
          </w:p>
        </w:tc>
      </w:tr>
      <w:tr w:rsidR="009B721B" w14:paraId="40B82452" w14:textId="77777777">
        <w:trPr>
          <w:divId w:val="141008341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524EA" w14:textId="77777777" w:rsidR="00C77304" w:rsidRDefault="00C77304">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60CDC" w14:textId="77777777" w:rsidR="00C77304" w:rsidRDefault="00C77304">
            <w:pPr>
              <w:spacing w:line="360" w:lineRule="auto"/>
              <w:jc w:val="left"/>
            </w:pPr>
            <w:r>
              <w:rPr>
                <w:rFonts w:ascii="宋体" w:hAnsi="宋体" w:hint="eastAsia"/>
                <w:lang w:eastAsia="zh-Hans"/>
              </w:rPr>
              <w:t>契约型开放式</w:t>
            </w:r>
          </w:p>
        </w:tc>
      </w:tr>
      <w:tr w:rsidR="009B721B" w14:paraId="39AFFEF0" w14:textId="77777777">
        <w:trPr>
          <w:divId w:val="141008341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633CE" w14:textId="77777777" w:rsidR="00C77304" w:rsidRDefault="00C77304">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E53C1" w14:textId="77777777" w:rsidR="00C77304" w:rsidRDefault="00C77304">
            <w:pPr>
              <w:spacing w:line="360" w:lineRule="auto"/>
              <w:jc w:val="left"/>
            </w:pPr>
            <w:r>
              <w:rPr>
                <w:rFonts w:ascii="宋体" w:hAnsi="宋体" w:hint="eastAsia"/>
                <w:lang w:eastAsia="zh-Hans"/>
              </w:rPr>
              <w:t>2012年3月26日</w:t>
            </w:r>
          </w:p>
        </w:tc>
      </w:tr>
      <w:tr w:rsidR="009B721B" w14:paraId="3C62AD08" w14:textId="77777777">
        <w:trPr>
          <w:divId w:val="141008341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3FF47" w14:textId="77777777" w:rsidR="00C77304" w:rsidRDefault="00C77304">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50235" w14:textId="77777777" w:rsidR="00C77304" w:rsidRDefault="00C77304">
            <w:pPr>
              <w:spacing w:line="360" w:lineRule="auto"/>
              <w:jc w:val="left"/>
            </w:pPr>
            <w:r>
              <w:rPr>
                <w:rFonts w:ascii="宋体" w:hAnsi="宋体" w:hint="eastAsia"/>
                <w:lang w:eastAsia="zh-Hans"/>
              </w:rPr>
              <w:t>557,341,533.79</w:t>
            </w:r>
            <w:r>
              <w:rPr>
                <w:rFonts w:asciiTheme="minorHAnsi" w:eastAsiaTheme="minorEastAsia" w:hAnsiTheme="minorHAnsi" w:hint="eastAsia"/>
              </w:rPr>
              <w:t>份</w:t>
            </w:r>
            <w:r>
              <w:rPr>
                <w:rFonts w:ascii="宋体" w:hAnsi="宋体" w:hint="eastAsia"/>
                <w:lang w:eastAsia="zh-Hans"/>
              </w:rPr>
              <w:t xml:space="preserve"> </w:t>
            </w:r>
          </w:p>
        </w:tc>
      </w:tr>
      <w:tr w:rsidR="009B721B" w14:paraId="2CBF9125" w14:textId="77777777">
        <w:trPr>
          <w:divId w:val="141008341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94D676" w14:textId="77777777" w:rsidR="00C77304" w:rsidRDefault="00C77304">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43C71" w14:textId="77777777" w:rsidR="00C77304" w:rsidRDefault="00C77304">
            <w:pPr>
              <w:spacing w:line="360" w:lineRule="auto"/>
              <w:jc w:val="left"/>
            </w:pPr>
            <w:r>
              <w:rPr>
                <w:rFonts w:ascii="宋体" w:hAnsi="宋体" w:hint="eastAsia"/>
                <w:lang w:eastAsia="zh-Hans"/>
              </w:rPr>
              <w:t>本基金主要投资于全球范围内从事天然资源的勘探、开发、生产及销售，或是向天然资源行业提供服务的公司的股票，通过积极主动的资产配置和组合管理，在风险可控的前提下以获取长期资产增值。</w:t>
            </w:r>
          </w:p>
        </w:tc>
      </w:tr>
      <w:tr w:rsidR="009B721B" w14:paraId="254199EB" w14:textId="77777777">
        <w:trPr>
          <w:divId w:val="141008341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3006F7" w14:textId="77777777" w:rsidR="00C77304" w:rsidRDefault="00C77304">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8195B" w14:textId="77777777" w:rsidR="00C77304" w:rsidRDefault="00C77304">
            <w:pPr>
              <w:spacing w:line="360" w:lineRule="auto"/>
              <w:jc w:val="left"/>
            </w:pPr>
            <w:r>
              <w:rPr>
                <w:rFonts w:ascii="宋体" w:hAnsi="宋体" w:hint="eastAsia"/>
                <w:lang w:eastAsia="zh-Hans"/>
              </w:rPr>
              <w:t>全球天然资源的稀缺与人类对其需求的不断增长的矛盾日益突显，这显示了天然资源具有极大的战略价值，该行业的相关上市公司也具有良好的投资机会。本基金将充分分享全球天然资源行业未来的高增长成果，审慎把握全球天然资源的投资机会，争取为投资者带来长期稳健回报。</w:t>
            </w:r>
            <w:r>
              <w:rPr>
                <w:rFonts w:ascii="宋体" w:hAnsi="宋体" w:hint="eastAsia"/>
                <w:lang w:eastAsia="zh-Hans"/>
              </w:rPr>
              <w:br/>
              <w:t>1、股票投资策略</w:t>
            </w:r>
            <w:r>
              <w:rPr>
                <w:rFonts w:ascii="宋体" w:hAnsi="宋体" w:hint="eastAsia"/>
                <w:lang w:eastAsia="zh-Hans"/>
              </w:rPr>
              <w:br/>
              <w:t>总体上本基金将采取自上而下与自下而上相结合的投资策略。</w:t>
            </w:r>
            <w:r>
              <w:rPr>
                <w:rFonts w:ascii="宋体" w:hAnsi="宋体" w:hint="eastAsia"/>
                <w:lang w:eastAsia="zh-Hans"/>
              </w:rPr>
              <w:lastRenderedPageBreak/>
              <w:t>首先通过考察不同国家的发展趋势及不同行业的景气程度，决定地区与板块的基本布局；其次采取自下而上的选股策略，在对股票进行基本面分析的同时，通过深入研究股票的价值与动量特性，选取目标投资对象。</w:t>
            </w:r>
            <w:r>
              <w:rPr>
                <w:rFonts w:ascii="宋体" w:hAnsi="宋体" w:hint="eastAsia"/>
                <w:lang w:eastAsia="zh-Hans"/>
              </w:rPr>
              <w:br/>
              <w:t>2、固定收益类投资策略</w:t>
            </w:r>
            <w:r>
              <w:rPr>
                <w:rFonts w:ascii="宋体" w:hAnsi="宋体" w:hint="eastAsia"/>
                <w:lang w:eastAsia="zh-Hans"/>
              </w:rPr>
              <w:br/>
              <w:t>本基金将根据风险防御及现金替代性管理的需要，适度进行债券投资。本基金将分别对新兴市场和成熟市场中不同国家和地区宏观经济发展情况、财政政策、货币政策、以及利率走势进行分析的基础上，综合考查利率风险、信用和流动性风险对债券内在价值的影响，构建固定收益类投资组合，以追求长期低波动率的稳健回报。</w:t>
            </w:r>
            <w:r>
              <w:rPr>
                <w:rFonts w:ascii="宋体" w:hAnsi="宋体" w:hint="eastAsia"/>
                <w:lang w:eastAsia="zh-Hans"/>
              </w:rPr>
              <w:br/>
              <w:t>3、衍生品投资策略</w:t>
            </w:r>
            <w:r>
              <w:rPr>
                <w:rFonts w:ascii="宋体" w:hAnsi="宋体" w:hint="eastAsia"/>
                <w:lang w:eastAsia="zh-Hans"/>
              </w:rPr>
              <w:br/>
              <w:t>本基金将以组合避险或有效管理为目标，本着谨慎原则，进行风险识别，适度参与衍生品投资。</w:t>
            </w:r>
          </w:p>
        </w:tc>
      </w:tr>
      <w:tr w:rsidR="009B721B" w14:paraId="33E84ACA" w14:textId="77777777">
        <w:trPr>
          <w:divId w:val="141008341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A8863" w14:textId="77777777" w:rsidR="00C77304" w:rsidRDefault="00C77304">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F2AC2" w14:textId="77777777" w:rsidR="00C77304" w:rsidRDefault="00C77304">
            <w:pPr>
              <w:spacing w:line="360" w:lineRule="auto"/>
              <w:jc w:val="left"/>
            </w:pPr>
            <w:r>
              <w:rPr>
                <w:rFonts w:ascii="宋体" w:hAnsi="宋体" w:hint="eastAsia"/>
                <w:lang w:eastAsia="zh-Hans"/>
              </w:rPr>
              <w:t>标普全球矿产及能源指数（S&amp;P　Global　Mining　&amp;　Energy　Index）收益率</w:t>
            </w:r>
          </w:p>
        </w:tc>
      </w:tr>
      <w:tr w:rsidR="009B721B" w14:paraId="0A35E247" w14:textId="77777777">
        <w:trPr>
          <w:divId w:val="141008341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9FA07" w14:textId="77777777" w:rsidR="00C77304" w:rsidRDefault="00C77304">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9C5CB" w14:textId="77777777" w:rsidR="00C77304" w:rsidRDefault="00C77304">
            <w:pPr>
              <w:spacing w:line="360" w:lineRule="auto"/>
              <w:jc w:val="left"/>
            </w:pPr>
            <w:r>
              <w:rPr>
                <w:rFonts w:ascii="宋体" w:hAnsi="宋体" w:hint="eastAsia"/>
                <w:lang w:eastAsia="zh-Hans"/>
              </w:rPr>
              <w:t>本基金为混合型投资基金，主要投资于海外市场的天然资源行业的股票，本基金的业绩表现在大多数的情况下与国际大宗商品价格的走势具有较高的相关性。本基金的预期风险收益水平低于股票型基金，高于债券型基金及货币市场基金，属于较高风险和较高预期收益的基金品种。</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9B721B" w14:paraId="01027C2A" w14:textId="77777777">
        <w:trPr>
          <w:divId w:val="1410083417"/>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675FD" w14:textId="77777777" w:rsidR="00C77304" w:rsidRDefault="00C77304">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94D97" w14:textId="77777777" w:rsidR="00C77304" w:rsidRDefault="00C77304">
            <w:pPr>
              <w:spacing w:line="360" w:lineRule="auto"/>
              <w:jc w:val="left"/>
            </w:pPr>
            <w:r>
              <w:rPr>
                <w:rFonts w:ascii="宋体" w:hAnsi="宋体" w:hint="eastAsia"/>
                <w:lang w:eastAsia="zh-Hans"/>
              </w:rPr>
              <w:t>摩根基金管理（中国）有限公司</w:t>
            </w:r>
          </w:p>
        </w:tc>
      </w:tr>
      <w:tr w:rsidR="009B721B" w14:paraId="6E020073" w14:textId="77777777">
        <w:trPr>
          <w:divId w:val="1410083417"/>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216B9" w14:textId="77777777" w:rsidR="00C77304" w:rsidRDefault="00C77304">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E8B47" w14:textId="77777777" w:rsidR="00C77304" w:rsidRDefault="00C77304">
            <w:pPr>
              <w:spacing w:line="360" w:lineRule="auto"/>
              <w:jc w:val="left"/>
            </w:pPr>
            <w:r>
              <w:rPr>
                <w:rFonts w:ascii="宋体" w:hAnsi="宋体" w:hint="eastAsia"/>
                <w:lang w:eastAsia="zh-Hans"/>
              </w:rPr>
              <w:t>中国银行股份有限公司</w:t>
            </w:r>
          </w:p>
        </w:tc>
      </w:tr>
      <w:tr w:rsidR="009B721B" w14:paraId="122A0EAB" w14:textId="77777777">
        <w:trPr>
          <w:divId w:val="141008341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D83DED" w14:textId="77777777" w:rsidR="00C77304" w:rsidRDefault="00C77304">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CC9A91" w14:textId="77777777" w:rsidR="00C77304" w:rsidRDefault="00C77304">
            <w:pPr>
              <w:spacing w:line="360" w:lineRule="auto"/>
              <w:jc w:val="center"/>
            </w:pPr>
            <w:r>
              <w:rPr>
                <w:rFonts w:ascii="宋体" w:hAnsi="宋体" w:hint="eastAsia"/>
                <w:lang w:eastAsia="zh-Hans"/>
              </w:rPr>
              <w:t>摩根全球天然资源混合(QDII)A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5294FB" w14:textId="77777777" w:rsidR="00C77304" w:rsidRDefault="00C77304">
            <w:pPr>
              <w:spacing w:line="360" w:lineRule="auto"/>
              <w:jc w:val="center"/>
            </w:pPr>
            <w:r>
              <w:rPr>
                <w:rFonts w:ascii="宋体" w:hAnsi="宋体" w:hint="eastAsia"/>
                <w:lang w:eastAsia="zh-Hans"/>
              </w:rPr>
              <w:t>摩根全球天然资源混合</w:t>
            </w:r>
            <w:r>
              <w:rPr>
                <w:rFonts w:ascii="宋体" w:hAnsi="宋体" w:hint="eastAsia"/>
                <w:lang w:eastAsia="zh-Hans"/>
              </w:rPr>
              <w:lastRenderedPageBreak/>
              <w:t>(QDII)C</w:t>
            </w:r>
            <w:r>
              <w:rPr>
                <w:rFonts w:ascii="宋体" w:hAnsi="宋体" w:hint="eastAsia"/>
                <w:kern w:val="0"/>
                <w:sz w:val="20"/>
                <w:lang w:eastAsia="zh-Hans"/>
              </w:rPr>
              <w:t xml:space="preserve"> </w:t>
            </w:r>
          </w:p>
        </w:tc>
      </w:tr>
      <w:tr w:rsidR="009B721B" w14:paraId="50CCDAA9" w14:textId="77777777">
        <w:trPr>
          <w:divId w:val="141008341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817369" w14:textId="77777777" w:rsidR="00C77304" w:rsidRDefault="00C77304">
            <w:pPr>
              <w:spacing w:line="360" w:lineRule="auto"/>
              <w:jc w:val="left"/>
            </w:pPr>
            <w:r>
              <w:rPr>
                <w:rFonts w:ascii="宋体" w:hAnsi="宋体" w:hint="eastAsia"/>
              </w:rPr>
              <w:lastRenderedPageBreak/>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58A50" w14:textId="77777777" w:rsidR="00C77304" w:rsidRDefault="00C77304">
            <w:pPr>
              <w:spacing w:line="360" w:lineRule="auto"/>
              <w:jc w:val="center"/>
            </w:pPr>
            <w:r>
              <w:rPr>
                <w:rFonts w:ascii="宋体" w:hAnsi="宋体" w:hint="eastAsia"/>
                <w:lang w:eastAsia="zh-Hans"/>
              </w:rPr>
              <w:t>378546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812FB" w14:textId="77777777" w:rsidR="00C77304" w:rsidRDefault="00C77304">
            <w:pPr>
              <w:spacing w:line="360" w:lineRule="auto"/>
              <w:jc w:val="center"/>
            </w:pPr>
            <w:r>
              <w:rPr>
                <w:rFonts w:ascii="宋体" w:hAnsi="宋体" w:hint="eastAsia"/>
                <w:lang w:eastAsia="zh-Hans"/>
              </w:rPr>
              <w:t>019578</w:t>
            </w:r>
            <w:r>
              <w:rPr>
                <w:rFonts w:ascii="宋体" w:hAnsi="宋体" w:hint="eastAsia"/>
                <w:kern w:val="0"/>
                <w:sz w:val="20"/>
                <w:lang w:eastAsia="zh-Hans"/>
              </w:rPr>
              <w:t xml:space="preserve"> </w:t>
            </w:r>
          </w:p>
        </w:tc>
      </w:tr>
      <w:bookmarkEnd w:id="38"/>
      <w:tr w:rsidR="009B721B" w14:paraId="6B3C19EB" w14:textId="77777777">
        <w:trPr>
          <w:divId w:val="141008341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ED5711" w14:textId="77777777" w:rsidR="00C77304" w:rsidRDefault="00C77304">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20E33" w14:textId="77777777" w:rsidR="00C77304" w:rsidRDefault="00C77304">
            <w:pPr>
              <w:spacing w:line="360" w:lineRule="auto"/>
              <w:jc w:val="center"/>
            </w:pPr>
            <w:r>
              <w:rPr>
                <w:rFonts w:ascii="宋体" w:hAnsi="宋体" w:hint="eastAsia"/>
                <w:lang w:eastAsia="zh-Hans"/>
              </w:rPr>
              <w:t>247,570,602.47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7B15E" w14:textId="77777777" w:rsidR="00C77304" w:rsidRDefault="00C77304">
            <w:pPr>
              <w:spacing w:line="360" w:lineRule="auto"/>
              <w:jc w:val="center"/>
            </w:pPr>
            <w:r>
              <w:rPr>
                <w:rFonts w:ascii="宋体" w:hAnsi="宋体" w:hint="eastAsia"/>
                <w:lang w:eastAsia="zh-Hans"/>
              </w:rPr>
              <w:t>309,770,931.32</w:t>
            </w:r>
            <w:r>
              <w:rPr>
                <w:rFonts w:hint="eastAsia"/>
              </w:rPr>
              <w:t>份</w:t>
            </w:r>
            <w:r>
              <w:rPr>
                <w:rFonts w:ascii="宋体" w:hAnsi="宋体" w:hint="eastAsia"/>
                <w:lang w:eastAsia="zh-Hans"/>
              </w:rPr>
              <w:t xml:space="preserve"> </w:t>
            </w:r>
          </w:p>
        </w:tc>
      </w:tr>
      <w:tr w:rsidR="009B721B" w14:paraId="170A3577" w14:textId="77777777">
        <w:trPr>
          <w:divId w:val="1410083417"/>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B441A" w14:textId="77777777" w:rsidR="00C77304" w:rsidRDefault="00C77304">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A30A3D6" w14:textId="77777777" w:rsidR="00C77304" w:rsidRDefault="00C77304">
            <w:pPr>
              <w:widowControl/>
              <w:spacing w:line="315" w:lineRule="atLeast"/>
              <w:jc w:val="left"/>
            </w:pPr>
            <w:r>
              <w:rPr>
                <w:rFonts w:asciiTheme="minorEastAsia" w:eastAsiaTheme="minorEastAsia" w:hAnsiTheme="minorEastAsia" w:hint="eastAsia"/>
              </w:rPr>
              <w:t xml:space="preserve">英文名称：JPMorgan Asset </w:t>
            </w:r>
            <w:proofErr w:type="gramStart"/>
            <w:r>
              <w:rPr>
                <w:rFonts w:asciiTheme="minorEastAsia" w:eastAsiaTheme="minorEastAsia" w:hAnsiTheme="minorEastAsia" w:hint="eastAsia"/>
              </w:rPr>
              <w:t>Management(</w:t>
            </w:r>
            <w:proofErr w:type="gramEnd"/>
            <w:r>
              <w:rPr>
                <w:rFonts w:asciiTheme="minorEastAsia" w:eastAsiaTheme="minorEastAsia" w:hAnsiTheme="minorEastAsia" w:hint="eastAsia"/>
              </w:rPr>
              <w:t>UK) Limited</w:t>
            </w:r>
          </w:p>
        </w:tc>
      </w:tr>
      <w:tr w:rsidR="009B721B" w14:paraId="705243AE" w14:textId="77777777">
        <w:trPr>
          <w:divId w:val="1410083417"/>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B1DF35" w14:textId="77777777" w:rsidR="00C77304" w:rsidRDefault="00C77304">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BCCF150" w14:textId="77777777" w:rsidR="00C77304" w:rsidRDefault="00C77304">
            <w:pPr>
              <w:widowControl/>
              <w:spacing w:line="315" w:lineRule="atLeast"/>
              <w:jc w:val="left"/>
            </w:pPr>
            <w:r>
              <w:rPr>
                <w:rFonts w:asciiTheme="minorEastAsia" w:eastAsiaTheme="minorEastAsia" w:hAnsiTheme="minorEastAsia" w:hint="eastAsia"/>
              </w:rPr>
              <w:t>中文名称：摩根资产管理(英国)有限公司</w:t>
            </w:r>
          </w:p>
        </w:tc>
      </w:tr>
      <w:tr w:rsidR="009B721B" w14:paraId="070BEFED" w14:textId="77777777">
        <w:trPr>
          <w:divId w:val="1410083417"/>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B5E34" w14:textId="77777777" w:rsidR="00C77304" w:rsidRDefault="00C77304">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C59AB43" w14:textId="77777777" w:rsidR="00C77304" w:rsidRDefault="00C77304">
            <w:pPr>
              <w:widowControl/>
              <w:spacing w:line="315" w:lineRule="atLeast"/>
              <w:jc w:val="left"/>
            </w:pPr>
            <w:r>
              <w:rPr>
                <w:rFonts w:asciiTheme="minorEastAsia" w:eastAsiaTheme="minorEastAsia" w:hAnsiTheme="minorEastAsia" w:hint="eastAsia"/>
              </w:rPr>
              <w:t>英文名称：Bank of China (Hong Kong) Limited</w:t>
            </w:r>
          </w:p>
        </w:tc>
      </w:tr>
      <w:tr w:rsidR="009B721B" w14:paraId="5332B763" w14:textId="77777777">
        <w:trPr>
          <w:divId w:val="1410083417"/>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000E9E" w14:textId="77777777" w:rsidR="00C77304" w:rsidRDefault="00C77304">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D3DB417" w14:textId="77777777" w:rsidR="00C77304" w:rsidRDefault="00C77304">
            <w:pPr>
              <w:widowControl/>
              <w:spacing w:line="315" w:lineRule="atLeast"/>
              <w:jc w:val="left"/>
            </w:pPr>
            <w:r>
              <w:rPr>
                <w:rFonts w:asciiTheme="minorEastAsia" w:eastAsiaTheme="minorEastAsia" w:hAnsiTheme="minorEastAsia" w:hint="eastAsia"/>
              </w:rPr>
              <w:t>中文名称：中国银行(香港)有限公司</w:t>
            </w:r>
          </w:p>
        </w:tc>
      </w:tr>
    </w:tbl>
    <w:p w14:paraId="5BB2336B" w14:textId="77777777" w:rsidR="00C77304" w:rsidRDefault="00C77304">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5E6B83A2" w14:textId="77777777" w:rsidR="00C77304" w:rsidRDefault="00C77304">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5DA5D00A" w14:textId="77777777" w:rsidR="00C77304" w:rsidRDefault="00C77304">
      <w:pPr>
        <w:jc w:val="right"/>
        <w:divId w:val="20803131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1"/>
        <w:gridCol w:w="2982"/>
        <w:gridCol w:w="2982"/>
      </w:tblGrid>
      <w:tr w:rsidR="009B721B" w14:paraId="04B0EBF6" w14:textId="77777777">
        <w:trPr>
          <w:divId w:val="20803131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D2B08F1" w14:textId="77777777" w:rsidR="00C77304" w:rsidRDefault="00C7730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702E250" w14:textId="77777777" w:rsidR="00C77304" w:rsidRDefault="00C77304">
            <w:pPr>
              <w:pStyle w:val="a5"/>
              <w:jc w:val="center"/>
              <w:rPr>
                <w:rFonts w:hint="eastAsia"/>
              </w:rPr>
            </w:pPr>
            <w:r>
              <w:rPr>
                <w:rFonts w:hint="eastAsia"/>
                <w:kern w:val="2"/>
                <w:sz w:val="21"/>
                <w:szCs w:val="24"/>
                <w:lang w:eastAsia="zh-Hans"/>
              </w:rPr>
              <w:t xml:space="preserve">报告期（2026年1月1日 - 2026年3月31日） </w:t>
            </w:r>
          </w:p>
        </w:tc>
      </w:tr>
      <w:tr w:rsidR="009B721B" w14:paraId="289E6616" w14:textId="77777777">
        <w:trPr>
          <w:divId w:val="20803131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8E821" w14:textId="77777777" w:rsidR="00C77304" w:rsidRDefault="00C7730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7CDF075" w14:textId="77777777" w:rsidR="00C77304" w:rsidRDefault="00C77304">
            <w:pPr>
              <w:jc w:val="center"/>
            </w:pPr>
            <w:r>
              <w:rPr>
                <w:rFonts w:ascii="宋体" w:hAnsi="宋体" w:hint="eastAsia"/>
                <w:szCs w:val="24"/>
                <w:lang w:eastAsia="zh-Hans"/>
              </w:rPr>
              <w:t>摩根全球天然资源混合(QDII)A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28EBABB" w14:textId="77777777" w:rsidR="00C77304" w:rsidRDefault="00C77304">
            <w:pPr>
              <w:jc w:val="center"/>
            </w:pPr>
            <w:r>
              <w:rPr>
                <w:rFonts w:ascii="宋体" w:hAnsi="宋体" w:hint="eastAsia"/>
                <w:szCs w:val="24"/>
                <w:lang w:eastAsia="zh-Hans"/>
              </w:rPr>
              <w:t>摩根全球天然资源混合(QDII)C</w:t>
            </w:r>
          </w:p>
        </w:tc>
      </w:tr>
      <w:tr w:rsidR="009B721B" w14:paraId="2B329DC9" w14:textId="77777777">
        <w:trPr>
          <w:divId w:val="2080313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BF1EC6" w14:textId="77777777" w:rsidR="00C77304" w:rsidRDefault="00C7730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0C8864" w14:textId="77777777" w:rsidR="00C77304" w:rsidRDefault="00C77304">
            <w:pPr>
              <w:jc w:val="right"/>
            </w:pPr>
            <w:r>
              <w:rPr>
                <w:rFonts w:ascii="宋体" w:hAnsi="宋体" w:hint="eastAsia"/>
                <w:szCs w:val="24"/>
                <w:lang w:eastAsia="zh-Hans"/>
              </w:rPr>
              <w:t>543,493.46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D944D5" w14:textId="77777777" w:rsidR="00C77304" w:rsidRDefault="00C77304">
            <w:pPr>
              <w:jc w:val="right"/>
            </w:pPr>
            <w:r>
              <w:rPr>
                <w:rFonts w:ascii="宋体" w:hAnsi="宋体" w:hint="eastAsia"/>
                <w:szCs w:val="24"/>
                <w:lang w:eastAsia="zh-Hans"/>
              </w:rPr>
              <w:t>-66,916.18</w:t>
            </w:r>
          </w:p>
        </w:tc>
      </w:tr>
      <w:tr w:rsidR="009B721B" w14:paraId="5C35A9B0" w14:textId="77777777">
        <w:trPr>
          <w:divId w:val="2080313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DBEBFB" w14:textId="77777777" w:rsidR="00C77304" w:rsidRDefault="00C7730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F8CC5B" w14:textId="77777777" w:rsidR="00C77304" w:rsidRDefault="00C77304">
            <w:pPr>
              <w:jc w:val="right"/>
            </w:pPr>
            <w:r>
              <w:rPr>
                <w:rFonts w:ascii="宋体" w:hAnsi="宋体" w:hint="eastAsia"/>
                <w:szCs w:val="24"/>
                <w:lang w:eastAsia="zh-Hans"/>
              </w:rPr>
              <w:t>39,773,731.67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C4A688" w14:textId="77777777" w:rsidR="00C77304" w:rsidRDefault="00C77304">
            <w:pPr>
              <w:jc w:val="right"/>
            </w:pPr>
            <w:r>
              <w:rPr>
                <w:rFonts w:ascii="宋体" w:hAnsi="宋体" w:hint="eastAsia"/>
                <w:szCs w:val="24"/>
                <w:lang w:eastAsia="zh-Hans"/>
              </w:rPr>
              <w:t>25,706,404.59</w:t>
            </w:r>
          </w:p>
        </w:tc>
      </w:tr>
      <w:tr w:rsidR="009B721B" w14:paraId="57ADFAE8" w14:textId="77777777">
        <w:trPr>
          <w:divId w:val="2080313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BBAF90" w14:textId="77777777" w:rsidR="00C77304" w:rsidRDefault="00C7730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4AECFE" w14:textId="77777777" w:rsidR="00C77304" w:rsidRDefault="00C77304">
            <w:pPr>
              <w:jc w:val="right"/>
            </w:pPr>
            <w:r>
              <w:rPr>
                <w:rFonts w:ascii="宋体" w:hAnsi="宋体" w:hint="eastAsia"/>
                <w:szCs w:val="24"/>
                <w:lang w:eastAsia="zh-Hans"/>
              </w:rPr>
              <w:t>0.1720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72C9A2" w14:textId="77777777" w:rsidR="00C77304" w:rsidRDefault="00C77304">
            <w:pPr>
              <w:jc w:val="right"/>
            </w:pPr>
            <w:r>
              <w:rPr>
                <w:rFonts w:ascii="宋体" w:hAnsi="宋体" w:hint="eastAsia"/>
                <w:szCs w:val="24"/>
                <w:lang w:eastAsia="zh-Hans"/>
              </w:rPr>
              <w:t>0.1021</w:t>
            </w:r>
          </w:p>
        </w:tc>
      </w:tr>
      <w:tr w:rsidR="009B721B" w14:paraId="248AEB82" w14:textId="77777777">
        <w:trPr>
          <w:divId w:val="2080313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7F72D1" w14:textId="77777777" w:rsidR="00C77304" w:rsidRDefault="00C7730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64A247" w14:textId="77777777" w:rsidR="00C77304" w:rsidRDefault="00C77304">
            <w:pPr>
              <w:jc w:val="right"/>
            </w:pPr>
            <w:r>
              <w:rPr>
                <w:rFonts w:ascii="宋体" w:hAnsi="宋体" w:hint="eastAsia"/>
                <w:szCs w:val="24"/>
                <w:lang w:eastAsia="zh-Hans"/>
              </w:rPr>
              <w:t>383,580,987.93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B25C48" w14:textId="77777777" w:rsidR="00C77304" w:rsidRDefault="00C77304">
            <w:pPr>
              <w:jc w:val="right"/>
            </w:pPr>
            <w:r>
              <w:rPr>
                <w:rFonts w:ascii="宋体" w:hAnsi="宋体" w:hint="eastAsia"/>
                <w:szCs w:val="24"/>
                <w:lang w:eastAsia="zh-Hans"/>
              </w:rPr>
              <w:t>483,941,064.88</w:t>
            </w:r>
          </w:p>
        </w:tc>
      </w:tr>
      <w:tr w:rsidR="009B721B" w14:paraId="34B24DA5" w14:textId="77777777">
        <w:trPr>
          <w:divId w:val="2080313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799A4B" w14:textId="77777777" w:rsidR="00C77304" w:rsidRDefault="00C7730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20EE56" w14:textId="77777777" w:rsidR="00C77304" w:rsidRDefault="00C77304">
            <w:pPr>
              <w:jc w:val="right"/>
            </w:pPr>
            <w:r>
              <w:rPr>
                <w:rFonts w:ascii="宋体" w:hAnsi="宋体" w:hint="eastAsia"/>
                <w:szCs w:val="24"/>
                <w:lang w:eastAsia="zh-Hans"/>
              </w:rPr>
              <w:t>1.5494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6430D6" w14:textId="77777777" w:rsidR="00C77304" w:rsidRDefault="00C77304">
            <w:pPr>
              <w:jc w:val="right"/>
            </w:pPr>
            <w:r>
              <w:rPr>
                <w:rFonts w:ascii="宋体" w:hAnsi="宋体" w:hint="eastAsia"/>
                <w:szCs w:val="24"/>
                <w:lang w:eastAsia="zh-Hans"/>
              </w:rPr>
              <w:t>1.5623</w:t>
            </w:r>
          </w:p>
        </w:tc>
      </w:tr>
    </w:tbl>
    <w:p w14:paraId="37598CDB" w14:textId="77777777" w:rsidR="00C77304" w:rsidRDefault="00C77304">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17D8634" w14:textId="77777777" w:rsidR="00C77304" w:rsidRDefault="00C77304">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479227CC" w14:textId="77777777" w:rsidR="00C77304" w:rsidRDefault="00C77304">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4D0D8BB6" w14:textId="77777777" w:rsidR="00C77304" w:rsidRDefault="00C77304">
      <w:pPr>
        <w:spacing w:line="360" w:lineRule="auto"/>
        <w:jc w:val="center"/>
        <w:divId w:val="866648322"/>
      </w:pPr>
      <w:r>
        <w:rPr>
          <w:rFonts w:ascii="宋体" w:hAnsi="宋体" w:hint="eastAsia"/>
        </w:rPr>
        <w:t>摩根全球天然资源混合(QDII)A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B721B" w14:paraId="585E6EE2" w14:textId="77777777">
        <w:trPr>
          <w:divId w:val="86664832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B598D1" w14:textId="77777777" w:rsidR="00C77304" w:rsidRDefault="00C7730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B43948" w14:textId="77777777" w:rsidR="00C77304" w:rsidRDefault="00C7730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065134" w14:textId="77777777" w:rsidR="00C77304" w:rsidRDefault="00C7730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660DC2" w14:textId="77777777" w:rsidR="00C77304" w:rsidRDefault="00C7730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2AAB77" w14:textId="77777777" w:rsidR="00C77304" w:rsidRDefault="00C7730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09B7D" w14:textId="77777777" w:rsidR="00C77304" w:rsidRDefault="00C7730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5A1181" w14:textId="77777777" w:rsidR="00C77304" w:rsidRDefault="00C77304">
            <w:pPr>
              <w:spacing w:line="360" w:lineRule="auto"/>
              <w:jc w:val="center"/>
            </w:pPr>
            <w:r>
              <w:rPr>
                <w:rFonts w:ascii="宋体" w:hAnsi="宋体" w:hint="eastAsia"/>
              </w:rPr>
              <w:t xml:space="preserve">②－④ </w:t>
            </w:r>
          </w:p>
        </w:tc>
      </w:tr>
      <w:tr w:rsidR="009B721B" w14:paraId="293C1CE0" w14:textId="77777777">
        <w:trPr>
          <w:divId w:val="8666483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0B8F5" w14:textId="77777777" w:rsidR="00C77304" w:rsidRDefault="00C7730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45537" w14:textId="77777777" w:rsidR="00C77304" w:rsidRDefault="00C77304">
            <w:pPr>
              <w:spacing w:line="360" w:lineRule="auto"/>
              <w:jc w:val="right"/>
            </w:pPr>
            <w:r>
              <w:rPr>
                <w:rFonts w:ascii="宋体" w:hAnsi="宋体" w:hint="eastAsia"/>
              </w:rPr>
              <w:t xml:space="preserve">17.53%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5DA07" w14:textId="77777777" w:rsidR="00C77304" w:rsidRDefault="00C77304">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9F71E" w14:textId="77777777" w:rsidR="00C77304" w:rsidRDefault="00C77304">
            <w:pPr>
              <w:spacing w:line="360" w:lineRule="auto"/>
              <w:jc w:val="right"/>
            </w:pPr>
            <w:r>
              <w:rPr>
                <w:rFonts w:ascii="宋体" w:hAnsi="宋体" w:hint="eastAsia"/>
              </w:rPr>
              <w:t xml:space="preserve">18.21%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9F2B1" w14:textId="77777777" w:rsidR="00C77304" w:rsidRDefault="00C77304">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D0645E" w14:textId="77777777" w:rsidR="00C77304" w:rsidRDefault="00C77304">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72B7C" w14:textId="77777777" w:rsidR="00C77304" w:rsidRDefault="00C77304">
            <w:pPr>
              <w:spacing w:line="360" w:lineRule="auto"/>
              <w:jc w:val="right"/>
            </w:pPr>
            <w:r>
              <w:rPr>
                <w:rFonts w:ascii="宋体" w:hAnsi="宋体" w:hint="eastAsia"/>
              </w:rPr>
              <w:t xml:space="preserve">-0.06% </w:t>
            </w:r>
          </w:p>
        </w:tc>
      </w:tr>
      <w:tr w:rsidR="009B721B" w14:paraId="1FF782F5" w14:textId="77777777">
        <w:trPr>
          <w:divId w:val="8666483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C755A" w14:textId="77777777" w:rsidR="00C77304" w:rsidRDefault="00C7730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EA51B" w14:textId="77777777" w:rsidR="00C77304" w:rsidRDefault="00C77304">
            <w:pPr>
              <w:spacing w:line="360" w:lineRule="auto"/>
              <w:jc w:val="right"/>
            </w:pPr>
            <w:r>
              <w:rPr>
                <w:rFonts w:ascii="宋体" w:hAnsi="宋体" w:hint="eastAsia"/>
              </w:rPr>
              <w:t xml:space="preserve">25.02%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0EB7B" w14:textId="77777777" w:rsidR="00C77304" w:rsidRDefault="00C77304">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6A308" w14:textId="77777777" w:rsidR="00C77304" w:rsidRDefault="00C77304">
            <w:pPr>
              <w:spacing w:line="360" w:lineRule="auto"/>
              <w:jc w:val="right"/>
            </w:pPr>
            <w:r>
              <w:rPr>
                <w:rFonts w:ascii="宋体" w:hAnsi="宋体" w:hint="eastAsia"/>
              </w:rPr>
              <w:t xml:space="preserve">28.02%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9191C" w14:textId="77777777" w:rsidR="00C77304" w:rsidRDefault="00C77304">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F531A5" w14:textId="77777777" w:rsidR="00C77304" w:rsidRDefault="00C77304">
            <w:pPr>
              <w:spacing w:line="360" w:lineRule="auto"/>
              <w:jc w:val="right"/>
            </w:pPr>
            <w:r>
              <w:rPr>
                <w:rFonts w:ascii="宋体" w:hAnsi="宋体" w:hint="eastAsia"/>
              </w:rPr>
              <w:t xml:space="preserve">-3.00%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E650E" w14:textId="77777777" w:rsidR="00C77304" w:rsidRDefault="00C77304">
            <w:pPr>
              <w:spacing w:line="360" w:lineRule="auto"/>
              <w:jc w:val="right"/>
            </w:pPr>
            <w:r>
              <w:rPr>
                <w:rFonts w:ascii="宋体" w:hAnsi="宋体" w:hint="eastAsia"/>
              </w:rPr>
              <w:t xml:space="preserve">-0.03% </w:t>
            </w:r>
          </w:p>
        </w:tc>
      </w:tr>
      <w:tr w:rsidR="009B721B" w14:paraId="1439206A" w14:textId="77777777">
        <w:trPr>
          <w:divId w:val="8666483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7C5AC" w14:textId="77777777" w:rsidR="00C77304" w:rsidRDefault="00C7730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73B11" w14:textId="77777777" w:rsidR="00C77304" w:rsidRDefault="00C77304">
            <w:pPr>
              <w:spacing w:line="360" w:lineRule="auto"/>
              <w:jc w:val="right"/>
            </w:pPr>
            <w:r>
              <w:rPr>
                <w:rFonts w:ascii="宋体" w:hAnsi="宋体" w:hint="eastAsia"/>
              </w:rPr>
              <w:t xml:space="preserve">48.85%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1BE15" w14:textId="77777777" w:rsidR="00C77304" w:rsidRDefault="00C77304">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633B3" w14:textId="77777777" w:rsidR="00C77304" w:rsidRDefault="00C77304">
            <w:pPr>
              <w:spacing w:line="360" w:lineRule="auto"/>
              <w:jc w:val="right"/>
            </w:pPr>
            <w:r>
              <w:rPr>
                <w:rFonts w:ascii="宋体" w:hAnsi="宋体" w:hint="eastAsia"/>
              </w:rPr>
              <w:t xml:space="preserve">53.85%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A2E78" w14:textId="77777777" w:rsidR="00C77304" w:rsidRDefault="00C77304">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F5A6A1" w14:textId="77777777" w:rsidR="00C77304" w:rsidRDefault="00C77304">
            <w:pPr>
              <w:spacing w:line="360" w:lineRule="auto"/>
              <w:jc w:val="right"/>
            </w:pPr>
            <w:r>
              <w:rPr>
                <w:rFonts w:ascii="宋体" w:hAnsi="宋体" w:hint="eastAsia"/>
              </w:rPr>
              <w:t xml:space="preserve">-5.00%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6640D" w14:textId="77777777" w:rsidR="00C77304" w:rsidRDefault="00C77304">
            <w:pPr>
              <w:spacing w:line="360" w:lineRule="auto"/>
              <w:jc w:val="right"/>
            </w:pPr>
            <w:r>
              <w:rPr>
                <w:rFonts w:ascii="宋体" w:hAnsi="宋体" w:hint="eastAsia"/>
              </w:rPr>
              <w:t xml:space="preserve">-0.05% </w:t>
            </w:r>
          </w:p>
        </w:tc>
      </w:tr>
      <w:tr w:rsidR="009B721B" w14:paraId="280D4098" w14:textId="77777777">
        <w:trPr>
          <w:divId w:val="8666483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D463E" w14:textId="77777777" w:rsidR="00C77304" w:rsidRDefault="00C77304">
            <w:pPr>
              <w:spacing w:line="360" w:lineRule="auto"/>
              <w:jc w:val="center"/>
            </w:pPr>
            <w:r>
              <w:rPr>
                <w:rFonts w:ascii="宋体" w:hAnsi="宋体" w:hint="eastAsia"/>
              </w:rPr>
              <w:lastRenderedPageBreak/>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C9A28" w14:textId="77777777" w:rsidR="00C77304" w:rsidRDefault="00C77304">
            <w:pPr>
              <w:spacing w:line="360" w:lineRule="auto"/>
              <w:jc w:val="right"/>
            </w:pPr>
            <w:r>
              <w:rPr>
                <w:rFonts w:ascii="宋体" w:hAnsi="宋体" w:hint="eastAsia"/>
              </w:rPr>
              <w:t xml:space="preserve">60.39%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2BE14" w14:textId="77777777" w:rsidR="00C77304" w:rsidRDefault="00C77304">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30564" w14:textId="77777777" w:rsidR="00C77304" w:rsidRDefault="00C77304">
            <w:pPr>
              <w:spacing w:line="360" w:lineRule="auto"/>
              <w:jc w:val="right"/>
            </w:pPr>
            <w:r>
              <w:rPr>
                <w:rFonts w:ascii="宋体" w:hAnsi="宋体" w:hint="eastAsia"/>
              </w:rPr>
              <w:t xml:space="preserve">66.45%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2BE8C" w14:textId="77777777" w:rsidR="00C77304" w:rsidRDefault="00C77304">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D4C605" w14:textId="77777777" w:rsidR="00C77304" w:rsidRDefault="00C77304">
            <w:pPr>
              <w:spacing w:line="360" w:lineRule="auto"/>
              <w:jc w:val="right"/>
            </w:pPr>
            <w:r>
              <w:rPr>
                <w:rFonts w:ascii="宋体" w:hAnsi="宋体" w:hint="eastAsia"/>
              </w:rPr>
              <w:t xml:space="preserve">-6.06%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D7A65" w14:textId="77777777" w:rsidR="00C77304" w:rsidRDefault="00C77304">
            <w:pPr>
              <w:spacing w:line="360" w:lineRule="auto"/>
              <w:jc w:val="right"/>
            </w:pPr>
            <w:r>
              <w:rPr>
                <w:rFonts w:ascii="宋体" w:hAnsi="宋体" w:hint="eastAsia"/>
              </w:rPr>
              <w:t xml:space="preserve">-0.02% </w:t>
            </w:r>
          </w:p>
        </w:tc>
      </w:tr>
      <w:tr w:rsidR="009B721B" w14:paraId="6A74F18F" w14:textId="77777777">
        <w:trPr>
          <w:divId w:val="8666483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3E123" w14:textId="77777777" w:rsidR="00C77304" w:rsidRDefault="00C7730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0ADFE" w14:textId="77777777" w:rsidR="00C77304" w:rsidRDefault="00C77304">
            <w:pPr>
              <w:spacing w:line="360" w:lineRule="auto"/>
              <w:jc w:val="right"/>
            </w:pPr>
            <w:r>
              <w:rPr>
                <w:rFonts w:ascii="宋体" w:hAnsi="宋体" w:hint="eastAsia"/>
              </w:rPr>
              <w:t xml:space="preserve">104.11%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FBE8B" w14:textId="77777777" w:rsidR="00C77304" w:rsidRDefault="00C77304">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DA919" w14:textId="77777777" w:rsidR="00C77304" w:rsidRDefault="00C77304">
            <w:pPr>
              <w:spacing w:line="360" w:lineRule="auto"/>
              <w:jc w:val="right"/>
            </w:pPr>
            <w:r>
              <w:rPr>
                <w:rFonts w:ascii="宋体" w:hAnsi="宋体" w:hint="eastAsia"/>
              </w:rPr>
              <w:t xml:space="preserve">113.01%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CEC51" w14:textId="77777777" w:rsidR="00C77304" w:rsidRDefault="00C77304">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8296CD" w14:textId="77777777" w:rsidR="00C77304" w:rsidRDefault="00C77304">
            <w:pPr>
              <w:spacing w:line="360" w:lineRule="auto"/>
              <w:jc w:val="right"/>
            </w:pPr>
            <w:r>
              <w:rPr>
                <w:rFonts w:ascii="宋体" w:hAnsi="宋体" w:hint="eastAsia"/>
              </w:rPr>
              <w:t xml:space="preserve">-8.90%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FF2DD" w14:textId="77777777" w:rsidR="00C77304" w:rsidRDefault="00C77304">
            <w:pPr>
              <w:spacing w:line="360" w:lineRule="auto"/>
              <w:jc w:val="right"/>
            </w:pPr>
            <w:r>
              <w:rPr>
                <w:rFonts w:ascii="宋体" w:hAnsi="宋体" w:hint="eastAsia"/>
              </w:rPr>
              <w:t xml:space="preserve">0.00% </w:t>
            </w:r>
          </w:p>
        </w:tc>
      </w:tr>
      <w:tr w:rsidR="009B721B" w14:paraId="1838E4E8" w14:textId="77777777">
        <w:trPr>
          <w:divId w:val="8666483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3DCA8" w14:textId="77777777" w:rsidR="00C77304" w:rsidRDefault="00C7730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4ED7A" w14:textId="77777777" w:rsidR="00C77304" w:rsidRDefault="00C77304">
            <w:pPr>
              <w:spacing w:line="360" w:lineRule="auto"/>
              <w:jc w:val="right"/>
            </w:pPr>
            <w:r>
              <w:rPr>
                <w:rFonts w:ascii="宋体" w:hAnsi="宋体" w:hint="eastAsia"/>
              </w:rPr>
              <w:t xml:space="preserve">54.94%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72FFF" w14:textId="77777777" w:rsidR="00C77304" w:rsidRDefault="00C77304">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918D6" w14:textId="77777777" w:rsidR="00C77304" w:rsidRDefault="00C77304">
            <w:pPr>
              <w:spacing w:line="360" w:lineRule="auto"/>
              <w:jc w:val="right"/>
            </w:pPr>
            <w:r>
              <w:rPr>
                <w:rFonts w:ascii="宋体" w:hAnsi="宋体" w:hint="eastAsia"/>
              </w:rPr>
              <w:t xml:space="preserve">172.86%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AA35B" w14:textId="77777777" w:rsidR="00C77304" w:rsidRDefault="00C77304">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49BD31" w14:textId="77777777" w:rsidR="00C77304" w:rsidRDefault="00C77304">
            <w:pPr>
              <w:spacing w:line="360" w:lineRule="auto"/>
              <w:jc w:val="right"/>
            </w:pPr>
            <w:r>
              <w:rPr>
                <w:rFonts w:ascii="宋体" w:hAnsi="宋体" w:hint="eastAsia"/>
              </w:rPr>
              <w:t xml:space="preserve">-117.92%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BC031" w14:textId="77777777" w:rsidR="00C77304" w:rsidRDefault="00C77304">
            <w:pPr>
              <w:spacing w:line="360" w:lineRule="auto"/>
              <w:jc w:val="right"/>
            </w:pPr>
            <w:r>
              <w:rPr>
                <w:rFonts w:ascii="宋体" w:hAnsi="宋体" w:hint="eastAsia"/>
              </w:rPr>
              <w:t xml:space="preserve">-0.10% </w:t>
            </w:r>
          </w:p>
        </w:tc>
      </w:tr>
    </w:tbl>
    <w:p w14:paraId="59B2483C" w14:textId="77777777" w:rsidR="00C77304" w:rsidRDefault="00C77304">
      <w:pPr>
        <w:spacing w:line="360" w:lineRule="auto"/>
        <w:jc w:val="center"/>
        <w:divId w:val="468594932"/>
      </w:pPr>
      <w:r>
        <w:rPr>
          <w:rFonts w:ascii="宋体" w:hAnsi="宋体" w:hint="eastAsia"/>
        </w:rPr>
        <w:t>摩根全球天然资源混合(QDII)C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B721B" w14:paraId="291CC04E" w14:textId="77777777">
        <w:trPr>
          <w:divId w:val="46859493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8A093B" w14:textId="77777777" w:rsidR="00C77304" w:rsidRDefault="00C7730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90D154" w14:textId="77777777" w:rsidR="00C77304" w:rsidRDefault="00C7730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BB8CDC" w14:textId="77777777" w:rsidR="00C77304" w:rsidRDefault="00C7730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17ABD0" w14:textId="77777777" w:rsidR="00C77304" w:rsidRDefault="00C7730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2726E0" w14:textId="77777777" w:rsidR="00C77304" w:rsidRDefault="00C7730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B30D3" w14:textId="77777777" w:rsidR="00C77304" w:rsidRDefault="00C7730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5CD322" w14:textId="77777777" w:rsidR="00C77304" w:rsidRDefault="00C77304">
            <w:pPr>
              <w:spacing w:line="360" w:lineRule="auto"/>
              <w:jc w:val="center"/>
            </w:pPr>
            <w:r>
              <w:rPr>
                <w:rFonts w:ascii="宋体" w:hAnsi="宋体" w:hint="eastAsia"/>
              </w:rPr>
              <w:t xml:space="preserve">②－④ </w:t>
            </w:r>
          </w:p>
        </w:tc>
      </w:tr>
      <w:tr w:rsidR="009B721B" w14:paraId="48BE06B5" w14:textId="77777777">
        <w:trPr>
          <w:divId w:val="4685949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A3AF7" w14:textId="77777777" w:rsidR="00C77304" w:rsidRDefault="00C7730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4EC46" w14:textId="77777777" w:rsidR="00C77304" w:rsidRDefault="00C77304">
            <w:pPr>
              <w:spacing w:line="360" w:lineRule="auto"/>
              <w:jc w:val="right"/>
            </w:pPr>
            <w:r>
              <w:rPr>
                <w:rFonts w:ascii="宋体" w:hAnsi="宋体" w:hint="eastAsia"/>
              </w:rPr>
              <w:t xml:space="preserve">17.32%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90B67" w14:textId="77777777" w:rsidR="00C77304" w:rsidRDefault="00C77304">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73D52" w14:textId="77777777" w:rsidR="00C77304" w:rsidRDefault="00C77304">
            <w:pPr>
              <w:spacing w:line="360" w:lineRule="auto"/>
              <w:jc w:val="right"/>
            </w:pPr>
            <w:r>
              <w:rPr>
                <w:rFonts w:ascii="宋体" w:hAnsi="宋体" w:hint="eastAsia"/>
              </w:rPr>
              <w:t xml:space="preserve">18.21%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83088" w14:textId="77777777" w:rsidR="00C77304" w:rsidRDefault="00C77304">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DA9EA9" w14:textId="77777777" w:rsidR="00C77304" w:rsidRDefault="00C77304">
            <w:pPr>
              <w:spacing w:line="360" w:lineRule="auto"/>
              <w:jc w:val="right"/>
            </w:pPr>
            <w:r>
              <w:rPr>
                <w:rFonts w:ascii="宋体" w:hAnsi="宋体" w:hint="eastAsia"/>
              </w:rPr>
              <w:t xml:space="preserve">-0.89%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5774A" w14:textId="77777777" w:rsidR="00C77304" w:rsidRDefault="00C77304">
            <w:pPr>
              <w:spacing w:line="360" w:lineRule="auto"/>
              <w:jc w:val="right"/>
            </w:pPr>
            <w:r>
              <w:rPr>
                <w:rFonts w:ascii="宋体" w:hAnsi="宋体" w:hint="eastAsia"/>
              </w:rPr>
              <w:t xml:space="preserve">-0.07% </w:t>
            </w:r>
          </w:p>
        </w:tc>
      </w:tr>
      <w:tr w:rsidR="009B721B" w14:paraId="3995EBCC" w14:textId="77777777">
        <w:trPr>
          <w:divId w:val="4685949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429C4" w14:textId="77777777" w:rsidR="00C77304" w:rsidRDefault="00C7730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32024" w14:textId="77777777" w:rsidR="00C77304" w:rsidRDefault="00C77304">
            <w:pPr>
              <w:spacing w:line="360" w:lineRule="auto"/>
              <w:jc w:val="right"/>
            </w:pPr>
            <w:r>
              <w:rPr>
                <w:rFonts w:ascii="宋体" w:hAnsi="宋体" w:hint="eastAsia"/>
              </w:rPr>
              <w:t xml:space="preserve">24.63%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4DA0C" w14:textId="77777777" w:rsidR="00C77304" w:rsidRDefault="00C77304">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DD772" w14:textId="77777777" w:rsidR="00C77304" w:rsidRDefault="00C77304">
            <w:pPr>
              <w:spacing w:line="360" w:lineRule="auto"/>
              <w:jc w:val="right"/>
            </w:pPr>
            <w:r>
              <w:rPr>
                <w:rFonts w:ascii="宋体" w:hAnsi="宋体" w:hint="eastAsia"/>
              </w:rPr>
              <w:t xml:space="preserve">28.02%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F2F7E" w14:textId="77777777" w:rsidR="00C77304" w:rsidRDefault="00C77304">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FDD102" w14:textId="77777777" w:rsidR="00C77304" w:rsidRDefault="00C77304">
            <w:pPr>
              <w:spacing w:line="360" w:lineRule="auto"/>
              <w:jc w:val="right"/>
            </w:pPr>
            <w:r>
              <w:rPr>
                <w:rFonts w:ascii="宋体" w:hAnsi="宋体" w:hint="eastAsia"/>
              </w:rPr>
              <w:t xml:space="preserve">-3.39%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82A92" w14:textId="77777777" w:rsidR="00C77304" w:rsidRDefault="00C77304">
            <w:pPr>
              <w:spacing w:line="360" w:lineRule="auto"/>
              <w:jc w:val="right"/>
            </w:pPr>
            <w:r>
              <w:rPr>
                <w:rFonts w:ascii="宋体" w:hAnsi="宋体" w:hint="eastAsia"/>
              </w:rPr>
              <w:t xml:space="preserve">-0.03% </w:t>
            </w:r>
          </w:p>
        </w:tc>
      </w:tr>
      <w:tr w:rsidR="009B721B" w14:paraId="2938FC06" w14:textId="77777777">
        <w:trPr>
          <w:divId w:val="4685949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3B2E5" w14:textId="77777777" w:rsidR="00C77304" w:rsidRDefault="00C7730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2E777" w14:textId="77777777" w:rsidR="00C77304" w:rsidRDefault="00C77304">
            <w:pPr>
              <w:spacing w:line="360" w:lineRule="auto"/>
              <w:jc w:val="right"/>
            </w:pPr>
            <w:r>
              <w:rPr>
                <w:rFonts w:ascii="宋体" w:hAnsi="宋体" w:hint="eastAsia"/>
              </w:rPr>
              <w:t xml:space="preserve">47.03%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685C4" w14:textId="77777777" w:rsidR="00C77304" w:rsidRDefault="00C77304">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67942" w14:textId="77777777" w:rsidR="00C77304" w:rsidRDefault="00C77304">
            <w:pPr>
              <w:spacing w:line="360" w:lineRule="auto"/>
              <w:jc w:val="right"/>
            </w:pPr>
            <w:r>
              <w:rPr>
                <w:rFonts w:ascii="宋体" w:hAnsi="宋体" w:hint="eastAsia"/>
              </w:rPr>
              <w:t xml:space="preserve">53.85%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6B6A3" w14:textId="77777777" w:rsidR="00C77304" w:rsidRDefault="00C77304">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596701" w14:textId="77777777" w:rsidR="00C77304" w:rsidRDefault="00C77304">
            <w:pPr>
              <w:spacing w:line="360" w:lineRule="auto"/>
              <w:jc w:val="right"/>
            </w:pPr>
            <w:r>
              <w:rPr>
                <w:rFonts w:ascii="宋体" w:hAnsi="宋体" w:hint="eastAsia"/>
              </w:rPr>
              <w:t xml:space="preserve">-6.82%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15864" w14:textId="77777777" w:rsidR="00C77304" w:rsidRDefault="00C77304">
            <w:pPr>
              <w:spacing w:line="360" w:lineRule="auto"/>
              <w:jc w:val="right"/>
            </w:pPr>
            <w:r>
              <w:rPr>
                <w:rFonts w:ascii="宋体" w:hAnsi="宋体" w:hint="eastAsia"/>
              </w:rPr>
              <w:t xml:space="preserve">-0.05% </w:t>
            </w:r>
          </w:p>
        </w:tc>
      </w:tr>
      <w:tr w:rsidR="009B721B" w14:paraId="3A719608" w14:textId="77777777">
        <w:trPr>
          <w:divId w:val="4685949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94A39" w14:textId="77777777" w:rsidR="00C77304" w:rsidRDefault="00C7730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13097" w14:textId="77777777" w:rsidR="00C77304" w:rsidRDefault="00C77304">
            <w:pPr>
              <w:spacing w:line="360" w:lineRule="auto"/>
              <w:jc w:val="right"/>
            </w:pPr>
            <w:r>
              <w:rPr>
                <w:rFonts w:ascii="宋体" w:hAnsi="宋体" w:hint="eastAsia"/>
              </w:rPr>
              <w:t xml:space="preserve">56.31%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2006C" w14:textId="77777777" w:rsidR="00C77304" w:rsidRDefault="00C77304">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71AE8" w14:textId="77777777" w:rsidR="00C77304" w:rsidRDefault="00C77304">
            <w:pPr>
              <w:spacing w:line="360" w:lineRule="auto"/>
              <w:jc w:val="right"/>
            </w:pPr>
            <w:r>
              <w:rPr>
                <w:rFonts w:ascii="宋体" w:hAnsi="宋体" w:hint="eastAsia"/>
              </w:rPr>
              <w:t xml:space="preserve">62.73%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010CB" w14:textId="77777777" w:rsidR="00C77304" w:rsidRDefault="00C77304">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8125C5" w14:textId="77777777" w:rsidR="00C77304" w:rsidRDefault="00C77304">
            <w:pPr>
              <w:spacing w:line="360" w:lineRule="auto"/>
              <w:jc w:val="right"/>
            </w:pPr>
            <w:r>
              <w:rPr>
                <w:rFonts w:ascii="宋体" w:hAnsi="宋体" w:hint="eastAsia"/>
              </w:rPr>
              <w:t xml:space="preserve">-6.42%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2D13B" w14:textId="77777777" w:rsidR="00C77304" w:rsidRDefault="00C77304">
            <w:pPr>
              <w:spacing w:line="360" w:lineRule="auto"/>
              <w:jc w:val="right"/>
            </w:pPr>
            <w:r>
              <w:rPr>
                <w:rFonts w:ascii="宋体" w:hAnsi="宋体" w:hint="eastAsia"/>
              </w:rPr>
              <w:t xml:space="preserve">-0.05% </w:t>
            </w:r>
          </w:p>
        </w:tc>
      </w:tr>
    </w:tbl>
    <w:p w14:paraId="32958354" w14:textId="77777777" w:rsidR="00C77304" w:rsidRDefault="00C77304">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2CDBFFDD" w14:textId="4A448375" w:rsidR="00C77304" w:rsidRDefault="00E80574">
      <w:pPr>
        <w:spacing w:line="360" w:lineRule="auto"/>
        <w:jc w:val="left"/>
        <w:divId w:val="560941325"/>
      </w:pPr>
      <w:bookmarkStart w:id="80" w:name="m07_04_07_09_tab"/>
      <w:bookmarkStart w:id="81" w:name="m07_04_07_09"/>
      <w:bookmarkStart w:id="82" w:name="m01_01"/>
      <w:r>
        <w:rPr>
          <w:rFonts w:ascii="宋体" w:hAnsi="宋体" w:hint="eastAsia"/>
          <w:noProof/>
        </w:rPr>
        <w:drawing>
          <wp:inline distT="0" distB="0" distL="0" distR="0" wp14:anchorId="48B3F433" wp14:editId="3AAC2391">
            <wp:extent cx="5226050" cy="3009900"/>
            <wp:effectExtent l="0" t="0" r="0" b="0"/>
            <wp:docPr id="1091381024" name="图片 109138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EF38CAB" w14:textId="41740A0D" w:rsidR="00C77304" w:rsidRDefault="00E80574">
      <w:pPr>
        <w:spacing w:line="360" w:lineRule="auto"/>
        <w:jc w:val="left"/>
        <w:divId w:val="549465515"/>
      </w:pPr>
      <w:r>
        <w:rPr>
          <w:rFonts w:ascii="宋体" w:hAnsi="宋体" w:hint="eastAsia"/>
          <w:noProof/>
        </w:rPr>
        <w:lastRenderedPageBreak/>
        <w:drawing>
          <wp:inline distT="0" distB="0" distL="0" distR="0" wp14:anchorId="1B2C4DAF" wp14:editId="0DACFA95">
            <wp:extent cx="5226050" cy="3009900"/>
            <wp:effectExtent l="0" t="0" r="0" b="0"/>
            <wp:docPr id="1430159895" name="图片 143015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0682542" w14:textId="77777777" w:rsidR="00C77304" w:rsidRDefault="00C77304">
      <w:pPr>
        <w:spacing w:line="360" w:lineRule="auto"/>
      </w:pPr>
      <w:r>
        <w:rPr>
          <w:rFonts w:ascii="宋体" w:hAnsi="宋体" w:hint="eastAsia"/>
        </w:rPr>
        <w:t>注：</w:t>
      </w:r>
      <w:r>
        <w:rPr>
          <w:rFonts w:ascii="宋体" w:hAnsi="宋体" w:hint="eastAsia"/>
          <w:lang w:eastAsia="zh-Hans"/>
        </w:rPr>
        <w:t>本基金合同生效日为2012年3月26日，图示的时间段为合同生效日至本报告期末。</w:t>
      </w:r>
      <w:r>
        <w:rPr>
          <w:rFonts w:ascii="宋体" w:hAnsi="宋体" w:hint="eastAsia"/>
          <w:lang w:eastAsia="zh-Hans"/>
        </w:rPr>
        <w:br/>
        <w:t xml:space="preserve">　　本基金自　2023年9月22日起增加C类份额，相关数据按实际存续期计算。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80"/>
      <w:bookmarkEnd w:id="81"/>
    </w:p>
    <w:p w14:paraId="266A241A" w14:textId="77777777" w:rsidR="00C77304" w:rsidRDefault="00C77304">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50F7CC17" w14:textId="77777777" w:rsidR="00C77304" w:rsidRDefault="00C77304">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B721B" w14:paraId="38D6EB8C" w14:textId="77777777">
        <w:trPr>
          <w:divId w:val="65256236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5D759B" w14:textId="77777777" w:rsidR="00C77304" w:rsidRDefault="00C77304">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5A0B1" w14:textId="77777777" w:rsidR="00C77304" w:rsidRDefault="00C7730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2508F" w14:textId="77777777" w:rsidR="00C77304" w:rsidRDefault="00C7730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968DF" w14:textId="77777777" w:rsidR="00C77304" w:rsidRDefault="00C7730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91491" w14:textId="77777777" w:rsidR="00C77304" w:rsidRDefault="00C7730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B721B" w14:paraId="2FEE3EB4" w14:textId="77777777">
        <w:trPr>
          <w:divId w:val="65256236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730C7" w14:textId="77777777" w:rsidR="00C77304" w:rsidRDefault="00C7730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710BF" w14:textId="77777777" w:rsidR="00C77304" w:rsidRDefault="00C7730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A29AF" w14:textId="77777777" w:rsidR="00C77304" w:rsidRDefault="00C7730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DDE30" w14:textId="77777777" w:rsidR="00C77304" w:rsidRDefault="00C7730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1B972" w14:textId="77777777" w:rsidR="00C77304" w:rsidRDefault="00C7730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4145F" w14:textId="77777777" w:rsidR="00C77304" w:rsidRDefault="00C77304">
            <w:pPr>
              <w:widowControl/>
              <w:jc w:val="left"/>
            </w:pPr>
          </w:p>
        </w:tc>
      </w:tr>
      <w:tr w:rsidR="009B721B" w14:paraId="185406F3" w14:textId="77777777">
        <w:trPr>
          <w:divId w:val="65256236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85016" w14:textId="77777777" w:rsidR="00C77304" w:rsidRDefault="00C77304">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54DE3" w14:textId="77777777" w:rsidR="00C77304" w:rsidRDefault="00C7730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9B489" w14:textId="77777777" w:rsidR="00C77304" w:rsidRDefault="00C77304">
            <w:pPr>
              <w:jc w:val="center"/>
            </w:pPr>
            <w:r>
              <w:rPr>
                <w:rFonts w:ascii="宋体" w:hAnsi="宋体" w:hint="eastAsia"/>
                <w:szCs w:val="24"/>
                <w:lang w:eastAsia="zh-Hans"/>
              </w:rPr>
              <w:t>2012年3月26日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FD905" w14:textId="77777777" w:rsidR="00C77304" w:rsidRDefault="00C7730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54200" w14:textId="77777777" w:rsidR="00C77304" w:rsidRDefault="00C77304">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1C1C9" w14:textId="77777777" w:rsidR="00C77304" w:rsidRDefault="00C77304">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6A9B6454" w14:textId="77777777" w:rsidR="00C77304" w:rsidRDefault="00C77304">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664D25D" w14:textId="77777777" w:rsidR="00C77304" w:rsidRDefault="00C77304">
      <w:pPr>
        <w:pStyle w:val="XBRLTitle3"/>
        <w:spacing w:before="156" w:line="360" w:lineRule="auto"/>
        <w:ind w:left="624"/>
        <w:divId w:val="508251342"/>
      </w:pPr>
      <w:bookmarkStart w:id="106" w:name="_Toc512519488"/>
      <w:bookmarkStart w:id="107" w:name="_Toc490050009"/>
      <w:bookmarkStart w:id="108" w:name="_Toc438646459"/>
      <w:bookmarkStart w:id="109" w:name="_Toc481075055"/>
      <w:bookmarkStart w:id="110" w:name="_Toc5134656621"/>
      <w:proofErr w:type="spellStart"/>
      <w:r>
        <w:rPr>
          <w:rFonts w:hAnsi="宋体" w:hint="eastAsia"/>
        </w:rPr>
        <w:t>期末兼任私募资产管理计划投资经理的基金经理同时管理的产品情况</w:t>
      </w:r>
      <w:bookmarkEnd w:id="106"/>
      <w:bookmarkEnd w:id="107"/>
      <w:bookmarkEnd w:id="108"/>
      <w:bookmarkEnd w:id="109"/>
      <w:bookmarkEnd w:id="110"/>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9B721B" w14:paraId="68E9EBE7" w14:textId="77777777">
        <w:trPr>
          <w:divId w:val="387803124"/>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4E7308C" w14:textId="77777777" w:rsidR="00C77304" w:rsidRDefault="00C77304">
            <w:pPr>
              <w:snapToGrid w:val="0"/>
              <w:jc w:val="center"/>
            </w:pPr>
            <w:bookmarkStart w:id="111" w:name="m04_01_02_tab"/>
            <w:r>
              <w:rPr>
                <w:rFonts w:ascii="宋体" w:hAnsi="宋体" w:hint="eastAsia"/>
                <w:szCs w:val="24"/>
              </w:rPr>
              <w:lastRenderedPageBreak/>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43E40E0" w14:textId="77777777" w:rsidR="00C77304" w:rsidRDefault="00C77304">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34BBF4C" w14:textId="77777777" w:rsidR="00C77304" w:rsidRDefault="00C77304">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BF68C11" w14:textId="77777777" w:rsidR="00C77304" w:rsidRDefault="00C77304">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C6850A1" w14:textId="77777777" w:rsidR="00C77304" w:rsidRDefault="00C77304">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9B721B" w14:paraId="1F6325B5" w14:textId="77777777">
        <w:trPr>
          <w:divId w:val="387803124"/>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BFEB1" w14:textId="77777777" w:rsidR="00C77304" w:rsidRDefault="00C77304">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36BD37" w14:textId="77777777" w:rsidR="00C77304" w:rsidRDefault="00C77304">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05DCFD" w14:textId="77777777" w:rsidR="00C77304" w:rsidRDefault="00C77304">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FBD969" w14:textId="77777777" w:rsidR="00C77304" w:rsidRDefault="00C77304">
            <w:pPr>
              <w:jc w:val="right"/>
            </w:pPr>
            <w:r>
              <w:rPr>
                <w:rFonts w:ascii="宋体" w:hAnsi="宋体" w:hint="eastAsia"/>
                <w:szCs w:val="24"/>
              </w:rPr>
              <w:t>15,504,039,263.74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D06297" w14:textId="77777777" w:rsidR="00C77304" w:rsidRDefault="00C77304">
            <w:pPr>
              <w:jc w:val="center"/>
            </w:pPr>
            <w:r>
              <w:rPr>
                <w:rFonts w:ascii="宋体" w:hAnsi="宋体" w:hint="eastAsia"/>
                <w:szCs w:val="24"/>
              </w:rPr>
              <w:t>2008-03-08</w:t>
            </w:r>
          </w:p>
        </w:tc>
      </w:tr>
      <w:tr w:rsidR="009B721B" w14:paraId="793110B0" w14:textId="77777777">
        <w:trPr>
          <w:divId w:val="38780312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9AA44FB" w14:textId="77777777" w:rsidR="00C77304" w:rsidRDefault="00C7730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51BD0" w14:textId="77777777" w:rsidR="00C77304" w:rsidRDefault="00C77304">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A8D11B" w14:textId="77777777" w:rsidR="00C77304" w:rsidRDefault="00C77304">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ACAC8" w14:textId="77777777" w:rsidR="00C77304" w:rsidRDefault="00C77304">
            <w:pPr>
              <w:jc w:val="right"/>
            </w:pPr>
            <w:r>
              <w:rPr>
                <w:rFonts w:ascii="宋体" w:hAnsi="宋体" w:hint="eastAsia"/>
                <w:szCs w:val="24"/>
              </w:rPr>
              <w:t>22,159,511.73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F2298F" w14:textId="77777777" w:rsidR="00C77304" w:rsidRDefault="00C77304">
            <w:pPr>
              <w:jc w:val="center"/>
            </w:pPr>
            <w:r>
              <w:rPr>
                <w:rFonts w:ascii="宋体" w:hAnsi="宋体" w:hint="eastAsia"/>
                <w:szCs w:val="24"/>
              </w:rPr>
              <w:t>2021-07-09</w:t>
            </w:r>
          </w:p>
        </w:tc>
      </w:tr>
      <w:tr w:rsidR="009B721B" w14:paraId="6E31E56B" w14:textId="77777777">
        <w:trPr>
          <w:divId w:val="38780312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A5A238D" w14:textId="77777777" w:rsidR="00C77304" w:rsidRDefault="00C7730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12BC8E" w14:textId="77777777" w:rsidR="00C77304" w:rsidRDefault="00C77304">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84F61" w14:textId="77777777" w:rsidR="00C77304" w:rsidRDefault="00C77304">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A1422" w14:textId="77777777" w:rsidR="00C77304" w:rsidRDefault="00C77304">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3124C" w14:textId="77777777" w:rsidR="00C77304" w:rsidRDefault="00C77304">
            <w:pPr>
              <w:jc w:val="center"/>
            </w:pPr>
            <w:r>
              <w:rPr>
                <w:rFonts w:ascii="宋体" w:hAnsi="宋体" w:hint="eastAsia"/>
                <w:szCs w:val="24"/>
              </w:rPr>
              <w:t>-</w:t>
            </w:r>
          </w:p>
        </w:tc>
      </w:tr>
      <w:tr w:rsidR="009B721B" w14:paraId="1C33D819" w14:textId="77777777">
        <w:trPr>
          <w:divId w:val="38780312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B3B3030" w14:textId="77777777" w:rsidR="00C77304" w:rsidRDefault="00C7730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44DB8" w14:textId="77777777" w:rsidR="00C77304" w:rsidRDefault="00C77304">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167319" w14:textId="77777777" w:rsidR="00C77304" w:rsidRDefault="00C77304">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4A453F" w14:textId="77777777" w:rsidR="00C77304" w:rsidRDefault="00C77304">
            <w:pPr>
              <w:jc w:val="right"/>
            </w:pPr>
            <w:r>
              <w:rPr>
                <w:rFonts w:ascii="宋体" w:hAnsi="宋体" w:hint="eastAsia"/>
                <w:szCs w:val="24"/>
              </w:rPr>
              <w:t>15,526,198,775.47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F6072" w14:textId="77777777" w:rsidR="00C77304" w:rsidRDefault="00C77304">
            <w:pPr>
              <w:jc w:val="center"/>
            </w:pPr>
            <w:r>
              <w:rPr>
                <w:rFonts w:ascii="宋体" w:hAnsi="宋体" w:hint="eastAsia"/>
                <w:szCs w:val="24"/>
              </w:rPr>
              <w:t xml:space="preserve">- </w:t>
            </w:r>
          </w:p>
        </w:tc>
      </w:tr>
    </w:tbl>
    <w:p w14:paraId="0BF5F307" w14:textId="77777777" w:rsidR="00C77304" w:rsidRDefault="00C77304">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proofErr w:type="spellStart"/>
      <w:r>
        <w:rPr>
          <w:rFonts w:eastAsia="宋体" w:hint="eastAsia"/>
        </w:rPr>
        <w:t>境外投资顾问为本基金提供投资建议的主要成员简介</w:t>
      </w:r>
      <w:bookmarkEnd w:id="112"/>
      <w:bookmarkEnd w:id="113"/>
      <w:bookmarkEnd w:id="114"/>
      <w:bookmarkEnd w:id="115"/>
      <w:bookmarkEnd w:id="116"/>
      <w:bookmarkEnd w:id="117"/>
      <w:proofErr w:type="spellEnd"/>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421"/>
        <w:gridCol w:w="2142"/>
        <w:gridCol w:w="1464"/>
        <w:gridCol w:w="2631"/>
      </w:tblGrid>
      <w:tr w:rsidR="009B721B" w14:paraId="16297B9A" w14:textId="77777777">
        <w:trPr>
          <w:divId w:val="1953438105"/>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75791301" w14:textId="77777777" w:rsidR="00C77304" w:rsidRDefault="00C77304">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40DB07CC" w14:textId="77777777" w:rsidR="00C77304" w:rsidRDefault="00C77304">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2DC6EF75" w14:textId="77777777" w:rsidR="00C77304" w:rsidRDefault="00C77304">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43DD26E2" w14:textId="77777777" w:rsidR="00C77304" w:rsidRDefault="00C77304">
            <w:pPr>
              <w:jc w:val="center"/>
            </w:pPr>
            <w:r>
              <w:rPr>
                <w:rFonts w:asciiTheme="majorEastAsia" w:eastAsiaTheme="majorEastAsia" w:hAnsiTheme="majorEastAsia" w:hint="eastAsia"/>
              </w:rPr>
              <w:t xml:space="preserve">说明 </w:t>
            </w:r>
          </w:p>
        </w:tc>
      </w:tr>
      <w:tr w:rsidR="009B721B" w14:paraId="13D7E008" w14:textId="77777777">
        <w:trPr>
          <w:divId w:val="195343810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9212" w14:textId="77777777" w:rsidR="00C77304" w:rsidRDefault="00C77304">
            <w:r>
              <w:rPr>
                <w:rFonts w:asciiTheme="majorEastAsia" w:eastAsiaTheme="majorEastAsia" w:hAnsiTheme="majorEastAsia" w:hint="eastAsia"/>
              </w:rPr>
              <w:t>Veronika </w:t>
            </w:r>
            <w:proofErr w:type="spellStart"/>
            <w:r>
              <w:rPr>
                <w:rFonts w:asciiTheme="majorEastAsia" w:eastAsiaTheme="majorEastAsia" w:hAnsiTheme="majorEastAsia" w:hint="eastAsia"/>
              </w:rPr>
              <w:t>Lysogorskaya</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B8F30" w14:textId="77777777" w:rsidR="00C77304" w:rsidRDefault="00C77304">
            <w:r>
              <w:rPr>
                <w:rFonts w:asciiTheme="majorEastAsia" w:eastAsiaTheme="majorEastAsia" w:hAnsiTheme="majorEastAsia" w:hint="eastAsia"/>
              </w:rPr>
              <w:t>摩根资产管理(英国)执行董事，位于伦敦的新兴市场和亚太股票团队的自然资源分析师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0E554" w14:textId="77777777" w:rsidR="00C77304" w:rsidRDefault="00C77304">
            <w:r>
              <w:rPr>
                <w:rFonts w:asciiTheme="majorEastAsia" w:eastAsiaTheme="majorEastAsia" w:hAnsiTheme="majorEastAsia" w:hint="eastAsia"/>
              </w:rPr>
              <w:t>22年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A8688" w14:textId="77777777" w:rsidR="00C77304" w:rsidRDefault="00C77304">
            <w:r>
              <w:rPr>
                <w:rFonts w:asciiTheme="majorEastAsia" w:eastAsiaTheme="majorEastAsia" w:hAnsiTheme="majorEastAsia" w:hint="eastAsia"/>
              </w:rPr>
              <w:t>Veronika </w:t>
            </w:r>
            <w:proofErr w:type="spellStart"/>
            <w:r>
              <w:rPr>
                <w:rFonts w:asciiTheme="majorEastAsia" w:eastAsiaTheme="majorEastAsia" w:hAnsiTheme="majorEastAsia" w:hint="eastAsia"/>
              </w:rPr>
              <w:t>Lysogorskaya</w:t>
            </w:r>
            <w:proofErr w:type="spellEnd"/>
            <w:r>
              <w:rPr>
                <w:rFonts w:asciiTheme="majorEastAsia" w:eastAsiaTheme="majorEastAsia" w:hAnsiTheme="majorEastAsia" w:hint="eastAsia"/>
              </w:rPr>
              <w:t>，执行董事，是位于伦敦的国际股票团队投资经理以及新兴市场和亚太股票团队的自然资源分析师。Veronika自2010年加入公司，之前曾在伦敦的汇丰银行工作，担任中欧、东欧、中东和非洲（CEMEA）地区金属和矿业部门的分析师。在此之前，她曾在莫斯科的ING担任初级股票研究分析师。Veronika在俄罗斯莫斯科的国立大学高等经济学院获得金融学位。</w:t>
            </w:r>
          </w:p>
        </w:tc>
      </w:tr>
      <w:tr w:rsidR="009B721B" w14:paraId="0A3902D7" w14:textId="77777777">
        <w:trPr>
          <w:divId w:val="195343810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A5777" w14:textId="77777777" w:rsidR="00C77304" w:rsidRDefault="00C77304">
            <w:r>
              <w:rPr>
                <w:rFonts w:asciiTheme="majorEastAsia" w:eastAsiaTheme="majorEastAsia" w:hAnsiTheme="majorEastAsia" w:hint="eastAsia"/>
              </w:rPr>
              <w:t>Christopher Korpan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51CA" w14:textId="77777777" w:rsidR="00C77304" w:rsidRDefault="00C77304">
            <w:r>
              <w:rPr>
                <w:rFonts w:asciiTheme="majorEastAsia" w:eastAsiaTheme="majorEastAsia" w:hAnsiTheme="majorEastAsia" w:hint="eastAsia"/>
              </w:rPr>
              <w:t>摩根资产管理(英国)执行董事，投资组合经理，国际股票集团的全球行业专家</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078E5" w14:textId="77777777" w:rsidR="00C77304" w:rsidRDefault="00C77304">
            <w:r>
              <w:rPr>
                <w:rFonts w:asciiTheme="majorEastAsia" w:eastAsiaTheme="majorEastAsia" w:hAnsiTheme="majorEastAsia" w:hint="eastAsia"/>
              </w:rPr>
              <w:t>22年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A99BF" w14:textId="77777777" w:rsidR="00C77304" w:rsidRDefault="00C77304">
            <w:r>
              <w:rPr>
                <w:rFonts w:asciiTheme="majorEastAsia" w:eastAsiaTheme="majorEastAsia" w:hAnsiTheme="majorEastAsia" w:hint="eastAsia"/>
              </w:rPr>
              <w:t>Christopher Korpan，执行董事，是位于伦敦国际股票团队的全球行业专家以及投资经理，自2010年加入公司以来，一直专门研究自然资源中的材料领域。之前曾在加拿大伦丁矿业公司担任业务分析师，并</w:t>
            </w:r>
            <w:proofErr w:type="gramStart"/>
            <w:r>
              <w:rPr>
                <w:rFonts w:asciiTheme="majorEastAsia" w:eastAsiaTheme="majorEastAsia" w:hAnsiTheme="majorEastAsia" w:hint="eastAsia"/>
              </w:rPr>
              <w:t>在贝马黄金</w:t>
            </w:r>
            <w:proofErr w:type="gramEnd"/>
            <w:r>
              <w:rPr>
                <w:rFonts w:asciiTheme="majorEastAsia" w:eastAsiaTheme="majorEastAsia" w:hAnsiTheme="majorEastAsia" w:hint="eastAsia"/>
              </w:rPr>
              <w:t>公司担任地质学家。Christopher　拥有伦敦帝国理工学院的金属和能源金融硕士学位以及爱丁堡大学的地质（荣誉）理学学士学位，并且是特许金融分析师。</w:t>
            </w:r>
          </w:p>
        </w:tc>
      </w:tr>
    </w:tbl>
    <w:p w14:paraId="482EAC66" w14:textId="77777777" w:rsidR="00C77304" w:rsidRDefault="00C77304">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proofErr w:type="spellStart"/>
      <w:r>
        <w:rPr>
          <w:rFonts w:eastAsia="宋体" w:hint="eastAsia"/>
        </w:rPr>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proofErr w:type="spellEnd"/>
      <w:r>
        <w:rPr>
          <w:rFonts w:eastAsia="宋体" w:hint="eastAsia"/>
        </w:rPr>
        <w:t xml:space="preserve"> </w:t>
      </w:r>
    </w:p>
    <w:p w14:paraId="4198AB08" w14:textId="77777777" w:rsidR="00C77304" w:rsidRDefault="00C77304">
      <w:pPr>
        <w:spacing w:line="360" w:lineRule="auto"/>
        <w:ind w:firstLineChars="200" w:firstLine="420"/>
        <w:jc w:val="left"/>
      </w:pPr>
      <w:r>
        <w:rPr>
          <w:rFonts w:ascii="宋体" w:hAnsi="宋体" w:cs="宋体" w:hint="eastAsia"/>
          <w:color w:val="000000"/>
          <w:kern w:val="0"/>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18E633EA" w14:textId="77777777" w:rsidR="00C77304" w:rsidRDefault="00C77304">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proofErr w:type="spellStart"/>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proofErr w:type="spellEnd"/>
      <w:r>
        <w:rPr>
          <w:rFonts w:eastAsia="宋体" w:hint="eastAsia"/>
        </w:rPr>
        <w:t xml:space="preserve"> </w:t>
      </w:r>
    </w:p>
    <w:p w14:paraId="526261F6" w14:textId="77777777" w:rsidR="00C77304" w:rsidRDefault="00C77304">
      <w:pPr>
        <w:pStyle w:val="XBRLTitle3"/>
        <w:spacing w:before="156" w:line="360" w:lineRule="auto"/>
        <w:ind w:left="624"/>
      </w:pPr>
      <w:bookmarkStart w:id="147" w:name="_Toc514088255"/>
      <w:bookmarkStart w:id="148" w:name="_Toc480465425"/>
      <w:bookmarkStart w:id="149" w:name="_Toc513542656"/>
      <w:bookmarkStart w:id="150" w:name="m404_01_0570"/>
      <w:proofErr w:type="spellStart"/>
      <w:r>
        <w:rPr>
          <w:rFonts w:hAnsi="宋体" w:hint="eastAsia"/>
        </w:rPr>
        <w:t>公平交易制度的执行情况</w:t>
      </w:r>
      <w:bookmarkEnd w:id="147"/>
      <w:proofErr w:type="spellEnd"/>
      <w:r>
        <w:rPr>
          <w:rFonts w:hAnsi="宋体" w:hint="eastAsia"/>
        </w:rPr>
        <w:t xml:space="preserve"> </w:t>
      </w:r>
    </w:p>
    <w:p w14:paraId="2354FEEC" w14:textId="77777777" w:rsidR="00C77304" w:rsidRDefault="00C7730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EC4746F" w14:textId="77777777" w:rsidR="00C77304" w:rsidRDefault="00C77304">
      <w:pPr>
        <w:pStyle w:val="XBRLTitle3"/>
        <w:spacing w:before="156" w:line="360" w:lineRule="auto"/>
        <w:ind w:left="624"/>
      </w:pPr>
      <w:bookmarkStart w:id="151" w:name="_Toc514088256"/>
      <w:bookmarkStart w:id="152" w:name="_Toc480465426"/>
      <w:bookmarkStart w:id="153" w:name="_Toc513542657"/>
      <w:bookmarkStart w:id="154" w:name="m404_01_0578"/>
      <w:proofErr w:type="spellStart"/>
      <w:r>
        <w:rPr>
          <w:rFonts w:hAnsi="宋体" w:hint="eastAsia"/>
        </w:rPr>
        <w:t>异常交易行为的专项说明</w:t>
      </w:r>
      <w:bookmarkEnd w:id="151"/>
      <w:proofErr w:type="spellEnd"/>
      <w:r>
        <w:rPr>
          <w:rFonts w:hAnsi="宋体" w:hint="eastAsia"/>
        </w:rPr>
        <w:t xml:space="preserve"> </w:t>
      </w:r>
    </w:p>
    <w:p w14:paraId="21B391DB" w14:textId="77777777" w:rsidR="00C77304" w:rsidRDefault="00C7730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0EF35A3" w14:textId="77777777" w:rsidR="00C77304" w:rsidRDefault="00C77304">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proofErr w:type="spellStart"/>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proofErr w:type="spellEnd"/>
      <w:r>
        <w:rPr>
          <w:rFonts w:eastAsia="宋体" w:hint="eastAsia"/>
        </w:rPr>
        <w:t xml:space="preserve"> </w:t>
      </w:r>
    </w:p>
    <w:p w14:paraId="73E94EBB" w14:textId="77777777" w:rsidR="00C77304" w:rsidRDefault="00C77304">
      <w:pPr>
        <w:pStyle w:val="XBRLTitle3"/>
        <w:spacing w:before="156" w:line="360" w:lineRule="auto"/>
        <w:ind w:left="624"/>
      </w:pPr>
      <w:bookmarkStart w:id="166" w:name="_Toc51408825711"/>
      <w:proofErr w:type="spellStart"/>
      <w:r>
        <w:rPr>
          <w:rFonts w:hAnsi="宋体" w:hint="eastAsia"/>
        </w:rPr>
        <w:t>报告期内基金投资策略和运作分析</w:t>
      </w:r>
      <w:bookmarkEnd w:id="148"/>
      <w:bookmarkEnd w:id="149"/>
      <w:bookmarkEnd w:id="166"/>
      <w:proofErr w:type="spellEnd"/>
      <w:r>
        <w:rPr>
          <w:rFonts w:hAnsi="宋体" w:hint="eastAsia"/>
        </w:rPr>
        <w:t xml:space="preserve"> </w:t>
      </w:r>
    </w:p>
    <w:p w14:paraId="587E55B1" w14:textId="77777777" w:rsidR="00C77304" w:rsidRDefault="00C77304">
      <w:pPr>
        <w:spacing w:line="360" w:lineRule="auto"/>
        <w:ind w:firstLineChars="200" w:firstLine="420"/>
        <w:divId w:val="128666122"/>
      </w:pPr>
      <w:r>
        <w:rPr>
          <w:rFonts w:ascii="宋体" w:hAnsi="宋体" w:hint="eastAsia"/>
          <w:color w:val="000000"/>
          <w:kern w:val="0"/>
          <w:szCs w:val="21"/>
          <w:lang w:eastAsia="zh-Hans"/>
        </w:rPr>
        <w:t>报告期内，美以伊冲突持续升级，以色列对伊朗油气设施的打击引发地区报复，卡塔尔、沙特阿拉伯、科威特和阿联酋等海湾国家的能源设施均受到波及。受中东地缘局势加剧影响，原油价格大幅上涨。年初，有色金属和贵金属延续了去年的涨势，但进入3月后出现回调。本基金所投资的油气板块股票直接受益于油价上涨，工业金属板块也有所上涨，相比之下，贵金属板块表</w:t>
      </w:r>
      <w:r>
        <w:rPr>
          <w:rFonts w:ascii="宋体" w:hAnsi="宋体" w:hint="eastAsia"/>
          <w:color w:val="000000"/>
          <w:kern w:val="0"/>
          <w:szCs w:val="21"/>
          <w:lang w:eastAsia="zh-Hans"/>
        </w:rPr>
        <w:lastRenderedPageBreak/>
        <w:t>现相对滞后。</w:t>
      </w:r>
      <w:r>
        <w:rPr>
          <w:rFonts w:ascii="宋体" w:hAnsi="宋体" w:hint="eastAsia"/>
          <w:color w:val="000000"/>
          <w:kern w:val="0"/>
          <w:szCs w:val="21"/>
          <w:lang w:eastAsia="zh-Hans"/>
        </w:rPr>
        <w:br/>
        <w:t xml:space="preserve">　　截至3月底，通过霍尔木兹海峡的油轮运输量显著下降，仅有少数船只在特定条件下可通行，通常涉及运往部分亚洲国家的伊朗货物。有报道称，伊朗可能设立审查机制，并考虑引入过境费用，这表明该海峡的通行或将逐步演变为一种“许可制”安排，进一步影响全球能源运输格局。</w:t>
      </w:r>
      <w:r>
        <w:rPr>
          <w:rFonts w:ascii="宋体" w:hAnsi="宋体" w:hint="eastAsia"/>
          <w:color w:val="000000"/>
          <w:kern w:val="0"/>
          <w:szCs w:val="21"/>
          <w:lang w:eastAsia="zh-Hans"/>
        </w:rPr>
        <w:br/>
        <w:t xml:space="preserve">　　展望后市，伊朗局势不断升级过程中，特朗普曾宣布推迟对伊朗的袭击，为外交谈判创造了短期窗口，但截至3月底传递出的信号仍是混乱且矛盾的。同时又有更多美军将抵达该地区。即使达成一项可信的停火协议，也不会迅速恢复霍尔木兹海峡的能源运输。因为这存在物理和法律上的限制：运营商需要确保安全性才能开展航运；海上保险必须恢复正常化的条款；整个供应链（油田、炼油厂、码头、船只等）需要逐步重启。如果未来外交进展有限，或将增加我们对未来布伦特原油每桶80美元的长期假设的上行风险。</w:t>
      </w:r>
      <w:r>
        <w:rPr>
          <w:rFonts w:ascii="宋体" w:hAnsi="宋体" w:hint="eastAsia"/>
          <w:color w:val="000000"/>
          <w:kern w:val="0"/>
          <w:szCs w:val="21"/>
          <w:lang w:eastAsia="zh-Hans"/>
        </w:rPr>
        <w:br/>
        <w:t xml:space="preserve">　　在全球地缘政治紧张局势加剧的背景下，投资者对能源安全和资源自主的投资主题愈发关注。世界正经历一场深刻的经济与地缘政治转型，这对实物资产（real assets）产生了深远影响。我们所处的环境已不再如过去十年那样处于供应充足、通胀温和的阶段。当前，政府支出的增加、供应链的重塑，以及对产业政策的重新重视，正在从根本上改变战略性大宗商品的供需格局。这些变化使得供应更加脆弱，价格波动性也显著上升。</w:t>
      </w:r>
      <w:r>
        <w:rPr>
          <w:rFonts w:ascii="宋体" w:hAnsi="宋体" w:hint="eastAsia"/>
          <w:color w:val="000000"/>
          <w:kern w:val="0"/>
          <w:szCs w:val="21"/>
          <w:lang w:eastAsia="zh-Hans"/>
        </w:rPr>
        <w:br/>
        <w:t xml:space="preserve">　　过去十年的资本投入不足、新冠疫情的冲击，以及日益严格的监管环境，使得新项目的启动变得更加困难且成本高昂。这一趋势标志着行业已不再遵循传统的“繁荣与萧条”周期，而是转向以纪律性、长期视角和对可持续回报的追求为核心的发展模式。当前，投资回报的关注点已不再局限于产量增长，而是更加注重资源本身的稀缺性以及公司资本使用的效率。</w:t>
      </w:r>
      <w:r>
        <w:rPr>
          <w:rFonts w:ascii="宋体" w:hAnsi="宋体" w:hint="eastAsia"/>
          <w:color w:val="000000"/>
          <w:kern w:val="0"/>
          <w:szCs w:val="21"/>
          <w:lang w:eastAsia="zh-Hans"/>
        </w:rPr>
        <w:br/>
        <w:t xml:space="preserve">　　能源转型、基础设施升级、国防支出的扩张以及电气化进程的加快，正在催生新的、更具韧性的需求来源。对于铜、银和铝等金属而言，这意味着市场将面临更大的紧缩压力。尤其是能源转型，显著提升了这些金属的战略价值，使其成为国家安全的关键组成部分——也因此被称为“关键矿物”。由于替代方案有限，且需求下降的可能性较低，这为市场前景提供了更强的稳定性。</w:t>
      </w:r>
      <w:r>
        <w:rPr>
          <w:rFonts w:ascii="宋体" w:hAnsi="宋体" w:hint="eastAsia"/>
          <w:color w:val="000000"/>
          <w:kern w:val="0"/>
          <w:szCs w:val="21"/>
          <w:lang w:eastAsia="zh-Hans"/>
        </w:rPr>
        <w:br/>
        <w:t xml:space="preserve">　　与此同时，我们也必须认识到，资源行业已发生深刻变化。企业的资产负债表更加稳健，杠杆率显著下降，资本回报机制也更加透明。管理层与股东的利益日益趋于一致，推动了可持续的自由现金流，并在市场下行时展现出更强的韧性。然而，尽管行业基本面有所改善，当前的估值水平仍然相对保守。许多公司的股价仍低于其重置成本，自由现金流收益率具有吸引力，反映出市场仍基于对周期性复苏和资本充裕等旧范式预期进行定价。</w:t>
      </w:r>
      <w:r>
        <w:rPr>
          <w:rFonts w:ascii="宋体" w:hAnsi="宋体" w:hint="eastAsia"/>
          <w:color w:val="000000"/>
          <w:kern w:val="0"/>
          <w:szCs w:val="21"/>
          <w:lang w:eastAsia="zh-Hans"/>
        </w:rPr>
        <w:br/>
        <w:t xml:space="preserve">　　结构性供应约束、政策驱动的需求增长，以及行业整体纪律性的提升，正在创造独特的投资机会。这标志着投资格局的根本性转变：在这一新周期中，实物资产、通胀对冲以及地缘政治的</w:t>
      </w:r>
      <w:r>
        <w:rPr>
          <w:rFonts w:ascii="宋体" w:hAnsi="宋体" w:hint="eastAsia"/>
          <w:color w:val="000000"/>
          <w:kern w:val="0"/>
          <w:szCs w:val="21"/>
          <w:lang w:eastAsia="zh-Hans"/>
        </w:rPr>
        <w:lastRenderedPageBreak/>
        <w:t>不确定性，或将主导市场的长期趋势。</w:t>
      </w:r>
      <w:r>
        <w:rPr>
          <w:rFonts w:ascii="宋体" w:hAnsi="宋体" w:hint="eastAsia"/>
          <w:color w:val="000000"/>
          <w:kern w:val="0"/>
          <w:sz w:val="24"/>
        </w:rPr>
        <w:t xml:space="preserve"> </w:t>
      </w:r>
      <w:bookmarkEnd w:id="82"/>
    </w:p>
    <w:p w14:paraId="01AA5320" w14:textId="77777777" w:rsidR="00C77304" w:rsidRDefault="00C77304">
      <w:pPr>
        <w:pStyle w:val="XBRLTitle3"/>
        <w:spacing w:before="156" w:line="360" w:lineRule="auto"/>
        <w:ind w:left="624"/>
      </w:pPr>
      <w:bookmarkStart w:id="167" w:name="_Toc51408825712"/>
      <w:bookmarkEnd w:id="150"/>
      <w:proofErr w:type="spellStart"/>
      <w:r>
        <w:rPr>
          <w:rFonts w:hAnsi="宋体" w:hint="eastAsia"/>
        </w:rPr>
        <w:t>报告期内基金的业绩表现</w:t>
      </w:r>
      <w:bookmarkEnd w:id="152"/>
      <w:bookmarkEnd w:id="153"/>
      <w:bookmarkEnd w:id="167"/>
      <w:proofErr w:type="spellEnd"/>
      <w:r>
        <w:rPr>
          <w:rFonts w:hAnsi="宋体" w:hint="eastAsia"/>
        </w:rPr>
        <w:t xml:space="preserve"> </w:t>
      </w:r>
    </w:p>
    <w:p w14:paraId="7E43B4B5" w14:textId="77777777" w:rsidR="00C77304" w:rsidRDefault="00C77304">
      <w:pPr>
        <w:spacing w:line="360" w:lineRule="auto"/>
        <w:ind w:firstLineChars="200" w:firstLine="420"/>
        <w:jc w:val="left"/>
      </w:pPr>
      <w:r>
        <w:rPr>
          <w:rFonts w:ascii="宋体" w:hAnsi="宋体" w:cs="宋体" w:hint="eastAsia"/>
          <w:color w:val="000000"/>
          <w:kern w:val="0"/>
        </w:rPr>
        <w:t>本报告期摩根全球天然资源混合(QDII)A份额净值增长率为：17.53%，同期业绩比较基准收益率为：18.21%；</w:t>
      </w:r>
      <w:r>
        <w:rPr>
          <w:rFonts w:ascii="宋体" w:hAnsi="宋体" w:cs="宋体" w:hint="eastAsia"/>
          <w:color w:val="000000"/>
          <w:kern w:val="0"/>
        </w:rPr>
        <w:br/>
        <w:t xml:space="preserve">　　摩根全球天然资源混合(QDII)C份额净值增长率为：17.32%，同期业绩比较基准收益率为：18.21%。</w:t>
      </w:r>
      <w:bookmarkEnd w:id="154"/>
    </w:p>
    <w:p w14:paraId="06788BE7" w14:textId="77777777" w:rsidR="00C77304" w:rsidRDefault="00C77304">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proofErr w:type="spellStart"/>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proofErr w:type="spellEnd"/>
      <w:r>
        <w:rPr>
          <w:rFonts w:eastAsia="宋体" w:hint="eastAsia"/>
        </w:rPr>
        <w:t xml:space="preserve"> </w:t>
      </w:r>
    </w:p>
    <w:p w14:paraId="599BDD94" w14:textId="77777777" w:rsidR="00C77304" w:rsidRDefault="00C77304">
      <w:pPr>
        <w:spacing w:line="360" w:lineRule="auto"/>
        <w:ind w:firstLineChars="200" w:firstLine="420"/>
        <w:jc w:val="left"/>
      </w:pPr>
      <w:r>
        <w:rPr>
          <w:rFonts w:ascii="宋体" w:hAnsi="宋体" w:hint="eastAsia"/>
        </w:rPr>
        <w:t>无。</w:t>
      </w:r>
    </w:p>
    <w:p w14:paraId="4B906D9A" w14:textId="77777777" w:rsidR="00C77304" w:rsidRDefault="00C77304">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proofErr w:type="spellStart"/>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roofErr w:type="spellEnd"/>
    </w:p>
    <w:p w14:paraId="7EC989EE" w14:textId="77777777" w:rsidR="00C77304" w:rsidRDefault="00C77304">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proofErr w:type="spellStart"/>
      <w:r>
        <w:rPr>
          <w:rFonts w:eastAsia="宋体" w:hint="eastAsia"/>
        </w:rPr>
        <w:t>报告期末基金资产组合情况</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9B721B" w14:paraId="434E5328"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BD5943" w14:textId="77777777" w:rsidR="00C77304" w:rsidRDefault="00C77304">
            <w:pPr>
              <w:jc w:val="center"/>
            </w:pPr>
            <w:bookmarkStart w:id="205" w:name="m08QD_01_tab"/>
            <w:bookmarkStart w:id="206" w:name="OLE_LINK46"/>
            <w:bookmarkStart w:id="207" w:name="OLE_LINK45"/>
            <w:bookmarkStart w:id="208" w:name="OLE_LINK42"/>
            <w:bookmarkStart w:id="209" w:name="OLE_LINK41"/>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3F162519" w14:textId="77777777" w:rsidR="00C77304" w:rsidRDefault="00C77304">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4F9A0E0B" w14:textId="77777777" w:rsidR="00C77304" w:rsidRDefault="00C77304">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64198D4B" w14:textId="77777777" w:rsidR="00C77304" w:rsidRDefault="00C7730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B721B" w14:paraId="4D00F889"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ED9085D" w14:textId="77777777" w:rsidR="00C77304" w:rsidRDefault="00C77304">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5722A1AA" w14:textId="77777777" w:rsidR="00C77304" w:rsidRDefault="00C7730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6A0D457" w14:textId="77777777" w:rsidR="00C77304" w:rsidRDefault="00C77304">
            <w:pPr>
              <w:jc w:val="right"/>
            </w:pPr>
            <w:r>
              <w:rPr>
                <w:rFonts w:ascii="宋体" w:hAnsi="宋体" w:hint="eastAsia"/>
                <w:szCs w:val="24"/>
                <w:lang w:eastAsia="zh-Hans"/>
              </w:rPr>
              <w:t>790,289,170.17</w:t>
            </w:r>
          </w:p>
        </w:tc>
        <w:tc>
          <w:tcPr>
            <w:tcW w:w="2373" w:type="dxa"/>
            <w:tcBorders>
              <w:top w:val="single" w:sz="4" w:space="0" w:color="auto"/>
              <w:left w:val="nil"/>
              <w:bottom w:val="single" w:sz="4" w:space="0" w:color="auto"/>
              <w:right w:val="single" w:sz="4" w:space="0" w:color="auto"/>
            </w:tcBorders>
            <w:vAlign w:val="center"/>
            <w:hideMark/>
          </w:tcPr>
          <w:p w14:paraId="42FF08CA" w14:textId="77777777" w:rsidR="00C77304" w:rsidRDefault="00C77304">
            <w:pPr>
              <w:jc w:val="right"/>
            </w:pPr>
            <w:r>
              <w:rPr>
                <w:rFonts w:ascii="宋体" w:hAnsi="宋体" w:hint="eastAsia"/>
                <w:szCs w:val="24"/>
                <w:lang w:eastAsia="zh-Hans"/>
              </w:rPr>
              <w:t>79.79</w:t>
            </w:r>
          </w:p>
        </w:tc>
      </w:tr>
      <w:tr w:rsidR="009B721B" w14:paraId="5C10471C"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94B80BA"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0963B0F" w14:textId="77777777" w:rsidR="00C77304" w:rsidRDefault="00C77304">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E647FF9" w14:textId="77777777" w:rsidR="00C77304" w:rsidRDefault="00C77304">
            <w:pPr>
              <w:jc w:val="right"/>
            </w:pPr>
            <w:r>
              <w:rPr>
                <w:rFonts w:ascii="宋体" w:hAnsi="宋体" w:hint="eastAsia"/>
                <w:szCs w:val="24"/>
                <w:lang w:eastAsia="zh-Hans"/>
              </w:rPr>
              <w:t>753,123,413.84</w:t>
            </w:r>
          </w:p>
        </w:tc>
        <w:tc>
          <w:tcPr>
            <w:tcW w:w="2373" w:type="dxa"/>
            <w:tcBorders>
              <w:top w:val="single" w:sz="4" w:space="0" w:color="auto"/>
              <w:left w:val="nil"/>
              <w:bottom w:val="single" w:sz="4" w:space="0" w:color="auto"/>
              <w:right w:val="single" w:sz="4" w:space="0" w:color="auto"/>
            </w:tcBorders>
            <w:vAlign w:val="center"/>
            <w:hideMark/>
          </w:tcPr>
          <w:p w14:paraId="308E3EE9" w14:textId="77777777" w:rsidR="00C77304" w:rsidRDefault="00C77304">
            <w:pPr>
              <w:jc w:val="right"/>
            </w:pPr>
            <w:r>
              <w:rPr>
                <w:rFonts w:ascii="宋体" w:hAnsi="宋体" w:hint="eastAsia"/>
                <w:szCs w:val="24"/>
                <w:lang w:eastAsia="zh-Hans"/>
              </w:rPr>
              <w:t>76.04</w:t>
            </w:r>
          </w:p>
        </w:tc>
      </w:tr>
      <w:tr w:rsidR="009B721B" w14:paraId="71723729"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784EE89"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1BFF727" w14:textId="77777777" w:rsidR="00C77304" w:rsidRDefault="00C77304">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C7976E5"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AD32653" w14:textId="77777777" w:rsidR="00C77304" w:rsidRDefault="00C77304">
            <w:pPr>
              <w:jc w:val="right"/>
            </w:pPr>
            <w:r>
              <w:rPr>
                <w:rFonts w:ascii="宋体" w:hAnsi="宋体" w:hint="eastAsia"/>
                <w:szCs w:val="24"/>
                <w:lang w:eastAsia="zh-Hans"/>
              </w:rPr>
              <w:t>-</w:t>
            </w:r>
          </w:p>
        </w:tc>
      </w:tr>
      <w:tr w:rsidR="009B721B" w14:paraId="27040CA4"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5BB0725"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30DFBF8" w14:textId="77777777" w:rsidR="00C77304" w:rsidRDefault="00C77304">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A8837A7" w14:textId="77777777" w:rsidR="00C77304" w:rsidRDefault="00C77304">
            <w:pPr>
              <w:jc w:val="right"/>
            </w:pPr>
            <w:r>
              <w:rPr>
                <w:rFonts w:ascii="宋体" w:hAnsi="宋体" w:hint="eastAsia"/>
                <w:szCs w:val="24"/>
                <w:lang w:eastAsia="zh-Hans"/>
              </w:rPr>
              <w:t>37,165,756.33</w:t>
            </w:r>
          </w:p>
        </w:tc>
        <w:tc>
          <w:tcPr>
            <w:tcW w:w="2373" w:type="dxa"/>
            <w:tcBorders>
              <w:top w:val="single" w:sz="4" w:space="0" w:color="auto"/>
              <w:left w:val="nil"/>
              <w:bottom w:val="single" w:sz="4" w:space="0" w:color="auto"/>
              <w:right w:val="single" w:sz="4" w:space="0" w:color="auto"/>
            </w:tcBorders>
            <w:vAlign w:val="center"/>
            <w:hideMark/>
          </w:tcPr>
          <w:p w14:paraId="16CBE45A" w14:textId="77777777" w:rsidR="00C77304" w:rsidRDefault="00C77304">
            <w:pPr>
              <w:jc w:val="right"/>
            </w:pPr>
            <w:r>
              <w:rPr>
                <w:rFonts w:ascii="宋体" w:hAnsi="宋体" w:hint="eastAsia"/>
                <w:szCs w:val="24"/>
                <w:lang w:eastAsia="zh-Hans"/>
              </w:rPr>
              <w:t>3.75</w:t>
            </w:r>
          </w:p>
        </w:tc>
      </w:tr>
      <w:tr w:rsidR="009B721B" w14:paraId="662FAA2A"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165AF0A"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4F90D12" w14:textId="77777777" w:rsidR="00C77304" w:rsidRDefault="00C77304">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1771760"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0C87B51" w14:textId="77777777" w:rsidR="00C77304" w:rsidRDefault="00C77304">
            <w:pPr>
              <w:jc w:val="right"/>
            </w:pPr>
            <w:r>
              <w:rPr>
                <w:rFonts w:ascii="宋体" w:hAnsi="宋体" w:hint="eastAsia"/>
                <w:szCs w:val="24"/>
                <w:lang w:eastAsia="zh-Hans"/>
              </w:rPr>
              <w:t>-</w:t>
            </w:r>
          </w:p>
        </w:tc>
      </w:tr>
      <w:tr w:rsidR="009B721B" w14:paraId="69090E93"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DA001FF" w14:textId="77777777" w:rsidR="00C77304" w:rsidRDefault="00C77304">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0E796D54" w14:textId="77777777" w:rsidR="00C77304" w:rsidRDefault="00C7730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363F340"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C77BFE3" w14:textId="77777777" w:rsidR="00C77304" w:rsidRDefault="00C77304">
            <w:pPr>
              <w:jc w:val="right"/>
            </w:pPr>
            <w:r>
              <w:rPr>
                <w:rFonts w:ascii="宋体" w:hAnsi="宋体" w:hint="eastAsia"/>
                <w:szCs w:val="24"/>
                <w:lang w:eastAsia="zh-Hans"/>
              </w:rPr>
              <w:t>-</w:t>
            </w:r>
          </w:p>
        </w:tc>
      </w:tr>
      <w:tr w:rsidR="009B721B" w14:paraId="2177C28F"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B811690" w14:textId="77777777" w:rsidR="00C77304" w:rsidRDefault="00C77304">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424B6123" w14:textId="77777777" w:rsidR="00C77304" w:rsidRDefault="00C7730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0DA58D9"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38F7492" w14:textId="77777777" w:rsidR="00C77304" w:rsidRDefault="00C77304">
            <w:pPr>
              <w:jc w:val="right"/>
            </w:pPr>
            <w:r>
              <w:rPr>
                <w:rFonts w:ascii="宋体" w:hAnsi="宋体" w:hint="eastAsia"/>
                <w:szCs w:val="24"/>
                <w:lang w:eastAsia="zh-Hans"/>
              </w:rPr>
              <w:t>-</w:t>
            </w:r>
          </w:p>
        </w:tc>
      </w:tr>
      <w:tr w:rsidR="009B721B" w14:paraId="17F77C6A"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A6FA04D"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7654DDC" w14:textId="77777777" w:rsidR="00C77304" w:rsidRDefault="00C7730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68F15A"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8FFCA0F" w14:textId="77777777" w:rsidR="00C77304" w:rsidRDefault="00C77304">
            <w:pPr>
              <w:jc w:val="right"/>
            </w:pPr>
            <w:r>
              <w:rPr>
                <w:rFonts w:ascii="宋体" w:hAnsi="宋体" w:hint="eastAsia"/>
                <w:szCs w:val="24"/>
                <w:lang w:eastAsia="zh-Hans"/>
              </w:rPr>
              <w:t>-</w:t>
            </w:r>
          </w:p>
        </w:tc>
      </w:tr>
      <w:tr w:rsidR="009B721B" w14:paraId="204D5C43"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C6CB59E"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1803056" w14:textId="77777777" w:rsidR="00C77304" w:rsidRDefault="00C77304">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DCB2716"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5A75AA6" w14:textId="77777777" w:rsidR="00C77304" w:rsidRDefault="00C77304">
            <w:pPr>
              <w:jc w:val="right"/>
            </w:pPr>
            <w:r>
              <w:rPr>
                <w:rFonts w:ascii="宋体" w:hAnsi="宋体" w:hint="eastAsia"/>
                <w:szCs w:val="24"/>
                <w:lang w:eastAsia="zh-Hans"/>
              </w:rPr>
              <w:t>-</w:t>
            </w:r>
          </w:p>
        </w:tc>
      </w:tr>
      <w:tr w:rsidR="009B721B" w14:paraId="11EAD719"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2D93488" w14:textId="77777777" w:rsidR="00C77304" w:rsidRDefault="00C77304">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71C1161A" w14:textId="77777777" w:rsidR="00C77304" w:rsidRDefault="00C7730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779D557"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7FA21AE" w14:textId="77777777" w:rsidR="00C77304" w:rsidRDefault="00C77304">
            <w:pPr>
              <w:jc w:val="right"/>
            </w:pPr>
            <w:r>
              <w:rPr>
                <w:rFonts w:ascii="宋体" w:hAnsi="宋体" w:hint="eastAsia"/>
                <w:szCs w:val="24"/>
                <w:lang w:eastAsia="zh-Hans"/>
              </w:rPr>
              <w:t>-</w:t>
            </w:r>
          </w:p>
        </w:tc>
      </w:tr>
      <w:tr w:rsidR="009B721B" w14:paraId="4C7E0FDC"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94A871C"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B2E43BE" w14:textId="77777777" w:rsidR="00C77304" w:rsidRDefault="00C77304">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8E9B28D"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873C5F5" w14:textId="77777777" w:rsidR="00C77304" w:rsidRDefault="00C77304">
            <w:pPr>
              <w:jc w:val="right"/>
            </w:pPr>
            <w:r>
              <w:rPr>
                <w:rFonts w:ascii="宋体" w:hAnsi="宋体" w:hint="eastAsia"/>
                <w:szCs w:val="24"/>
                <w:lang w:eastAsia="zh-Hans"/>
              </w:rPr>
              <w:t>-</w:t>
            </w:r>
          </w:p>
        </w:tc>
      </w:tr>
      <w:tr w:rsidR="009B721B" w14:paraId="47ED306D"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B334C2E"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9FE51B6" w14:textId="77777777" w:rsidR="00C77304" w:rsidRDefault="00C77304">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C917428"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321EF7D" w14:textId="77777777" w:rsidR="00C77304" w:rsidRDefault="00C77304">
            <w:pPr>
              <w:jc w:val="right"/>
            </w:pPr>
            <w:r>
              <w:rPr>
                <w:rFonts w:ascii="宋体" w:hAnsi="宋体" w:hint="eastAsia"/>
                <w:szCs w:val="24"/>
                <w:lang w:eastAsia="zh-Hans"/>
              </w:rPr>
              <w:t>-</w:t>
            </w:r>
          </w:p>
        </w:tc>
      </w:tr>
      <w:tr w:rsidR="009B721B" w14:paraId="19665B19"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167B145"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2089595" w14:textId="77777777" w:rsidR="00C77304" w:rsidRDefault="00C77304">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E5F562A"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A794559" w14:textId="77777777" w:rsidR="00C77304" w:rsidRDefault="00C77304">
            <w:pPr>
              <w:jc w:val="right"/>
            </w:pPr>
            <w:r>
              <w:rPr>
                <w:rFonts w:ascii="宋体" w:hAnsi="宋体" w:hint="eastAsia"/>
                <w:szCs w:val="24"/>
                <w:lang w:eastAsia="zh-Hans"/>
              </w:rPr>
              <w:t>-</w:t>
            </w:r>
          </w:p>
        </w:tc>
      </w:tr>
      <w:tr w:rsidR="009B721B" w14:paraId="51A1DFBC"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6C199FD"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C3D3276" w14:textId="77777777" w:rsidR="00C77304" w:rsidRDefault="00C77304">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2C5B181"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5379D7E" w14:textId="77777777" w:rsidR="00C77304" w:rsidRDefault="00C77304">
            <w:pPr>
              <w:jc w:val="right"/>
            </w:pPr>
            <w:r>
              <w:rPr>
                <w:rFonts w:ascii="宋体" w:hAnsi="宋体" w:hint="eastAsia"/>
                <w:szCs w:val="24"/>
                <w:lang w:eastAsia="zh-Hans"/>
              </w:rPr>
              <w:t>-</w:t>
            </w:r>
          </w:p>
        </w:tc>
      </w:tr>
      <w:tr w:rsidR="009B721B" w14:paraId="1CD2E27C"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A111DE4" w14:textId="77777777" w:rsidR="00C77304" w:rsidRDefault="00C77304">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0DB49191" w14:textId="77777777" w:rsidR="00C77304" w:rsidRDefault="00C7730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3412411"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5118973" w14:textId="77777777" w:rsidR="00C77304" w:rsidRDefault="00C77304">
            <w:pPr>
              <w:jc w:val="right"/>
            </w:pPr>
            <w:r>
              <w:rPr>
                <w:rFonts w:ascii="宋体" w:hAnsi="宋体" w:hint="eastAsia"/>
                <w:szCs w:val="24"/>
                <w:lang w:eastAsia="zh-Hans"/>
              </w:rPr>
              <w:t>-</w:t>
            </w:r>
          </w:p>
        </w:tc>
      </w:tr>
      <w:tr w:rsidR="009B721B" w14:paraId="4C71D274"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147837D" w14:textId="77777777" w:rsidR="00C77304" w:rsidRDefault="00C7730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F8C4774" w14:textId="77777777" w:rsidR="00C77304" w:rsidRDefault="00C7730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39DD5FB"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926B170" w14:textId="77777777" w:rsidR="00C77304" w:rsidRDefault="00C77304">
            <w:pPr>
              <w:jc w:val="right"/>
            </w:pPr>
            <w:r>
              <w:rPr>
                <w:rFonts w:ascii="宋体" w:hAnsi="宋体" w:hint="eastAsia"/>
                <w:szCs w:val="24"/>
                <w:lang w:eastAsia="zh-Hans"/>
              </w:rPr>
              <w:t>-</w:t>
            </w:r>
          </w:p>
        </w:tc>
      </w:tr>
      <w:tr w:rsidR="009B721B" w14:paraId="2882714A"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5A391E5" w14:textId="77777777" w:rsidR="00C77304" w:rsidRDefault="00C77304">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2F20CB4B" w14:textId="77777777" w:rsidR="00C77304" w:rsidRDefault="00C77304">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823D291" w14:textId="77777777" w:rsidR="00C77304" w:rsidRDefault="00C7730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151C1BE" w14:textId="77777777" w:rsidR="00C77304" w:rsidRDefault="00C77304">
            <w:pPr>
              <w:jc w:val="right"/>
            </w:pPr>
            <w:r>
              <w:rPr>
                <w:rFonts w:ascii="宋体" w:hAnsi="宋体" w:hint="eastAsia"/>
                <w:szCs w:val="24"/>
                <w:lang w:eastAsia="zh-Hans"/>
              </w:rPr>
              <w:t>-</w:t>
            </w:r>
          </w:p>
        </w:tc>
      </w:tr>
      <w:tr w:rsidR="009B721B" w14:paraId="2D10C7D3"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F40E080" w14:textId="77777777" w:rsidR="00C77304" w:rsidRDefault="00C77304">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66F16650" w14:textId="77777777" w:rsidR="00C77304" w:rsidRDefault="00C7730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5EF06C5" w14:textId="77777777" w:rsidR="00C77304" w:rsidRDefault="00C77304">
            <w:pPr>
              <w:jc w:val="right"/>
            </w:pPr>
            <w:r>
              <w:rPr>
                <w:rFonts w:ascii="宋体" w:hAnsi="宋体" w:hint="eastAsia"/>
                <w:szCs w:val="24"/>
                <w:lang w:eastAsia="zh-Hans"/>
              </w:rPr>
              <w:t>160,196,914.88</w:t>
            </w:r>
          </w:p>
        </w:tc>
        <w:tc>
          <w:tcPr>
            <w:tcW w:w="2373" w:type="dxa"/>
            <w:tcBorders>
              <w:top w:val="single" w:sz="4" w:space="0" w:color="auto"/>
              <w:left w:val="nil"/>
              <w:bottom w:val="single" w:sz="4" w:space="0" w:color="auto"/>
              <w:right w:val="single" w:sz="4" w:space="0" w:color="auto"/>
            </w:tcBorders>
            <w:vAlign w:val="center"/>
            <w:hideMark/>
          </w:tcPr>
          <w:p w14:paraId="4DE38922" w14:textId="77777777" w:rsidR="00C77304" w:rsidRDefault="00C77304">
            <w:pPr>
              <w:jc w:val="right"/>
            </w:pPr>
            <w:r>
              <w:rPr>
                <w:rFonts w:ascii="宋体" w:hAnsi="宋体" w:hint="eastAsia"/>
                <w:szCs w:val="24"/>
                <w:lang w:eastAsia="zh-Hans"/>
              </w:rPr>
              <w:t>16.17</w:t>
            </w:r>
          </w:p>
        </w:tc>
      </w:tr>
      <w:tr w:rsidR="009B721B" w14:paraId="079FF8A4"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7CEC7C2" w14:textId="77777777" w:rsidR="00C77304" w:rsidRDefault="00C77304">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52D26313" w14:textId="77777777" w:rsidR="00C77304" w:rsidRDefault="00C7730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C2FA4A5" w14:textId="77777777" w:rsidR="00C77304" w:rsidRDefault="00C77304">
            <w:pPr>
              <w:jc w:val="right"/>
            </w:pPr>
            <w:r>
              <w:rPr>
                <w:rFonts w:ascii="宋体" w:hAnsi="宋体" w:hint="eastAsia"/>
                <w:szCs w:val="24"/>
                <w:lang w:eastAsia="zh-Hans"/>
              </w:rPr>
              <w:t>39,964,955.40</w:t>
            </w:r>
          </w:p>
        </w:tc>
        <w:tc>
          <w:tcPr>
            <w:tcW w:w="2373" w:type="dxa"/>
            <w:tcBorders>
              <w:top w:val="single" w:sz="4" w:space="0" w:color="auto"/>
              <w:left w:val="nil"/>
              <w:bottom w:val="single" w:sz="4" w:space="0" w:color="auto"/>
              <w:right w:val="single" w:sz="4" w:space="0" w:color="auto"/>
            </w:tcBorders>
            <w:vAlign w:val="center"/>
            <w:hideMark/>
          </w:tcPr>
          <w:p w14:paraId="7ACC387C" w14:textId="77777777" w:rsidR="00C77304" w:rsidRDefault="00C77304">
            <w:pPr>
              <w:jc w:val="right"/>
            </w:pPr>
            <w:r>
              <w:rPr>
                <w:rFonts w:ascii="宋体" w:hAnsi="宋体" w:hint="eastAsia"/>
                <w:szCs w:val="24"/>
                <w:lang w:eastAsia="zh-Hans"/>
              </w:rPr>
              <w:t>4.04</w:t>
            </w:r>
          </w:p>
        </w:tc>
      </w:tr>
      <w:tr w:rsidR="009B721B" w14:paraId="637E2A67" w14:textId="77777777">
        <w:trPr>
          <w:divId w:val="13433582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F126E57" w14:textId="77777777" w:rsidR="00C77304" w:rsidRDefault="00C77304">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211FD361" w14:textId="77777777" w:rsidR="00C77304" w:rsidRDefault="00C7730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CFCE68F" w14:textId="77777777" w:rsidR="00C77304" w:rsidRDefault="00C77304">
            <w:pPr>
              <w:jc w:val="right"/>
            </w:pPr>
            <w:r>
              <w:rPr>
                <w:rFonts w:ascii="宋体" w:hAnsi="宋体" w:hint="eastAsia"/>
                <w:szCs w:val="24"/>
                <w:lang w:eastAsia="zh-Hans"/>
              </w:rPr>
              <w:t>990,451,040.45</w:t>
            </w:r>
          </w:p>
        </w:tc>
        <w:tc>
          <w:tcPr>
            <w:tcW w:w="2373" w:type="dxa"/>
            <w:tcBorders>
              <w:top w:val="single" w:sz="4" w:space="0" w:color="auto"/>
              <w:left w:val="nil"/>
              <w:bottom w:val="single" w:sz="4" w:space="0" w:color="auto"/>
              <w:right w:val="single" w:sz="4" w:space="0" w:color="auto"/>
            </w:tcBorders>
            <w:vAlign w:val="center"/>
            <w:hideMark/>
          </w:tcPr>
          <w:p w14:paraId="6D25F03C" w14:textId="77777777" w:rsidR="00C77304" w:rsidRDefault="00C77304">
            <w:pPr>
              <w:jc w:val="right"/>
            </w:pPr>
            <w:r>
              <w:rPr>
                <w:rFonts w:ascii="宋体" w:hAnsi="宋体" w:hint="eastAsia"/>
                <w:szCs w:val="24"/>
                <w:lang w:eastAsia="zh-Hans"/>
              </w:rPr>
              <w:t>100.00</w:t>
            </w:r>
          </w:p>
        </w:tc>
      </w:tr>
    </w:tbl>
    <w:p w14:paraId="7A2D8DF4" w14:textId="77777777" w:rsidR="00C77304" w:rsidRDefault="00C77304">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机制投资的港股公允价值为人民币38,902,443.01元,占期末净值比例为4.48%。</w:t>
      </w:r>
    </w:p>
    <w:p w14:paraId="40ABAFFE" w14:textId="77777777" w:rsidR="00C77304" w:rsidRDefault="00C77304">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proofErr w:type="spellStart"/>
      <w:r>
        <w:rPr>
          <w:rFonts w:eastAsia="宋体" w:hint="eastAsia"/>
        </w:rPr>
        <w:lastRenderedPageBreak/>
        <w:t>报告期末在各个国家（地区）证券市场的股票及存托凭证投资分布</w:t>
      </w:r>
      <w:bookmarkEnd w:id="210"/>
      <w:bookmarkEnd w:id="211"/>
      <w:bookmarkEnd w:id="212"/>
      <w:bookmarkEnd w:id="213"/>
      <w:bookmarkEnd w:id="214"/>
      <w:bookmarkEnd w:id="215"/>
      <w:proofErr w:type="spellEnd"/>
      <w:r>
        <w:rPr>
          <w:rFonts w:hint="eastAsia"/>
        </w:rPr>
        <w:t xml:space="preserve"> </w:t>
      </w:r>
      <w:bookmarkEnd w:id="216"/>
      <w:bookmarkEnd w:id="217"/>
      <w:bookmarkEnd w:id="218"/>
      <w:bookmarkEnd w:id="219"/>
      <w:bookmarkEnd w:id="220"/>
    </w:p>
    <w:tbl>
      <w:tblPr>
        <w:tblW w:w="5000" w:type="pct"/>
        <w:tblLook w:val="04A0" w:firstRow="1" w:lastRow="0" w:firstColumn="1" w:lastColumn="0" w:noHBand="0" w:noVBand="1"/>
      </w:tblPr>
      <w:tblGrid>
        <w:gridCol w:w="2032"/>
        <w:gridCol w:w="3621"/>
        <w:gridCol w:w="3182"/>
      </w:tblGrid>
      <w:tr w:rsidR="009B721B" w14:paraId="09A06226" w14:textId="77777777">
        <w:trPr>
          <w:divId w:val="806581505"/>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58B81E9" w14:textId="77777777" w:rsidR="00C77304" w:rsidRDefault="00C77304">
            <w:pPr>
              <w:jc w:val="center"/>
            </w:pPr>
            <w:bookmarkStart w:id="221" w:name="m08QD_02"/>
            <w:bookmarkStart w:id="222"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4038AEF" w14:textId="77777777" w:rsidR="00C77304" w:rsidRDefault="00C77304">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6F5AAA6" w14:textId="77777777" w:rsidR="00C77304" w:rsidRDefault="00C77304">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9B721B" w14:paraId="21689EDE"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E1F5FD" w14:textId="77777777" w:rsidR="00C77304" w:rsidRDefault="00C77304">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FA6CEDD" w14:textId="77777777" w:rsidR="00C77304" w:rsidRDefault="00C77304">
            <w:pPr>
              <w:jc w:val="right"/>
            </w:pPr>
            <w:r>
              <w:rPr>
                <w:rFonts w:ascii="宋体" w:hAnsi="宋体" w:hint="eastAsia"/>
                <w:szCs w:val="21"/>
                <w:lang w:eastAsia="zh-Hans"/>
              </w:rPr>
              <w:t>470,442,315.37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D5AD9F6" w14:textId="77777777" w:rsidR="00C77304" w:rsidRDefault="00C77304">
            <w:pPr>
              <w:jc w:val="right"/>
            </w:pPr>
            <w:r>
              <w:rPr>
                <w:rFonts w:ascii="宋体" w:hAnsi="宋体" w:hint="eastAsia"/>
                <w:szCs w:val="21"/>
                <w:lang w:eastAsia="zh-Hans"/>
              </w:rPr>
              <w:t>54.23</w:t>
            </w:r>
          </w:p>
        </w:tc>
      </w:tr>
      <w:tr w:rsidR="009B721B" w14:paraId="02A993DA"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A35EB9" w14:textId="77777777" w:rsidR="00C77304" w:rsidRDefault="00C77304">
            <w:r>
              <w:rPr>
                <w:rFonts w:ascii="宋体" w:hAnsi="宋体" w:hint="eastAsia"/>
                <w:szCs w:val="21"/>
                <w:lang w:eastAsia="zh-Hans"/>
              </w:rPr>
              <w:t>加拿大</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775C244" w14:textId="77777777" w:rsidR="00C77304" w:rsidRDefault="00C77304">
            <w:pPr>
              <w:jc w:val="right"/>
            </w:pPr>
            <w:r>
              <w:rPr>
                <w:rFonts w:ascii="宋体" w:hAnsi="宋体" w:hint="eastAsia"/>
                <w:szCs w:val="21"/>
                <w:lang w:eastAsia="zh-Hans"/>
              </w:rPr>
              <w:t>129,842,652.00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AA631F" w14:textId="77777777" w:rsidR="00C77304" w:rsidRDefault="00C77304">
            <w:pPr>
              <w:jc w:val="right"/>
            </w:pPr>
            <w:r>
              <w:rPr>
                <w:rFonts w:ascii="宋体" w:hAnsi="宋体" w:hint="eastAsia"/>
                <w:szCs w:val="21"/>
                <w:lang w:eastAsia="zh-Hans"/>
              </w:rPr>
              <w:t>14.97</w:t>
            </w:r>
          </w:p>
        </w:tc>
      </w:tr>
      <w:tr w:rsidR="009B721B" w14:paraId="0652A5B7"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99C1C6" w14:textId="77777777" w:rsidR="00C77304" w:rsidRDefault="00C77304">
            <w:r>
              <w:rPr>
                <w:rFonts w:ascii="宋体" w:hAnsi="宋体" w:hint="eastAsia"/>
                <w:szCs w:val="21"/>
                <w:lang w:eastAsia="zh-Hans"/>
              </w:rPr>
              <w:t>英国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ABAFE3" w14:textId="77777777" w:rsidR="00C77304" w:rsidRDefault="00C77304">
            <w:pPr>
              <w:jc w:val="right"/>
            </w:pPr>
            <w:r>
              <w:rPr>
                <w:rFonts w:ascii="宋体" w:hAnsi="宋体" w:hint="eastAsia"/>
                <w:szCs w:val="21"/>
                <w:lang w:eastAsia="zh-Hans"/>
              </w:rPr>
              <w:t>64,377,074.79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87519B" w14:textId="77777777" w:rsidR="00C77304" w:rsidRDefault="00C77304">
            <w:pPr>
              <w:jc w:val="right"/>
            </w:pPr>
            <w:r>
              <w:rPr>
                <w:rFonts w:ascii="宋体" w:hAnsi="宋体" w:hint="eastAsia"/>
                <w:szCs w:val="21"/>
                <w:lang w:eastAsia="zh-Hans"/>
              </w:rPr>
              <w:t>7.42</w:t>
            </w:r>
          </w:p>
        </w:tc>
      </w:tr>
      <w:tr w:rsidR="009B721B" w14:paraId="694CE4FE"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AC2171" w14:textId="77777777" w:rsidR="00C77304" w:rsidRDefault="00C77304">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58BBC3A" w14:textId="77777777" w:rsidR="00C77304" w:rsidRDefault="00C77304">
            <w:pPr>
              <w:jc w:val="right"/>
            </w:pPr>
            <w:r>
              <w:rPr>
                <w:rFonts w:ascii="宋体" w:hAnsi="宋体" w:hint="eastAsia"/>
                <w:szCs w:val="21"/>
                <w:lang w:eastAsia="zh-Hans"/>
              </w:rPr>
              <w:t>38,902,443.01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C0BE2E" w14:textId="77777777" w:rsidR="00C77304" w:rsidRDefault="00C77304">
            <w:pPr>
              <w:jc w:val="right"/>
            </w:pPr>
            <w:r>
              <w:rPr>
                <w:rFonts w:ascii="宋体" w:hAnsi="宋体" w:hint="eastAsia"/>
                <w:szCs w:val="21"/>
                <w:lang w:eastAsia="zh-Hans"/>
              </w:rPr>
              <w:t>4.48</w:t>
            </w:r>
          </w:p>
        </w:tc>
      </w:tr>
      <w:tr w:rsidR="009B721B" w14:paraId="4141C796"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F9CEE5" w14:textId="77777777" w:rsidR="00C77304" w:rsidRDefault="00C77304">
            <w:r>
              <w:rPr>
                <w:rFonts w:ascii="宋体" w:hAnsi="宋体" w:hint="eastAsia"/>
                <w:szCs w:val="21"/>
                <w:lang w:eastAsia="zh-Hans"/>
              </w:rPr>
              <w:t>澳大利亚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B83133E" w14:textId="77777777" w:rsidR="00C77304" w:rsidRDefault="00C77304">
            <w:pPr>
              <w:jc w:val="right"/>
            </w:pPr>
            <w:r>
              <w:rPr>
                <w:rFonts w:ascii="宋体" w:hAnsi="宋体" w:hint="eastAsia"/>
                <w:szCs w:val="21"/>
                <w:lang w:eastAsia="zh-Hans"/>
              </w:rPr>
              <w:t>32,818,568.27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E85E228" w14:textId="77777777" w:rsidR="00C77304" w:rsidRDefault="00C77304">
            <w:pPr>
              <w:jc w:val="right"/>
            </w:pPr>
            <w:r>
              <w:rPr>
                <w:rFonts w:ascii="宋体" w:hAnsi="宋体" w:hint="eastAsia"/>
                <w:szCs w:val="21"/>
                <w:lang w:eastAsia="zh-Hans"/>
              </w:rPr>
              <w:t>3.78</w:t>
            </w:r>
          </w:p>
        </w:tc>
      </w:tr>
      <w:tr w:rsidR="009B721B" w14:paraId="0A4F07A3"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92A208" w14:textId="77777777" w:rsidR="00C77304" w:rsidRDefault="00C77304">
            <w:r>
              <w:rPr>
                <w:rFonts w:ascii="宋体" w:hAnsi="宋体" w:hint="eastAsia"/>
                <w:szCs w:val="21"/>
                <w:lang w:eastAsia="zh-Hans"/>
              </w:rPr>
              <w:t>日本</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B5ECCE4" w14:textId="77777777" w:rsidR="00C77304" w:rsidRDefault="00C77304">
            <w:pPr>
              <w:jc w:val="right"/>
            </w:pPr>
            <w:r>
              <w:rPr>
                <w:rFonts w:ascii="宋体" w:hAnsi="宋体" w:hint="eastAsia"/>
                <w:szCs w:val="21"/>
                <w:lang w:eastAsia="zh-Hans"/>
              </w:rPr>
              <w:t>20,478,702.76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E74BAC" w14:textId="77777777" w:rsidR="00C77304" w:rsidRDefault="00C77304">
            <w:pPr>
              <w:jc w:val="right"/>
            </w:pPr>
            <w:r>
              <w:rPr>
                <w:rFonts w:ascii="宋体" w:hAnsi="宋体" w:hint="eastAsia"/>
                <w:szCs w:val="21"/>
                <w:lang w:eastAsia="zh-Hans"/>
              </w:rPr>
              <w:t>2.36</w:t>
            </w:r>
          </w:p>
        </w:tc>
      </w:tr>
      <w:tr w:rsidR="009B721B" w14:paraId="13C3F32F"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E4BF53" w14:textId="77777777" w:rsidR="00C77304" w:rsidRDefault="00C77304">
            <w:r>
              <w:rPr>
                <w:rFonts w:ascii="宋体" w:hAnsi="宋体" w:hint="eastAsia"/>
                <w:szCs w:val="21"/>
                <w:lang w:eastAsia="zh-Hans"/>
              </w:rPr>
              <w:t>奥地利</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8C9517" w14:textId="77777777" w:rsidR="00C77304" w:rsidRDefault="00C77304">
            <w:pPr>
              <w:jc w:val="right"/>
            </w:pPr>
            <w:r>
              <w:rPr>
                <w:rFonts w:ascii="宋体" w:hAnsi="宋体" w:hint="eastAsia"/>
                <w:szCs w:val="21"/>
                <w:lang w:eastAsia="zh-Hans"/>
              </w:rPr>
              <w:t>9,267,479.14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406732" w14:textId="77777777" w:rsidR="00C77304" w:rsidRDefault="00C77304">
            <w:pPr>
              <w:jc w:val="right"/>
            </w:pPr>
            <w:r>
              <w:rPr>
                <w:rFonts w:ascii="宋体" w:hAnsi="宋体" w:hint="eastAsia"/>
                <w:szCs w:val="21"/>
                <w:lang w:eastAsia="zh-Hans"/>
              </w:rPr>
              <w:t>1.07</w:t>
            </w:r>
          </w:p>
        </w:tc>
      </w:tr>
      <w:tr w:rsidR="009B721B" w14:paraId="2BD17C2F"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551C07" w14:textId="77777777" w:rsidR="00C77304" w:rsidRDefault="00C77304">
            <w:r>
              <w:rPr>
                <w:rFonts w:ascii="宋体" w:hAnsi="宋体" w:hint="eastAsia"/>
                <w:szCs w:val="21"/>
                <w:lang w:eastAsia="zh-Hans"/>
              </w:rPr>
              <w:t>葡萄牙</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211D18" w14:textId="77777777" w:rsidR="00C77304" w:rsidRDefault="00C77304">
            <w:pPr>
              <w:jc w:val="right"/>
            </w:pPr>
            <w:r>
              <w:rPr>
                <w:rFonts w:ascii="宋体" w:hAnsi="宋体" w:hint="eastAsia"/>
                <w:szCs w:val="21"/>
                <w:lang w:eastAsia="zh-Hans"/>
              </w:rPr>
              <w:t>7,760,523.70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6618C8" w14:textId="77777777" w:rsidR="00C77304" w:rsidRDefault="00C77304">
            <w:pPr>
              <w:jc w:val="right"/>
            </w:pPr>
            <w:r>
              <w:rPr>
                <w:rFonts w:ascii="宋体" w:hAnsi="宋体" w:hint="eastAsia"/>
                <w:szCs w:val="21"/>
                <w:lang w:eastAsia="zh-Hans"/>
              </w:rPr>
              <w:t>0.89</w:t>
            </w:r>
          </w:p>
        </w:tc>
      </w:tr>
      <w:tr w:rsidR="009B721B" w14:paraId="3A7EC9FB"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95F483" w14:textId="77777777" w:rsidR="00C77304" w:rsidRDefault="00C77304">
            <w:r>
              <w:rPr>
                <w:rFonts w:ascii="宋体" w:hAnsi="宋体" w:hint="eastAsia"/>
                <w:szCs w:val="21"/>
                <w:lang w:eastAsia="zh-Hans"/>
              </w:rPr>
              <w:t>瑞典</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9D20C78" w14:textId="77777777" w:rsidR="00C77304" w:rsidRDefault="00C77304">
            <w:pPr>
              <w:jc w:val="right"/>
            </w:pPr>
            <w:r>
              <w:rPr>
                <w:rFonts w:ascii="宋体" w:hAnsi="宋体" w:hint="eastAsia"/>
                <w:szCs w:val="21"/>
                <w:lang w:eastAsia="zh-Hans"/>
              </w:rPr>
              <w:t>6,090,189.93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A35515B" w14:textId="77777777" w:rsidR="00C77304" w:rsidRDefault="00C77304">
            <w:pPr>
              <w:jc w:val="right"/>
            </w:pPr>
            <w:r>
              <w:rPr>
                <w:rFonts w:ascii="宋体" w:hAnsi="宋体" w:hint="eastAsia"/>
                <w:szCs w:val="21"/>
                <w:lang w:eastAsia="zh-Hans"/>
              </w:rPr>
              <w:t>0.70</w:t>
            </w:r>
          </w:p>
        </w:tc>
      </w:tr>
      <w:tr w:rsidR="009B721B" w14:paraId="2A266A6E"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176552" w14:textId="77777777" w:rsidR="00C77304" w:rsidRDefault="00C77304">
            <w:r>
              <w:rPr>
                <w:rFonts w:ascii="宋体" w:hAnsi="宋体" w:hint="eastAsia"/>
                <w:szCs w:val="21"/>
                <w:lang w:eastAsia="zh-Hans"/>
              </w:rPr>
              <w:t>挪威</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596CB09" w14:textId="77777777" w:rsidR="00C77304" w:rsidRDefault="00C77304">
            <w:pPr>
              <w:jc w:val="right"/>
            </w:pPr>
            <w:r>
              <w:rPr>
                <w:rFonts w:ascii="宋体" w:hAnsi="宋体" w:hint="eastAsia"/>
                <w:szCs w:val="21"/>
                <w:lang w:eastAsia="zh-Hans"/>
              </w:rPr>
              <w:t>4,634,647.29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F806B7" w14:textId="77777777" w:rsidR="00C77304" w:rsidRDefault="00C77304">
            <w:pPr>
              <w:jc w:val="right"/>
            </w:pPr>
            <w:r>
              <w:rPr>
                <w:rFonts w:ascii="宋体" w:hAnsi="宋体" w:hint="eastAsia"/>
                <w:szCs w:val="21"/>
                <w:lang w:eastAsia="zh-Hans"/>
              </w:rPr>
              <w:t>0.53</w:t>
            </w:r>
          </w:p>
        </w:tc>
      </w:tr>
      <w:tr w:rsidR="009B721B" w14:paraId="7AD736EF"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CDD089" w14:textId="77777777" w:rsidR="00C77304" w:rsidRDefault="00C77304">
            <w:r>
              <w:rPr>
                <w:rFonts w:ascii="宋体" w:hAnsi="宋体" w:hint="eastAsia"/>
                <w:szCs w:val="21"/>
                <w:lang w:eastAsia="zh-Hans"/>
              </w:rPr>
              <w:t>法国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C5D1B0" w14:textId="77777777" w:rsidR="00C77304" w:rsidRDefault="00C77304">
            <w:pPr>
              <w:jc w:val="right"/>
            </w:pPr>
            <w:r>
              <w:rPr>
                <w:rFonts w:ascii="宋体" w:hAnsi="宋体" w:hint="eastAsia"/>
                <w:szCs w:val="21"/>
                <w:lang w:eastAsia="zh-Hans"/>
              </w:rPr>
              <w:t>3,190,604.95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0A3670" w14:textId="77777777" w:rsidR="00C77304" w:rsidRDefault="00C77304">
            <w:pPr>
              <w:jc w:val="right"/>
            </w:pPr>
            <w:r>
              <w:rPr>
                <w:rFonts w:ascii="宋体" w:hAnsi="宋体" w:hint="eastAsia"/>
                <w:szCs w:val="21"/>
                <w:lang w:eastAsia="zh-Hans"/>
              </w:rPr>
              <w:t>0.37</w:t>
            </w:r>
          </w:p>
        </w:tc>
      </w:tr>
      <w:tr w:rsidR="009B721B" w14:paraId="0D877277"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635D45" w14:textId="77777777" w:rsidR="00C77304" w:rsidRDefault="00C77304">
            <w:r>
              <w:rPr>
                <w:rFonts w:ascii="宋体" w:hAnsi="宋体" w:hint="eastAsia"/>
                <w:szCs w:val="21"/>
                <w:lang w:eastAsia="zh-Hans"/>
              </w:rPr>
              <w:t>南非</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7FDF004" w14:textId="77777777" w:rsidR="00C77304" w:rsidRDefault="00C77304">
            <w:pPr>
              <w:jc w:val="right"/>
            </w:pPr>
            <w:r>
              <w:rPr>
                <w:rFonts w:ascii="宋体" w:hAnsi="宋体" w:hint="eastAsia"/>
                <w:szCs w:val="21"/>
                <w:lang w:eastAsia="zh-Hans"/>
              </w:rPr>
              <w:t>2,483,968.96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ED9C06" w14:textId="77777777" w:rsidR="00C77304" w:rsidRDefault="00C77304">
            <w:pPr>
              <w:jc w:val="right"/>
            </w:pPr>
            <w:r>
              <w:rPr>
                <w:rFonts w:ascii="宋体" w:hAnsi="宋体" w:hint="eastAsia"/>
                <w:szCs w:val="21"/>
                <w:lang w:eastAsia="zh-Hans"/>
              </w:rPr>
              <w:t>0.29</w:t>
            </w:r>
          </w:p>
        </w:tc>
      </w:tr>
      <w:tr w:rsidR="009B721B" w14:paraId="5D81DB83" w14:textId="77777777">
        <w:trPr>
          <w:divId w:val="806581505"/>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3F025E" w14:textId="77777777" w:rsidR="00C77304" w:rsidRDefault="00C77304">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C4AA066" w14:textId="77777777" w:rsidR="00C77304" w:rsidRDefault="00C77304">
            <w:pPr>
              <w:jc w:val="right"/>
            </w:pPr>
            <w:r>
              <w:rPr>
                <w:rFonts w:ascii="宋体" w:hAnsi="宋体" w:hint="eastAsia"/>
                <w:szCs w:val="21"/>
                <w:lang w:eastAsia="zh-Hans"/>
              </w:rPr>
              <w:t>790,289,170.17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5F83123" w14:textId="77777777" w:rsidR="00C77304" w:rsidRDefault="00C77304">
            <w:pPr>
              <w:jc w:val="right"/>
            </w:pPr>
            <w:r>
              <w:rPr>
                <w:rFonts w:ascii="宋体" w:hAnsi="宋体" w:hint="eastAsia"/>
                <w:szCs w:val="21"/>
                <w:lang w:eastAsia="zh-Hans"/>
              </w:rPr>
              <w:t>91.10</w:t>
            </w:r>
            <w:bookmarkEnd w:id="221"/>
          </w:p>
        </w:tc>
      </w:tr>
    </w:tbl>
    <w:p w14:paraId="59CF1B96" w14:textId="77777777" w:rsidR="00C77304" w:rsidRDefault="00C77304">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79623204" w14:textId="77777777" w:rsidR="00C77304" w:rsidRDefault="00C77304">
      <w:pPr>
        <w:pStyle w:val="XBRLTitle2"/>
        <w:spacing w:before="156" w:line="360" w:lineRule="auto"/>
        <w:ind w:left="454"/>
      </w:pPr>
      <w:bookmarkStart w:id="223" w:name="_Toc514088262"/>
      <w:bookmarkStart w:id="224" w:name="_Toc480465434"/>
      <w:bookmarkStart w:id="225" w:name="_Toc448480300"/>
      <w:bookmarkStart w:id="226" w:name="_Toc438654088"/>
      <w:bookmarkStart w:id="227" w:name="_Toc456107133"/>
      <w:bookmarkStart w:id="228" w:name="_Toc459213779"/>
      <w:bookmarkStart w:id="229" w:name="_Toc513542663"/>
      <w:bookmarkStart w:id="230" w:name="_Toc512696265"/>
      <w:bookmarkStart w:id="231" w:name="_Toc512612268"/>
      <w:bookmarkStart w:id="232" w:name="_Toc512612092"/>
      <w:bookmarkStart w:id="233" w:name="_Toc512611296"/>
      <w:bookmarkStart w:id="234" w:name="m503"/>
      <w:bookmarkEnd w:id="222"/>
      <w:proofErr w:type="spellStart"/>
      <w:r>
        <w:rPr>
          <w:rFonts w:eastAsia="宋体" w:hint="eastAsia"/>
        </w:rPr>
        <w:t>报告期末按行业分类的股票及存托凭证投资组合</w:t>
      </w:r>
      <w:bookmarkEnd w:id="223"/>
      <w:bookmarkEnd w:id="224"/>
      <w:bookmarkEnd w:id="225"/>
      <w:bookmarkEnd w:id="226"/>
      <w:bookmarkEnd w:id="227"/>
      <w:bookmarkEnd w:id="228"/>
      <w:proofErr w:type="spellEnd"/>
      <w:r>
        <w:rPr>
          <w:rFonts w:hint="eastAsia"/>
        </w:rPr>
        <w:t xml:space="preserve"> </w:t>
      </w:r>
      <w:bookmarkEnd w:id="229"/>
      <w:bookmarkEnd w:id="230"/>
      <w:bookmarkEnd w:id="231"/>
      <w:bookmarkEnd w:id="232"/>
      <w:bookmarkEnd w:id="233"/>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9B721B" w14:paraId="327C1233" w14:textId="77777777">
        <w:trPr>
          <w:divId w:val="1408459129"/>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725AC34" w14:textId="77777777" w:rsidR="00C77304" w:rsidRDefault="00C77304">
            <w:pPr>
              <w:jc w:val="center"/>
            </w:pPr>
            <w:bookmarkStart w:id="235" w:name="m08QD_03_01_tab"/>
            <w:bookmarkStart w:id="236" w:name="m08QD_03_tab"/>
            <w:bookmarkStart w:id="237"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B4C1E56" w14:textId="77777777" w:rsidR="00C77304" w:rsidRDefault="00C77304">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347BBF" w14:textId="77777777" w:rsidR="00C77304" w:rsidRDefault="00C77304">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9B721B" w14:paraId="01DA2201" w14:textId="77777777">
        <w:trPr>
          <w:divId w:val="140845912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2F0C4" w14:textId="77777777" w:rsidR="00C77304" w:rsidRDefault="00C77304">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B6F90" w14:textId="77777777" w:rsidR="00C77304" w:rsidRDefault="00C77304">
            <w:pPr>
              <w:jc w:val="right"/>
            </w:pPr>
            <w:r>
              <w:rPr>
                <w:rFonts w:ascii="宋体" w:hAnsi="宋体" w:hint="eastAsia"/>
                <w:color w:val="000000"/>
                <w:lang w:eastAsia="zh-Hans"/>
              </w:rPr>
              <w:t>297,833,859.56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3B16A" w14:textId="77777777" w:rsidR="00C77304" w:rsidRDefault="00C77304">
            <w:pPr>
              <w:jc w:val="right"/>
            </w:pPr>
            <w:r>
              <w:rPr>
                <w:rFonts w:ascii="宋体" w:hAnsi="宋体" w:hint="eastAsia"/>
                <w:color w:val="000000"/>
                <w:lang w:eastAsia="zh-Hans"/>
              </w:rPr>
              <w:t>34.33</w:t>
            </w:r>
          </w:p>
        </w:tc>
      </w:tr>
      <w:tr w:rsidR="009B721B" w14:paraId="14E0000F" w14:textId="77777777">
        <w:trPr>
          <w:divId w:val="140845912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72275" w14:textId="77777777" w:rsidR="00C77304" w:rsidRDefault="00C77304">
            <w:pPr>
              <w:jc w:val="left"/>
            </w:pPr>
            <w:r>
              <w:rPr>
                <w:rFonts w:ascii="宋体" w:hAnsi="宋体" w:hint="eastAsia"/>
                <w:color w:val="000000"/>
                <w:lang w:eastAsia="zh-Hans"/>
              </w:rPr>
              <w:t>能源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1AEC9" w14:textId="77777777" w:rsidR="00C77304" w:rsidRDefault="00C77304">
            <w:pPr>
              <w:jc w:val="right"/>
            </w:pPr>
            <w:r>
              <w:rPr>
                <w:rFonts w:ascii="宋体" w:hAnsi="宋体" w:hint="eastAsia"/>
                <w:color w:val="000000"/>
                <w:lang w:eastAsia="zh-Hans"/>
              </w:rPr>
              <w:t>492,455,310.61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B1C0D" w14:textId="77777777" w:rsidR="00C77304" w:rsidRDefault="00C77304">
            <w:pPr>
              <w:jc w:val="right"/>
            </w:pPr>
            <w:r>
              <w:rPr>
                <w:rFonts w:ascii="宋体" w:hAnsi="宋体" w:hint="eastAsia"/>
                <w:color w:val="000000"/>
                <w:lang w:eastAsia="zh-Hans"/>
              </w:rPr>
              <w:t>56.77</w:t>
            </w:r>
          </w:p>
        </w:tc>
      </w:tr>
      <w:tr w:rsidR="009B721B" w14:paraId="39072D1B" w14:textId="77777777">
        <w:trPr>
          <w:divId w:val="140845912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6EF10D" w14:textId="77777777" w:rsidR="00C77304" w:rsidRDefault="00C77304">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26300" w14:textId="77777777" w:rsidR="00C77304" w:rsidRDefault="00C77304">
            <w:pPr>
              <w:jc w:val="right"/>
            </w:pPr>
            <w:r>
              <w:rPr>
                <w:rFonts w:ascii="宋体" w:hAnsi="宋体" w:hint="eastAsia"/>
                <w:color w:val="000000"/>
                <w:lang w:eastAsia="zh-Hans"/>
              </w:rPr>
              <w:t>790,289,170.17</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CEAC4" w14:textId="77777777" w:rsidR="00C77304" w:rsidRDefault="00C77304">
            <w:pPr>
              <w:jc w:val="right"/>
            </w:pPr>
            <w:r>
              <w:rPr>
                <w:rFonts w:ascii="宋体" w:hAnsi="宋体" w:hint="eastAsia"/>
                <w:color w:val="000000"/>
                <w:lang w:eastAsia="zh-Hans"/>
              </w:rPr>
              <w:t>91.10</w:t>
            </w:r>
          </w:p>
        </w:tc>
      </w:tr>
    </w:tbl>
    <w:p w14:paraId="635A3EB9" w14:textId="77777777" w:rsidR="00C77304" w:rsidRDefault="00C77304">
      <w:pPr>
        <w:spacing w:line="360" w:lineRule="auto"/>
        <w:jc w:val="left"/>
        <w:divId w:val="53771828"/>
      </w:pPr>
      <w:bookmarkStart w:id="238" w:name="_Toc247616244"/>
      <w:bookmarkStart w:id="239" w:name="_Toc433036708"/>
      <w:bookmarkStart w:id="240" w:name="_Toc247613259"/>
      <w:bookmarkStart w:id="241" w:name="m08QD_04_01"/>
      <w:bookmarkStart w:id="242" w:name="m07_04_07_02"/>
      <w:bookmarkEnd w:id="235"/>
      <w:bookmarkEnd w:id="236"/>
      <w:bookmarkEnd w:id="237"/>
      <w:r>
        <w:rPr>
          <w:rFonts w:ascii="宋体" w:hAnsi="宋体" w:hint="eastAsia"/>
          <w:szCs w:val="21"/>
        </w:rPr>
        <w:t>注：</w:t>
      </w:r>
      <w:r>
        <w:rPr>
          <w:rFonts w:ascii="宋体" w:hAnsi="宋体" w:hint="eastAsia"/>
          <w:szCs w:val="21"/>
          <w:lang w:eastAsia="zh-Hans"/>
        </w:rPr>
        <w:t>以上分类采用全球行业分类标准(GICS)。</w:t>
      </w:r>
      <w:bookmarkEnd w:id="238"/>
      <w:bookmarkEnd w:id="239"/>
      <w:bookmarkEnd w:id="240"/>
      <w:r>
        <w:rPr>
          <w:rFonts w:ascii="宋体" w:hAnsi="宋体" w:hint="eastAsia"/>
          <w:szCs w:val="21"/>
          <w:lang w:eastAsia="zh-Hans"/>
        </w:rPr>
        <w:t xml:space="preserve"> </w:t>
      </w:r>
    </w:p>
    <w:p w14:paraId="182517DA" w14:textId="77777777" w:rsidR="00C77304" w:rsidRDefault="00C77304">
      <w:pPr>
        <w:pStyle w:val="XBRLTitle2"/>
        <w:spacing w:before="156" w:line="360" w:lineRule="auto"/>
        <w:ind w:left="454"/>
      </w:pPr>
      <w:bookmarkStart w:id="243" w:name="_Toc5140882991"/>
      <w:bookmarkStart w:id="244" w:name="_Toc480465441"/>
      <w:bookmarkStart w:id="245" w:name="_Toc459213786"/>
      <w:bookmarkStart w:id="246" w:name="_Toc456107140"/>
      <w:bookmarkStart w:id="247" w:name="_Toc438654095"/>
      <w:bookmarkStart w:id="248" w:name="_Toc448480307"/>
      <w:bookmarkStart w:id="249" w:name="_Toc513542670"/>
      <w:bookmarkStart w:id="250" w:name="_Toc512696272"/>
      <w:bookmarkStart w:id="251" w:name="_Toc512612275"/>
      <w:bookmarkStart w:id="252" w:name="_Toc512612099"/>
      <w:bookmarkStart w:id="253" w:name="_Toc512611303"/>
      <w:bookmarkEnd w:id="234"/>
      <w:proofErr w:type="spellStart"/>
      <w:r>
        <w:rPr>
          <w:rFonts w:eastAsia="宋体" w:hint="eastAsia"/>
        </w:rPr>
        <w:t>期末按公允价值占基金资产净值比例大小排序的权益投资明细</w:t>
      </w:r>
      <w:bookmarkEnd w:id="243"/>
      <w:proofErr w:type="spellEnd"/>
      <w:r>
        <w:rPr>
          <w:rFonts w:eastAsia="宋体" w:hint="eastAsia"/>
        </w:rPr>
        <w:t xml:space="preserve"> </w:t>
      </w:r>
    </w:p>
    <w:p w14:paraId="6210B519" w14:textId="77777777" w:rsidR="00C77304" w:rsidRDefault="00C77304">
      <w:pPr>
        <w:pStyle w:val="XBRLTitle3"/>
        <w:spacing w:before="156" w:line="360" w:lineRule="auto"/>
        <w:ind w:left="624"/>
      </w:pPr>
      <w:bookmarkStart w:id="254" w:name="m510_01_1597"/>
      <w:proofErr w:type="spellStart"/>
      <w:r>
        <w:rPr>
          <w:rFonts w:hAnsi="宋体" w:hint="eastAsia"/>
        </w:rPr>
        <w:t>报告期末按公允价值占基金资产净值比例大小排序的前十名股票及存托凭证投资明细</w:t>
      </w:r>
      <w:bookmarkStart w:id="255" w:name="_Toc5140882992"/>
      <w:bookmarkStart w:id="256" w:name="_Toc513542671"/>
      <w:bookmarkStart w:id="257" w:name="_Toc480465442"/>
      <w:bookmarkEnd w:id="25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507"/>
        <w:gridCol w:w="1581"/>
        <w:gridCol w:w="961"/>
        <w:gridCol w:w="636"/>
        <w:gridCol w:w="656"/>
        <w:gridCol w:w="636"/>
        <w:gridCol w:w="951"/>
        <w:gridCol w:w="1581"/>
        <w:gridCol w:w="1326"/>
      </w:tblGrid>
      <w:tr w:rsidR="009B721B" w14:paraId="4525AF42"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600750C" w14:textId="77777777" w:rsidR="00C77304" w:rsidRDefault="00C77304">
            <w:pPr>
              <w:jc w:val="center"/>
            </w:pPr>
            <w:bookmarkStart w:id="258"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A971597" w14:textId="77777777" w:rsidR="00C77304" w:rsidRDefault="00C77304">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1241F98" w14:textId="77777777" w:rsidR="00C77304" w:rsidRDefault="00C77304">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1DCC69D" w14:textId="77777777" w:rsidR="00C77304" w:rsidRDefault="00C77304">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DBC37F3" w14:textId="77777777" w:rsidR="00C77304" w:rsidRDefault="00C77304">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8BB20A0" w14:textId="77777777" w:rsidR="00C77304" w:rsidRDefault="00C77304">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DDF5F36" w14:textId="77777777" w:rsidR="00C77304" w:rsidRDefault="00C77304">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D54603A" w14:textId="77777777" w:rsidR="00C77304" w:rsidRDefault="00C77304">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FC6118" w14:textId="77777777" w:rsidR="00C77304" w:rsidRDefault="00C77304">
            <w:pPr>
              <w:jc w:val="center"/>
            </w:pPr>
            <w:r>
              <w:rPr>
                <w:rFonts w:ascii="宋体" w:hAnsi="宋体" w:hint="eastAsia"/>
              </w:rPr>
              <w:t>占基金资产净值比例</w:t>
            </w:r>
            <w:r>
              <w:rPr>
                <w:rFonts w:ascii="宋体" w:hAnsi="宋体" w:hint="eastAsia"/>
                <w:lang w:eastAsia="zh-Hans"/>
              </w:rPr>
              <w:t xml:space="preserve">(%) </w:t>
            </w:r>
          </w:p>
        </w:tc>
      </w:tr>
      <w:tr w:rsidR="009B721B" w14:paraId="2DC7E7B5"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C15323" w14:textId="77777777" w:rsidR="00C77304" w:rsidRDefault="00C77304">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9F4F98" w14:textId="77777777" w:rsidR="00C77304" w:rsidRDefault="00C77304">
            <w:r>
              <w:rPr>
                <w:rFonts w:ascii="宋体" w:hAnsi="宋体" w:hint="eastAsia"/>
                <w:color w:val="000000"/>
                <w:lang w:eastAsia="zh-Hans"/>
              </w:rPr>
              <w:t>EXXON MOBIL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D2094" w14:textId="77777777" w:rsidR="00C77304" w:rsidRDefault="00C77304">
            <w:r>
              <w:rPr>
                <w:rFonts w:ascii="宋体" w:hAnsi="宋体" w:hint="eastAsia"/>
                <w:color w:val="000000"/>
                <w:lang w:eastAsia="zh-Hans"/>
              </w:rPr>
              <w:t>埃克森美孚石油公司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7CDF8" w14:textId="77777777" w:rsidR="00C77304" w:rsidRDefault="00C77304">
            <w:r>
              <w:rPr>
                <w:rFonts w:ascii="宋体" w:hAnsi="宋体" w:hint="eastAsia"/>
                <w:color w:val="000000"/>
                <w:lang w:eastAsia="zh-Hans"/>
              </w:rPr>
              <w:t>XOM</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58062" w14:textId="77777777" w:rsidR="00C77304" w:rsidRDefault="00C77304">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AE88C" w14:textId="77777777" w:rsidR="00C77304" w:rsidRDefault="00C77304">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181E7F" w14:textId="77777777" w:rsidR="00C77304" w:rsidRDefault="00C77304">
            <w:pPr>
              <w:jc w:val="right"/>
            </w:pPr>
            <w:r>
              <w:rPr>
                <w:rFonts w:ascii="宋体" w:hAnsi="宋体" w:hint="eastAsia"/>
                <w:color w:val="000000"/>
                <w:lang w:eastAsia="zh-Hans"/>
              </w:rPr>
              <w:t>41,641</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6CD99" w14:textId="77777777" w:rsidR="00C77304" w:rsidRDefault="00C77304">
            <w:pPr>
              <w:jc w:val="right"/>
            </w:pPr>
            <w:r>
              <w:rPr>
                <w:rFonts w:ascii="宋体" w:hAnsi="宋体" w:hint="eastAsia"/>
                <w:color w:val="000000"/>
                <w:lang w:eastAsia="zh-Hans"/>
              </w:rPr>
              <w:t>48,884,260.57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A29F1" w14:textId="77777777" w:rsidR="00C77304" w:rsidRDefault="00C77304">
            <w:pPr>
              <w:jc w:val="right"/>
            </w:pPr>
            <w:r>
              <w:rPr>
                <w:rFonts w:ascii="宋体" w:hAnsi="宋体" w:hint="eastAsia"/>
                <w:color w:val="000000"/>
                <w:lang w:eastAsia="zh-Hans"/>
              </w:rPr>
              <w:t>5.63</w:t>
            </w:r>
            <w:r>
              <w:rPr>
                <w:rFonts w:ascii="宋体" w:hAnsi="宋体" w:hint="eastAsia"/>
                <w:sz w:val="18"/>
              </w:rPr>
              <w:t xml:space="preserve"> </w:t>
            </w:r>
          </w:p>
        </w:tc>
      </w:tr>
      <w:tr w:rsidR="009B721B" w14:paraId="5719F326"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0C678" w14:textId="77777777" w:rsidR="00C77304" w:rsidRDefault="00C77304">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AE0E1" w14:textId="77777777" w:rsidR="00C77304" w:rsidRDefault="00C77304">
            <w:r>
              <w:rPr>
                <w:rFonts w:ascii="宋体" w:hAnsi="宋体" w:hint="eastAsia"/>
                <w:color w:val="000000"/>
                <w:lang w:eastAsia="zh-Hans"/>
              </w:rPr>
              <w:t>NEWMONT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B1F82C" w14:textId="77777777" w:rsidR="00C77304" w:rsidRDefault="00C77304">
            <w:r>
              <w:rPr>
                <w:rFonts w:ascii="宋体" w:hAnsi="宋体" w:hint="eastAsia"/>
                <w:color w:val="000000"/>
                <w:lang w:eastAsia="zh-Hans"/>
              </w:rPr>
              <w:t>纽蒙黄金公司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A810E" w14:textId="77777777" w:rsidR="00C77304" w:rsidRDefault="00C77304">
            <w:r>
              <w:rPr>
                <w:rFonts w:ascii="宋体" w:hAnsi="宋体" w:hint="eastAsia"/>
                <w:color w:val="000000"/>
                <w:lang w:eastAsia="zh-Hans"/>
              </w:rPr>
              <w:t>NEM</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5E474" w14:textId="77777777" w:rsidR="00C77304" w:rsidRDefault="00C77304">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A2569" w14:textId="77777777" w:rsidR="00C77304" w:rsidRDefault="00C77304">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9FCDE" w14:textId="77777777" w:rsidR="00C77304" w:rsidRDefault="00C77304">
            <w:pPr>
              <w:jc w:val="right"/>
            </w:pPr>
            <w:r>
              <w:rPr>
                <w:rFonts w:ascii="宋体" w:hAnsi="宋体" w:hint="eastAsia"/>
                <w:color w:val="000000"/>
                <w:lang w:eastAsia="zh-Hans"/>
              </w:rPr>
              <w:t>44,295</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6B4AD" w14:textId="77777777" w:rsidR="00C77304" w:rsidRDefault="00C77304">
            <w:pPr>
              <w:jc w:val="right"/>
            </w:pPr>
            <w:r>
              <w:rPr>
                <w:rFonts w:ascii="宋体" w:hAnsi="宋体" w:hint="eastAsia"/>
                <w:color w:val="000000"/>
                <w:lang w:eastAsia="zh-Hans"/>
              </w:rPr>
              <w:t>33,178,064.59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E3D7E" w14:textId="77777777" w:rsidR="00C77304" w:rsidRDefault="00C77304">
            <w:pPr>
              <w:jc w:val="right"/>
            </w:pPr>
            <w:r>
              <w:rPr>
                <w:rFonts w:ascii="宋体" w:hAnsi="宋体" w:hint="eastAsia"/>
                <w:color w:val="000000"/>
                <w:lang w:eastAsia="zh-Hans"/>
              </w:rPr>
              <w:t>3.82</w:t>
            </w:r>
            <w:r>
              <w:rPr>
                <w:rFonts w:ascii="宋体" w:hAnsi="宋体" w:hint="eastAsia"/>
                <w:sz w:val="18"/>
              </w:rPr>
              <w:t xml:space="preserve"> </w:t>
            </w:r>
          </w:p>
        </w:tc>
      </w:tr>
      <w:tr w:rsidR="009B721B" w14:paraId="5764896C"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1D39F" w14:textId="77777777" w:rsidR="00C77304" w:rsidRDefault="00C77304">
            <w:pPr>
              <w:jc w:val="center"/>
            </w:pPr>
            <w:r>
              <w:rPr>
                <w:rFonts w:ascii="宋体" w:hAnsi="宋体" w:hint="eastAsia"/>
                <w:color w:val="000000"/>
                <w:lang w:eastAsia="zh-Hans"/>
              </w:rPr>
              <w:lastRenderedPageBreak/>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7033F0" w14:textId="77777777" w:rsidR="00C77304" w:rsidRDefault="00C77304">
            <w:r>
              <w:rPr>
                <w:rFonts w:ascii="宋体" w:hAnsi="宋体" w:hint="eastAsia"/>
                <w:color w:val="000000"/>
                <w:lang w:eastAsia="zh-Hans"/>
              </w:rPr>
              <w:t>SHELL PLC (UK)</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52202" w14:textId="77777777" w:rsidR="00C77304" w:rsidRDefault="00C77304">
            <w:r>
              <w:rPr>
                <w:rFonts w:ascii="宋体" w:hAnsi="宋体" w:hint="eastAsia"/>
                <w:color w:val="000000"/>
                <w:lang w:eastAsia="zh-Hans"/>
              </w:rPr>
              <w:t>壳牌公共有限公司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65375" w14:textId="77777777" w:rsidR="00C77304" w:rsidRDefault="00C77304">
            <w:r>
              <w:rPr>
                <w:rFonts w:ascii="宋体" w:hAnsi="宋体" w:hint="eastAsia"/>
                <w:color w:val="000000"/>
                <w:lang w:eastAsia="zh-Hans"/>
              </w:rPr>
              <w:t>SHEL</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C9A34" w14:textId="77777777" w:rsidR="00C77304" w:rsidRDefault="00C77304">
            <w:r>
              <w:rPr>
                <w:rFonts w:ascii="宋体" w:hAnsi="宋体" w:hint="eastAsia"/>
                <w:color w:val="000000"/>
                <w:lang w:eastAsia="zh-Hans"/>
              </w:rPr>
              <w:t>英国伦敦交易所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4898A" w14:textId="77777777" w:rsidR="00C77304" w:rsidRDefault="00C77304">
            <w:r>
              <w:rPr>
                <w:rFonts w:ascii="宋体" w:hAnsi="宋体" w:hint="eastAsia"/>
                <w:color w:val="000000"/>
                <w:lang w:eastAsia="zh-Hans"/>
              </w:rPr>
              <w:t>英国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D6C5E" w14:textId="77777777" w:rsidR="00C77304" w:rsidRDefault="00C77304">
            <w:pPr>
              <w:jc w:val="right"/>
            </w:pPr>
            <w:r>
              <w:rPr>
                <w:rFonts w:ascii="宋体" w:hAnsi="宋体" w:hint="eastAsia"/>
                <w:color w:val="000000"/>
                <w:lang w:eastAsia="zh-Hans"/>
              </w:rPr>
              <w:t>101,402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327F2" w14:textId="77777777" w:rsidR="00C77304" w:rsidRDefault="00C77304">
            <w:pPr>
              <w:jc w:val="right"/>
            </w:pPr>
            <w:r>
              <w:rPr>
                <w:rFonts w:ascii="宋体" w:hAnsi="宋体" w:hint="eastAsia"/>
                <w:color w:val="000000"/>
                <w:lang w:eastAsia="zh-Hans"/>
              </w:rPr>
              <w:t>33,123,827.95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02190" w14:textId="77777777" w:rsidR="00C77304" w:rsidRDefault="00C77304">
            <w:pPr>
              <w:jc w:val="right"/>
            </w:pPr>
            <w:r>
              <w:rPr>
                <w:rFonts w:ascii="宋体" w:hAnsi="宋体" w:hint="eastAsia"/>
                <w:color w:val="000000"/>
                <w:lang w:eastAsia="zh-Hans"/>
              </w:rPr>
              <w:t>3.82</w:t>
            </w:r>
            <w:r>
              <w:rPr>
                <w:rFonts w:ascii="宋体" w:hAnsi="宋体" w:hint="eastAsia"/>
                <w:sz w:val="18"/>
              </w:rPr>
              <w:t xml:space="preserve"> </w:t>
            </w:r>
          </w:p>
        </w:tc>
      </w:tr>
      <w:tr w:rsidR="009B721B" w14:paraId="6E3D16E9"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8EB98" w14:textId="77777777" w:rsidR="00C77304" w:rsidRDefault="00C77304">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30D9E" w14:textId="77777777" w:rsidR="00C77304" w:rsidRDefault="00C77304">
            <w:r>
              <w:rPr>
                <w:rFonts w:ascii="宋体" w:hAnsi="宋体" w:hint="eastAsia"/>
                <w:color w:val="000000"/>
                <w:lang w:eastAsia="zh-Hans"/>
              </w:rPr>
              <w:t>VALERO ENERGY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DE59B7" w14:textId="77777777" w:rsidR="00C77304" w:rsidRDefault="00C77304">
            <w:r>
              <w:rPr>
                <w:rFonts w:ascii="宋体" w:hAnsi="宋体" w:hint="eastAsia"/>
                <w:color w:val="000000"/>
                <w:lang w:eastAsia="zh-Hans"/>
              </w:rPr>
              <w:t>Valero 能源</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489DC" w14:textId="77777777" w:rsidR="00C77304" w:rsidRDefault="00C77304">
            <w:r>
              <w:rPr>
                <w:rFonts w:ascii="宋体" w:hAnsi="宋体" w:hint="eastAsia"/>
                <w:color w:val="000000"/>
                <w:lang w:eastAsia="zh-Hans"/>
              </w:rPr>
              <w:t>VLO</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9A897" w14:textId="77777777" w:rsidR="00C77304" w:rsidRDefault="00C77304">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5A9CF" w14:textId="77777777" w:rsidR="00C77304" w:rsidRDefault="00C77304">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6034E7" w14:textId="77777777" w:rsidR="00C77304" w:rsidRDefault="00C77304">
            <w:pPr>
              <w:jc w:val="right"/>
            </w:pPr>
            <w:r>
              <w:rPr>
                <w:rFonts w:ascii="宋体" w:hAnsi="宋体" w:hint="eastAsia"/>
                <w:color w:val="000000"/>
                <w:lang w:eastAsia="zh-Hans"/>
              </w:rPr>
              <w:t>18,527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A5F6D" w14:textId="77777777" w:rsidR="00C77304" w:rsidRDefault="00C77304">
            <w:pPr>
              <w:jc w:val="right"/>
            </w:pPr>
            <w:r>
              <w:rPr>
                <w:rFonts w:ascii="宋体" w:hAnsi="宋体" w:hint="eastAsia"/>
                <w:color w:val="000000"/>
                <w:lang w:eastAsia="zh-Hans"/>
              </w:rPr>
              <w:t>31,674,599.44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8BCCCF" w14:textId="77777777" w:rsidR="00C77304" w:rsidRDefault="00C77304">
            <w:pPr>
              <w:jc w:val="right"/>
            </w:pPr>
            <w:r>
              <w:rPr>
                <w:rFonts w:ascii="宋体" w:hAnsi="宋体" w:hint="eastAsia"/>
                <w:color w:val="000000"/>
                <w:lang w:eastAsia="zh-Hans"/>
              </w:rPr>
              <w:t>3.65</w:t>
            </w:r>
            <w:r>
              <w:rPr>
                <w:rFonts w:ascii="宋体" w:hAnsi="宋体" w:hint="eastAsia"/>
                <w:sz w:val="18"/>
              </w:rPr>
              <w:t xml:space="preserve"> </w:t>
            </w:r>
          </w:p>
        </w:tc>
      </w:tr>
      <w:tr w:rsidR="009B721B" w14:paraId="513AC1B0"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4D032" w14:textId="77777777" w:rsidR="00C77304" w:rsidRDefault="00C77304">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3E934" w14:textId="77777777" w:rsidR="00C77304" w:rsidRDefault="00C77304">
            <w:r>
              <w:rPr>
                <w:rFonts w:ascii="宋体" w:hAnsi="宋体" w:hint="eastAsia"/>
                <w:color w:val="000000"/>
                <w:lang w:eastAsia="zh-Hans"/>
              </w:rPr>
              <w:t>CANADIAN NATURAL RESOURCES</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63DF7" w14:textId="77777777" w:rsidR="00C77304" w:rsidRDefault="00C77304">
            <w:r>
              <w:rPr>
                <w:rFonts w:ascii="宋体" w:hAnsi="宋体" w:hint="eastAsia"/>
                <w:color w:val="000000"/>
                <w:lang w:eastAsia="zh-Hans"/>
              </w:rPr>
              <w:t>加拿大自然资源有限公司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A410E8" w14:textId="77777777" w:rsidR="00C77304" w:rsidRDefault="00C77304">
            <w:r>
              <w:rPr>
                <w:rFonts w:ascii="宋体" w:hAnsi="宋体" w:hint="eastAsia"/>
                <w:color w:val="000000"/>
                <w:lang w:eastAsia="zh-Hans"/>
              </w:rPr>
              <w:t>CNQ</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98EDE" w14:textId="77777777" w:rsidR="00C77304" w:rsidRDefault="00C77304">
            <w:r>
              <w:rPr>
                <w:rFonts w:ascii="宋体" w:hAnsi="宋体" w:hint="eastAsia"/>
                <w:color w:val="000000"/>
                <w:lang w:eastAsia="zh-Hans"/>
              </w:rPr>
              <w:t>加拿大交易所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A946B" w14:textId="77777777" w:rsidR="00C77304" w:rsidRDefault="00C77304">
            <w:r>
              <w:rPr>
                <w:rFonts w:ascii="宋体" w:hAnsi="宋体" w:hint="eastAsia"/>
                <w:color w:val="000000"/>
                <w:lang w:eastAsia="zh-Hans"/>
              </w:rPr>
              <w:t>加拿大</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CA86E" w14:textId="77777777" w:rsidR="00C77304" w:rsidRDefault="00C77304">
            <w:pPr>
              <w:jc w:val="right"/>
            </w:pPr>
            <w:r>
              <w:rPr>
                <w:rFonts w:ascii="宋体" w:hAnsi="宋体" w:hint="eastAsia"/>
                <w:color w:val="000000"/>
                <w:lang w:eastAsia="zh-Hans"/>
              </w:rPr>
              <w:t>88,666</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682D1" w14:textId="77777777" w:rsidR="00C77304" w:rsidRDefault="00C77304">
            <w:pPr>
              <w:jc w:val="right"/>
            </w:pPr>
            <w:r>
              <w:rPr>
                <w:rFonts w:ascii="宋体" w:hAnsi="宋体" w:hint="eastAsia"/>
                <w:color w:val="000000"/>
                <w:lang w:eastAsia="zh-Hans"/>
              </w:rPr>
              <w:t>29,832,799.41</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55355" w14:textId="77777777" w:rsidR="00C77304" w:rsidRDefault="00C77304">
            <w:pPr>
              <w:jc w:val="right"/>
            </w:pPr>
            <w:r>
              <w:rPr>
                <w:rFonts w:ascii="宋体" w:hAnsi="宋体" w:hint="eastAsia"/>
                <w:color w:val="000000"/>
                <w:lang w:eastAsia="zh-Hans"/>
              </w:rPr>
              <w:t>3.44</w:t>
            </w:r>
            <w:r>
              <w:rPr>
                <w:rFonts w:ascii="宋体" w:hAnsi="宋体" w:hint="eastAsia"/>
                <w:sz w:val="18"/>
              </w:rPr>
              <w:t xml:space="preserve"> </w:t>
            </w:r>
          </w:p>
        </w:tc>
      </w:tr>
      <w:tr w:rsidR="009B721B" w14:paraId="6C767D73"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566A9" w14:textId="77777777" w:rsidR="00C77304" w:rsidRDefault="00C77304">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0468B" w14:textId="77777777" w:rsidR="00C77304" w:rsidRDefault="00C77304">
            <w:r>
              <w:rPr>
                <w:rFonts w:ascii="宋体" w:hAnsi="宋体" w:hint="eastAsia"/>
                <w:color w:val="000000"/>
                <w:lang w:eastAsia="zh-Hans"/>
              </w:rPr>
              <w:t>TOTALENERGIES SE</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F4AF0" w14:textId="77777777" w:rsidR="00C77304" w:rsidRDefault="00C77304">
            <w:r>
              <w:rPr>
                <w:rFonts w:ascii="宋体" w:hAnsi="宋体" w:hint="eastAsia"/>
                <w:color w:val="000000"/>
                <w:lang w:eastAsia="zh-Hans"/>
              </w:rPr>
              <w:t>道达尔集团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AD08C" w14:textId="77777777" w:rsidR="00C77304" w:rsidRDefault="00C77304">
            <w:r>
              <w:rPr>
                <w:rFonts w:ascii="宋体" w:hAnsi="宋体" w:hint="eastAsia"/>
                <w:color w:val="000000"/>
                <w:lang w:eastAsia="zh-Hans"/>
              </w:rPr>
              <w:t>TTE</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F7255" w14:textId="77777777" w:rsidR="00C77304" w:rsidRDefault="00C77304">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22129" w14:textId="77777777" w:rsidR="00C77304" w:rsidRDefault="00C77304">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F0C84" w14:textId="77777777" w:rsidR="00C77304" w:rsidRDefault="00C77304">
            <w:pPr>
              <w:jc w:val="right"/>
            </w:pPr>
            <w:r>
              <w:rPr>
                <w:rFonts w:ascii="宋体" w:hAnsi="宋体" w:hint="eastAsia"/>
                <w:color w:val="000000"/>
                <w:lang w:eastAsia="zh-Hans"/>
              </w:rPr>
              <w:t>41,855</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01013" w14:textId="77777777" w:rsidR="00C77304" w:rsidRDefault="00C77304">
            <w:pPr>
              <w:jc w:val="right"/>
            </w:pPr>
            <w:r>
              <w:rPr>
                <w:rFonts w:ascii="宋体" w:hAnsi="宋体" w:hint="eastAsia"/>
                <w:color w:val="000000"/>
                <w:lang w:eastAsia="zh-Hans"/>
              </w:rPr>
              <w:t>26,348,853.09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586F0" w14:textId="77777777" w:rsidR="00C77304" w:rsidRDefault="00C77304">
            <w:pPr>
              <w:jc w:val="right"/>
            </w:pPr>
            <w:r>
              <w:rPr>
                <w:rFonts w:ascii="宋体" w:hAnsi="宋体" w:hint="eastAsia"/>
                <w:color w:val="000000"/>
                <w:lang w:eastAsia="zh-Hans"/>
              </w:rPr>
              <w:t>3.04</w:t>
            </w:r>
            <w:r>
              <w:rPr>
                <w:rFonts w:ascii="宋体" w:hAnsi="宋体" w:hint="eastAsia"/>
                <w:sz w:val="18"/>
              </w:rPr>
              <w:t xml:space="preserve"> </w:t>
            </w:r>
          </w:p>
        </w:tc>
      </w:tr>
      <w:tr w:rsidR="009B721B" w14:paraId="256BF295"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7A3EF" w14:textId="77777777" w:rsidR="00C77304" w:rsidRDefault="00C77304">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8C4BD" w14:textId="77777777" w:rsidR="00C77304" w:rsidRDefault="00C77304">
            <w:r>
              <w:rPr>
                <w:rFonts w:ascii="宋体" w:hAnsi="宋体" w:hint="eastAsia"/>
                <w:color w:val="000000"/>
                <w:lang w:eastAsia="zh-Hans"/>
              </w:rPr>
              <w:t>MARATHON PETROLEUM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407A59" w14:textId="77777777" w:rsidR="00C77304" w:rsidRDefault="00C77304">
            <w:r>
              <w:rPr>
                <w:rFonts w:ascii="宋体" w:hAnsi="宋体" w:hint="eastAsia"/>
                <w:color w:val="000000"/>
                <w:lang w:eastAsia="zh-Hans"/>
              </w:rPr>
              <w:t>马拉松石油公司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2938E" w14:textId="77777777" w:rsidR="00C77304" w:rsidRDefault="00C77304">
            <w:r>
              <w:rPr>
                <w:rFonts w:ascii="宋体" w:hAnsi="宋体" w:hint="eastAsia"/>
                <w:color w:val="000000"/>
                <w:lang w:eastAsia="zh-Hans"/>
              </w:rPr>
              <w:t>MPC</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385A6" w14:textId="77777777" w:rsidR="00C77304" w:rsidRDefault="00C77304">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B340F" w14:textId="77777777" w:rsidR="00C77304" w:rsidRDefault="00C77304">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8D594" w14:textId="77777777" w:rsidR="00C77304" w:rsidRDefault="00C77304">
            <w:pPr>
              <w:jc w:val="right"/>
            </w:pPr>
            <w:r>
              <w:rPr>
                <w:rFonts w:ascii="宋体" w:hAnsi="宋体" w:hint="eastAsia"/>
                <w:color w:val="000000"/>
                <w:lang w:eastAsia="zh-Hans"/>
              </w:rPr>
              <w:t>13,485</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6561A" w14:textId="77777777" w:rsidR="00C77304" w:rsidRDefault="00C77304">
            <w:pPr>
              <w:jc w:val="right"/>
            </w:pPr>
            <w:r>
              <w:rPr>
                <w:rFonts w:ascii="宋体" w:hAnsi="宋体" w:hint="eastAsia"/>
                <w:color w:val="000000"/>
                <w:lang w:eastAsia="zh-Hans"/>
              </w:rPr>
              <w:t>22,783,974.06</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1D3ED" w14:textId="77777777" w:rsidR="00C77304" w:rsidRDefault="00C77304">
            <w:pPr>
              <w:jc w:val="right"/>
            </w:pPr>
            <w:r>
              <w:rPr>
                <w:rFonts w:ascii="宋体" w:hAnsi="宋体" w:hint="eastAsia"/>
                <w:color w:val="000000"/>
                <w:lang w:eastAsia="zh-Hans"/>
              </w:rPr>
              <w:t>2.63</w:t>
            </w:r>
            <w:r>
              <w:rPr>
                <w:rFonts w:ascii="宋体" w:hAnsi="宋体" w:hint="eastAsia"/>
                <w:sz w:val="18"/>
              </w:rPr>
              <w:t xml:space="preserve"> </w:t>
            </w:r>
          </w:p>
        </w:tc>
      </w:tr>
      <w:tr w:rsidR="009B721B" w14:paraId="38FCF2C5"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5FC8B" w14:textId="77777777" w:rsidR="00C77304" w:rsidRDefault="00C77304">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64619" w14:textId="77777777" w:rsidR="00C77304" w:rsidRDefault="00C77304">
            <w:r>
              <w:rPr>
                <w:rFonts w:ascii="宋体" w:hAnsi="宋体" w:hint="eastAsia"/>
                <w:color w:val="000000"/>
                <w:lang w:eastAsia="zh-Hans"/>
              </w:rPr>
              <w:t>PETROLEO BRASILEIRO-SPON ADR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C129D" w14:textId="77777777" w:rsidR="00C77304" w:rsidRDefault="00C77304">
            <w:r>
              <w:rPr>
                <w:rFonts w:ascii="宋体" w:hAnsi="宋体" w:hint="eastAsia"/>
                <w:color w:val="000000"/>
                <w:lang w:eastAsia="zh-Hans"/>
              </w:rPr>
              <w:t>巴西石油公司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2C93B" w14:textId="77777777" w:rsidR="00C77304" w:rsidRDefault="00C77304">
            <w:r>
              <w:rPr>
                <w:rFonts w:ascii="宋体" w:hAnsi="宋体" w:hint="eastAsia"/>
                <w:color w:val="000000"/>
                <w:lang w:eastAsia="zh-Hans"/>
              </w:rPr>
              <w:t>PBR</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EBF1D" w14:textId="77777777" w:rsidR="00C77304" w:rsidRDefault="00C77304">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369DD8" w14:textId="77777777" w:rsidR="00C77304" w:rsidRDefault="00C77304">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5226EF" w14:textId="77777777" w:rsidR="00C77304" w:rsidRDefault="00C77304">
            <w:pPr>
              <w:jc w:val="right"/>
            </w:pPr>
            <w:r>
              <w:rPr>
                <w:rFonts w:ascii="宋体" w:hAnsi="宋体" w:hint="eastAsia"/>
                <w:color w:val="000000"/>
                <w:lang w:eastAsia="zh-Hans"/>
              </w:rPr>
              <w:t>158,417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C72E6" w14:textId="77777777" w:rsidR="00C77304" w:rsidRDefault="00C77304">
            <w:pPr>
              <w:jc w:val="right"/>
            </w:pPr>
            <w:r>
              <w:rPr>
                <w:rFonts w:ascii="宋体" w:hAnsi="宋体" w:hint="eastAsia"/>
                <w:color w:val="000000"/>
                <w:lang w:eastAsia="zh-Hans"/>
              </w:rPr>
              <w:t>22,745,124.74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08D64" w14:textId="77777777" w:rsidR="00C77304" w:rsidRDefault="00C77304">
            <w:pPr>
              <w:jc w:val="right"/>
            </w:pPr>
            <w:r>
              <w:rPr>
                <w:rFonts w:ascii="宋体" w:hAnsi="宋体" w:hint="eastAsia"/>
                <w:color w:val="000000"/>
                <w:lang w:eastAsia="zh-Hans"/>
              </w:rPr>
              <w:t>2.62</w:t>
            </w:r>
            <w:r>
              <w:rPr>
                <w:rFonts w:ascii="宋体" w:hAnsi="宋体" w:hint="eastAsia"/>
                <w:sz w:val="18"/>
              </w:rPr>
              <w:t xml:space="preserve"> </w:t>
            </w:r>
          </w:p>
        </w:tc>
      </w:tr>
      <w:tr w:rsidR="009B721B" w14:paraId="0F6FB84A"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A474E" w14:textId="77777777" w:rsidR="00C77304" w:rsidRDefault="00C77304">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E7013" w14:textId="77777777" w:rsidR="00C77304" w:rsidRDefault="00C77304">
            <w:r>
              <w:rPr>
                <w:rFonts w:ascii="宋体" w:hAnsi="宋体" w:hint="eastAsia"/>
                <w:color w:val="000000"/>
                <w:lang w:eastAsia="zh-Hans"/>
              </w:rPr>
              <w:t>AGNICO EAGLE MINES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E6297" w14:textId="77777777" w:rsidR="00C77304" w:rsidRDefault="00C77304">
            <w:r>
              <w:rPr>
                <w:rFonts w:ascii="宋体" w:hAnsi="宋体" w:hint="eastAsia"/>
                <w:color w:val="000000"/>
                <w:lang w:eastAsia="zh-Hans"/>
              </w:rPr>
              <w:t>阿哥尼可老鹰矿场有限公司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924F5" w14:textId="77777777" w:rsidR="00C77304" w:rsidRDefault="00C77304">
            <w:r>
              <w:rPr>
                <w:rFonts w:ascii="宋体" w:hAnsi="宋体" w:hint="eastAsia"/>
                <w:color w:val="000000"/>
                <w:lang w:eastAsia="zh-Hans"/>
              </w:rPr>
              <w:t>AEM</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B8647" w14:textId="77777777" w:rsidR="00C77304" w:rsidRDefault="00C77304">
            <w:r>
              <w:rPr>
                <w:rFonts w:ascii="宋体" w:hAnsi="宋体" w:hint="eastAsia"/>
                <w:color w:val="000000"/>
                <w:lang w:eastAsia="zh-Hans"/>
              </w:rPr>
              <w:t>加拿大交易所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AF8E8" w14:textId="77777777" w:rsidR="00C77304" w:rsidRDefault="00C77304">
            <w:r>
              <w:rPr>
                <w:rFonts w:ascii="宋体" w:hAnsi="宋体" w:hint="eastAsia"/>
                <w:color w:val="000000"/>
                <w:lang w:eastAsia="zh-Hans"/>
              </w:rPr>
              <w:t>加拿大</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BAF13" w14:textId="77777777" w:rsidR="00C77304" w:rsidRDefault="00C77304">
            <w:pPr>
              <w:jc w:val="right"/>
            </w:pPr>
            <w:r>
              <w:rPr>
                <w:rFonts w:ascii="宋体" w:hAnsi="宋体" w:hint="eastAsia"/>
                <w:color w:val="000000"/>
                <w:lang w:eastAsia="zh-Hans"/>
              </w:rPr>
              <w:t>16,130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86C8E" w14:textId="77777777" w:rsidR="00C77304" w:rsidRDefault="00C77304">
            <w:pPr>
              <w:jc w:val="right"/>
            </w:pPr>
            <w:r>
              <w:rPr>
                <w:rFonts w:ascii="宋体" w:hAnsi="宋体" w:hint="eastAsia"/>
                <w:color w:val="000000"/>
                <w:lang w:eastAsia="zh-Hans"/>
              </w:rPr>
              <w:t>22,582,704.79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958C7" w14:textId="77777777" w:rsidR="00C77304" w:rsidRDefault="00C77304">
            <w:pPr>
              <w:jc w:val="right"/>
            </w:pPr>
            <w:r>
              <w:rPr>
                <w:rFonts w:ascii="宋体" w:hAnsi="宋体" w:hint="eastAsia"/>
                <w:color w:val="000000"/>
                <w:lang w:eastAsia="zh-Hans"/>
              </w:rPr>
              <w:t>2.60</w:t>
            </w:r>
            <w:r>
              <w:rPr>
                <w:rFonts w:ascii="宋体" w:hAnsi="宋体" w:hint="eastAsia"/>
                <w:sz w:val="18"/>
              </w:rPr>
              <w:t xml:space="preserve"> </w:t>
            </w:r>
          </w:p>
        </w:tc>
      </w:tr>
      <w:tr w:rsidR="009B721B" w14:paraId="1D5E6970" w14:textId="77777777">
        <w:trPr>
          <w:divId w:val="1022512025"/>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FDBB3C" w14:textId="77777777" w:rsidR="00C77304" w:rsidRDefault="00C77304">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4CA28" w14:textId="77777777" w:rsidR="00C77304" w:rsidRDefault="00C77304">
            <w:r>
              <w:rPr>
                <w:rFonts w:ascii="宋体" w:hAnsi="宋体" w:hint="eastAsia"/>
                <w:color w:val="000000"/>
                <w:lang w:eastAsia="zh-Hans"/>
              </w:rPr>
              <w:t>KINROSS GOLD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C46CF" w14:textId="77777777" w:rsidR="00C77304" w:rsidRDefault="00C77304">
            <w:r>
              <w:rPr>
                <w:rFonts w:ascii="宋体" w:hAnsi="宋体" w:hint="eastAsia"/>
                <w:color w:val="000000"/>
                <w:lang w:eastAsia="zh-Hans"/>
              </w:rPr>
              <w:t>金罗斯黄金公司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54AB7" w14:textId="77777777" w:rsidR="00C77304" w:rsidRDefault="00C77304">
            <w:r>
              <w:rPr>
                <w:rFonts w:ascii="宋体" w:hAnsi="宋体" w:hint="eastAsia"/>
                <w:color w:val="000000"/>
                <w:lang w:eastAsia="zh-Hans"/>
              </w:rPr>
              <w:t>KGC</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02E50" w14:textId="77777777" w:rsidR="00C77304" w:rsidRDefault="00C77304">
            <w:r>
              <w:rPr>
                <w:rFonts w:ascii="宋体" w:hAnsi="宋体" w:hint="eastAsia"/>
                <w:color w:val="000000"/>
                <w:lang w:eastAsia="zh-Hans"/>
              </w:rPr>
              <w:t>纽约证券交易所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D991E" w14:textId="77777777" w:rsidR="00C77304" w:rsidRDefault="00C77304">
            <w:r>
              <w:rPr>
                <w:rFonts w:ascii="宋体" w:hAnsi="宋体" w:hint="eastAsia"/>
                <w:color w:val="000000"/>
                <w:lang w:eastAsia="zh-Hans"/>
              </w:rPr>
              <w:t>美国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7D682" w14:textId="77777777" w:rsidR="00C77304" w:rsidRDefault="00C77304">
            <w:pPr>
              <w:jc w:val="right"/>
            </w:pPr>
            <w:r>
              <w:rPr>
                <w:rFonts w:ascii="宋体" w:hAnsi="宋体" w:hint="eastAsia"/>
                <w:color w:val="000000"/>
                <w:lang w:eastAsia="zh-Hans"/>
              </w:rPr>
              <w:t>105,284</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D256D" w14:textId="77777777" w:rsidR="00C77304" w:rsidRDefault="00C77304">
            <w:pPr>
              <w:jc w:val="right"/>
            </w:pPr>
            <w:r>
              <w:rPr>
                <w:rFonts w:ascii="宋体" w:hAnsi="宋体" w:hint="eastAsia"/>
                <w:color w:val="000000"/>
                <w:lang w:eastAsia="zh-Hans"/>
              </w:rPr>
              <w:t>22,233,884.38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018529" w14:textId="77777777" w:rsidR="00C77304" w:rsidRDefault="00C77304">
            <w:pPr>
              <w:jc w:val="right"/>
            </w:pPr>
            <w:r>
              <w:rPr>
                <w:rFonts w:ascii="宋体" w:hAnsi="宋体" w:hint="eastAsia"/>
                <w:color w:val="000000"/>
                <w:lang w:eastAsia="zh-Hans"/>
              </w:rPr>
              <w:t>2.56</w:t>
            </w:r>
            <w:r>
              <w:rPr>
                <w:rFonts w:ascii="宋体" w:hAnsi="宋体" w:hint="eastAsia"/>
                <w:sz w:val="18"/>
              </w:rPr>
              <w:t xml:space="preserve"> </w:t>
            </w:r>
          </w:p>
        </w:tc>
      </w:tr>
    </w:tbl>
    <w:bookmarkEnd w:id="258"/>
    <w:p w14:paraId="49FFA49C" w14:textId="77777777" w:rsidR="00C77304" w:rsidRDefault="00C77304">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1"/>
      <w:r>
        <w:rPr>
          <w:rFonts w:ascii="宋体" w:hAnsi="宋体" w:hint="eastAsia"/>
        </w:rPr>
        <w:t xml:space="preserve"> </w:t>
      </w:r>
    </w:p>
    <w:p w14:paraId="6F5AD3FA" w14:textId="77777777" w:rsidR="00C77304" w:rsidRDefault="00C77304">
      <w:pPr>
        <w:pStyle w:val="XBRLTitle2"/>
        <w:spacing w:before="156" w:line="360" w:lineRule="auto"/>
        <w:ind w:left="454"/>
      </w:pPr>
      <w:bookmarkStart w:id="259" w:name="_Toc514088264"/>
      <w:bookmarkStart w:id="260" w:name="_Toc480465436"/>
      <w:bookmarkStart w:id="261" w:name="_Toc448480302"/>
      <w:bookmarkStart w:id="262" w:name="_Toc438654090"/>
      <w:bookmarkStart w:id="263" w:name="_Toc456107135"/>
      <w:bookmarkStart w:id="264" w:name="_Toc459213781"/>
      <w:bookmarkStart w:id="265" w:name="_Toc513542665"/>
      <w:bookmarkStart w:id="266" w:name="_Toc512696267"/>
      <w:bookmarkStart w:id="267" w:name="_Toc512612270"/>
      <w:bookmarkStart w:id="268" w:name="_Toc512612094"/>
      <w:bookmarkStart w:id="269" w:name="_Toc512611298"/>
      <w:bookmarkStart w:id="270" w:name="m505"/>
      <w:proofErr w:type="spellStart"/>
      <w:r>
        <w:rPr>
          <w:rFonts w:eastAsia="宋体" w:hint="eastAsia"/>
        </w:rPr>
        <w:t>报告期末按债券信用等级分类的债券投资组合</w:t>
      </w:r>
      <w:bookmarkEnd w:id="259"/>
      <w:bookmarkEnd w:id="260"/>
      <w:bookmarkEnd w:id="261"/>
      <w:bookmarkEnd w:id="262"/>
      <w:bookmarkEnd w:id="263"/>
      <w:bookmarkEnd w:id="264"/>
      <w:proofErr w:type="spellEnd"/>
      <w:r>
        <w:rPr>
          <w:rFonts w:hint="eastAsia"/>
        </w:rPr>
        <w:t xml:space="preserve"> </w:t>
      </w:r>
      <w:bookmarkEnd w:id="265"/>
      <w:bookmarkEnd w:id="266"/>
      <w:bookmarkEnd w:id="267"/>
      <w:bookmarkEnd w:id="268"/>
      <w:bookmarkEnd w:id="269"/>
    </w:p>
    <w:p w14:paraId="0A831FD3" w14:textId="77777777" w:rsidR="00C77304" w:rsidRDefault="00C77304">
      <w:pPr>
        <w:spacing w:line="360" w:lineRule="auto"/>
        <w:ind w:firstLineChars="200" w:firstLine="420"/>
        <w:jc w:val="left"/>
      </w:pPr>
      <w:r>
        <w:rPr>
          <w:rFonts w:ascii="宋体" w:hAnsi="宋体" w:hint="eastAsia"/>
        </w:rPr>
        <w:t>本基金本报告期末未持有债券。</w:t>
      </w:r>
    </w:p>
    <w:p w14:paraId="63689AD2" w14:textId="77777777" w:rsidR="00C77304" w:rsidRDefault="00C77304">
      <w:pPr>
        <w:pStyle w:val="XBRLTitle2"/>
        <w:spacing w:before="156" w:line="360" w:lineRule="auto"/>
        <w:ind w:left="454"/>
      </w:pPr>
      <w:bookmarkStart w:id="271" w:name="_Toc514088265"/>
      <w:bookmarkStart w:id="272" w:name="_Toc480465437"/>
      <w:bookmarkStart w:id="273" w:name="_Toc448480303"/>
      <w:bookmarkStart w:id="274" w:name="_Toc438654091"/>
      <w:bookmarkStart w:id="275" w:name="_Toc456107136"/>
      <w:bookmarkStart w:id="276" w:name="_Toc459213782"/>
      <w:bookmarkStart w:id="277" w:name="_Toc513542666"/>
      <w:bookmarkStart w:id="278" w:name="_Toc512696268"/>
      <w:bookmarkStart w:id="279" w:name="_Toc512612271"/>
      <w:bookmarkStart w:id="280" w:name="_Toc512612095"/>
      <w:bookmarkStart w:id="281" w:name="_Toc512611299"/>
      <w:bookmarkStart w:id="282" w:name="m506"/>
      <w:bookmarkEnd w:id="270"/>
      <w:proofErr w:type="spellStart"/>
      <w:r>
        <w:rPr>
          <w:rFonts w:eastAsia="宋体" w:hint="eastAsia"/>
        </w:rPr>
        <w:t>报告期末按公允价值占基金资产净值比例大小排名的前五名债券投资明细</w:t>
      </w:r>
      <w:bookmarkEnd w:id="271"/>
      <w:bookmarkEnd w:id="272"/>
      <w:bookmarkEnd w:id="273"/>
      <w:bookmarkEnd w:id="274"/>
      <w:bookmarkEnd w:id="275"/>
      <w:bookmarkEnd w:id="276"/>
      <w:proofErr w:type="spellEnd"/>
      <w:r>
        <w:rPr>
          <w:rFonts w:hint="eastAsia"/>
        </w:rPr>
        <w:t xml:space="preserve"> </w:t>
      </w:r>
      <w:bookmarkEnd w:id="277"/>
      <w:bookmarkEnd w:id="278"/>
      <w:bookmarkEnd w:id="279"/>
      <w:bookmarkEnd w:id="280"/>
      <w:bookmarkEnd w:id="281"/>
    </w:p>
    <w:p w14:paraId="3F085AD5" w14:textId="77777777" w:rsidR="00C77304" w:rsidRDefault="00C77304">
      <w:pPr>
        <w:spacing w:line="360" w:lineRule="auto"/>
        <w:ind w:firstLineChars="200" w:firstLine="420"/>
        <w:jc w:val="left"/>
        <w:divId w:val="981807841"/>
      </w:pPr>
      <w:r>
        <w:rPr>
          <w:rFonts w:ascii="宋体" w:hAnsi="宋体" w:hint="eastAsia"/>
          <w:color w:val="000000"/>
          <w:szCs w:val="21"/>
          <w:lang w:eastAsia="zh-Hans"/>
        </w:rPr>
        <w:t>本基金本报告期末未持有债券。</w:t>
      </w:r>
    </w:p>
    <w:p w14:paraId="3E91707A" w14:textId="77777777" w:rsidR="00C77304" w:rsidRDefault="00C77304">
      <w:pPr>
        <w:pStyle w:val="XBRLTitle2"/>
        <w:spacing w:before="156" w:line="360" w:lineRule="auto"/>
        <w:ind w:left="454"/>
      </w:pPr>
      <w:bookmarkStart w:id="283" w:name="_Toc514088266"/>
      <w:bookmarkStart w:id="284" w:name="_Toc480465438"/>
      <w:bookmarkStart w:id="285" w:name="_Toc448480304"/>
      <w:bookmarkStart w:id="286" w:name="_Toc438654092"/>
      <w:bookmarkStart w:id="287" w:name="_Toc456107137"/>
      <w:bookmarkStart w:id="288" w:name="_Toc459213783"/>
      <w:bookmarkStart w:id="289" w:name="_Toc513542667"/>
      <w:bookmarkStart w:id="290" w:name="_Toc512696269"/>
      <w:bookmarkStart w:id="291" w:name="_Toc512612272"/>
      <w:bookmarkStart w:id="292" w:name="_Toc512612096"/>
      <w:bookmarkStart w:id="293" w:name="_Toc512611300"/>
      <w:bookmarkStart w:id="294" w:name="m507"/>
      <w:bookmarkEnd w:id="282"/>
      <w:proofErr w:type="spellStart"/>
      <w:r>
        <w:rPr>
          <w:rFonts w:eastAsia="宋体" w:hint="eastAsia"/>
        </w:rPr>
        <w:t>报告期末按公允价值占基金资产净值比例大小排名的前十名资产支持证券投资明细</w:t>
      </w:r>
      <w:bookmarkEnd w:id="283"/>
      <w:bookmarkEnd w:id="284"/>
      <w:bookmarkEnd w:id="285"/>
      <w:bookmarkEnd w:id="286"/>
      <w:bookmarkEnd w:id="287"/>
      <w:bookmarkEnd w:id="288"/>
      <w:proofErr w:type="spellEnd"/>
      <w:r>
        <w:rPr>
          <w:rFonts w:hint="eastAsia"/>
        </w:rPr>
        <w:t xml:space="preserve"> </w:t>
      </w:r>
      <w:bookmarkEnd w:id="289"/>
      <w:bookmarkEnd w:id="290"/>
      <w:bookmarkEnd w:id="291"/>
      <w:bookmarkEnd w:id="292"/>
      <w:bookmarkEnd w:id="293"/>
    </w:p>
    <w:p w14:paraId="6C94BCA7" w14:textId="77777777" w:rsidR="00C77304" w:rsidRDefault="00C77304">
      <w:pPr>
        <w:spacing w:line="360" w:lineRule="auto"/>
        <w:ind w:firstLineChars="200" w:firstLine="420"/>
        <w:jc w:val="left"/>
        <w:divId w:val="88548987"/>
      </w:pPr>
      <w:r>
        <w:rPr>
          <w:rFonts w:ascii="宋体" w:hAnsi="宋体" w:hint="eastAsia"/>
          <w:color w:val="000000"/>
          <w:szCs w:val="21"/>
          <w:lang w:eastAsia="zh-Hans"/>
        </w:rPr>
        <w:lastRenderedPageBreak/>
        <w:t>本基金本报告期末未持有资产支持证券。</w:t>
      </w:r>
    </w:p>
    <w:p w14:paraId="211645AF" w14:textId="77777777" w:rsidR="00C77304" w:rsidRDefault="00C77304">
      <w:pPr>
        <w:pStyle w:val="XBRLTitle2"/>
        <w:spacing w:before="156" w:line="360" w:lineRule="auto"/>
        <w:ind w:left="454"/>
      </w:pPr>
      <w:bookmarkStart w:id="295" w:name="_Toc514088267"/>
      <w:bookmarkStart w:id="296" w:name="_Toc480465439"/>
      <w:bookmarkStart w:id="297" w:name="_Toc459213784"/>
      <w:bookmarkStart w:id="298" w:name="_Toc456107138"/>
      <w:bookmarkStart w:id="299" w:name="_Toc438654093"/>
      <w:bookmarkStart w:id="300" w:name="_Toc448480305"/>
      <w:bookmarkStart w:id="301" w:name="_Toc513542668"/>
      <w:bookmarkStart w:id="302" w:name="_Toc512696270"/>
      <w:bookmarkStart w:id="303" w:name="_Toc512612273"/>
      <w:bookmarkStart w:id="304" w:name="_Toc512612097"/>
      <w:bookmarkStart w:id="305" w:name="_Toc512611301"/>
      <w:bookmarkStart w:id="306" w:name="m508"/>
      <w:bookmarkEnd w:id="294"/>
      <w:proofErr w:type="spellStart"/>
      <w:r>
        <w:rPr>
          <w:rFonts w:eastAsia="宋体" w:hint="eastAsia"/>
        </w:rPr>
        <w:t>报告期末按公允价值占基金资产净值比例大小排名的前五名金融衍生品投资明细</w:t>
      </w:r>
      <w:bookmarkEnd w:id="295"/>
      <w:bookmarkEnd w:id="296"/>
      <w:bookmarkEnd w:id="297"/>
      <w:bookmarkEnd w:id="298"/>
      <w:bookmarkEnd w:id="299"/>
      <w:bookmarkEnd w:id="300"/>
      <w:proofErr w:type="spellEnd"/>
      <w:r>
        <w:rPr>
          <w:rFonts w:hint="eastAsia"/>
        </w:rPr>
        <w:t xml:space="preserve"> </w:t>
      </w:r>
      <w:bookmarkEnd w:id="301"/>
      <w:bookmarkEnd w:id="302"/>
      <w:bookmarkEnd w:id="303"/>
      <w:bookmarkEnd w:id="304"/>
      <w:bookmarkEnd w:id="305"/>
    </w:p>
    <w:p w14:paraId="6E7C1D84" w14:textId="77777777" w:rsidR="00C77304" w:rsidRDefault="00C77304">
      <w:pPr>
        <w:spacing w:line="360" w:lineRule="auto"/>
        <w:ind w:firstLineChars="200" w:firstLine="420"/>
        <w:divId w:val="1637024273"/>
      </w:pPr>
      <w:bookmarkStart w:id="307"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7"/>
      <w:r>
        <w:rPr>
          <w:rFonts w:ascii="宋体" w:hAnsi="宋体" w:hint="eastAsia"/>
          <w:szCs w:val="24"/>
          <w:lang w:eastAsia="zh-Hans"/>
        </w:rPr>
        <w:t xml:space="preserve"> </w:t>
      </w:r>
    </w:p>
    <w:p w14:paraId="2A855414" w14:textId="77777777" w:rsidR="00C77304" w:rsidRDefault="00C77304">
      <w:pPr>
        <w:pStyle w:val="XBRLTitle2"/>
        <w:spacing w:before="156" w:line="360" w:lineRule="auto"/>
        <w:ind w:left="454"/>
      </w:pPr>
      <w:bookmarkStart w:id="308" w:name="_Toc514088268"/>
      <w:bookmarkStart w:id="309" w:name="_Toc480465440"/>
      <w:bookmarkStart w:id="310" w:name="_Toc459213785"/>
      <w:bookmarkStart w:id="311" w:name="_Toc456107139"/>
      <w:bookmarkStart w:id="312" w:name="_Toc438654094"/>
      <w:bookmarkStart w:id="313" w:name="_Toc448480306"/>
      <w:bookmarkStart w:id="314" w:name="_Toc513542669"/>
      <w:bookmarkStart w:id="315" w:name="_Toc512696271"/>
      <w:bookmarkStart w:id="316" w:name="_Toc512612274"/>
      <w:bookmarkStart w:id="317" w:name="_Toc512612098"/>
      <w:bookmarkStart w:id="318" w:name="_Toc512611302"/>
      <w:bookmarkStart w:id="319" w:name="m509"/>
      <w:bookmarkEnd w:id="306"/>
      <w:proofErr w:type="spellStart"/>
      <w:r>
        <w:rPr>
          <w:rFonts w:eastAsia="宋体" w:hint="eastAsia"/>
        </w:rPr>
        <w:t>报告期末按公允价值占基金资产净值比例大小排序的前十名基金投资明细</w:t>
      </w:r>
      <w:bookmarkEnd w:id="308"/>
      <w:bookmarkEnd w:id="309"/>
      <w:bookmarkEnd w:id="310"/>
      <w:bookmarkEnd w:id="311"/>
      <w:bookmarkEnd w:id="312"/>
      <w:bookmarkEnd w:id="313"/>
      <w:proofErr w:type="spellEnd"/>
      <w:r>
        <w:rPr>
          <w:rFonts w:hint="eastAsia"/>
        </w:rPr>
        <w:t xml:space="preserve"> </w:t>
      </w:r>
      <w:bookmarkEnd w:id="314"/>
      <w:bookmarkEnd w:id="315"/>
      <w:bookmarkEnd w:id="316"/>
      <w:bookmarkEnd w:id="317"/>
      <w:bookmarkEnd w:id="318"/>
    </w:p>
    <w:p w14:paraId="57F7584F" w14:textId="77777777" w:rsidR="00C77304" w:rsidRDefault="00C77304">
      <w:pPr>
        <w:spacing w:line="360" w:lineRule="auto"/>
        <w:ind w:firstLineChars="200" w:firstLine="420"/>
      </w:pPr>
      <w:bookmarkStart w:id="320" w:name="m08QD_10"/>
      <w:bookmarkEnd w:id="242"/>
      <w:r>
        <w:rPr>
          <w:rFonts w:ascii="宋体" w:hAnsi="宋体" w:hint="eastAsia"/>
          <w:szCs w:val="21"/>
          <w:lang w:eastAsia="zh-Hans"/>
        </w:rPr>
        <w:t>本基金本报告期末未持有基金。</w:t>
      </w:r>
      <w:r>
        <w:rPr>
          <w:rFonts w:ascii="宋体" w:hAnsi="宋体" w:hint="eastAsia"/>
          <w:lang w:eastAsia="zh-Hans"/>
        </w:rPr>
        <w:t xml:space="preserve"> </w:t>
      </w:r>
      <w:bookmarkEnd w:id="206"/>
      <w:bookmarkEnd w:id="207"/>
      <w:bookmarkEnd w:id="208"/>
      <w:bookmarkEnd w:id="209"/>
      <w:bookmarkEnd w:id="320"/>
    </w:p>
    <w:p w14:paraId="4703AEC2" w14:textId="77777777" w:rsidR="00C77304" w:rsidRDefault="00C77304">
      <w:pPr>
        <w:pStyle w:val="XBRLTitle2"/>
        <w:spacing w:before="156" w:line="360" w:lineRule="auto"/>
        <w:ind w:left="454"/>
      </w:pPr>
      <w:bookmarkStart w:id="321" w:name="_Toc514088269"/>
      <w:bookmarkEnd w:id="319"/>
      <w:proofErr w:type="spellStart"/>
      <w:r>
        <w:rPr>
          <w:rFonts w:eastAsia="宋体" w:hint="eastAsia"/>
        </w:rPr>
        <w:t>投资组合报告附注</w:t>
      </w:r>
      <w:bookmarkEnd w:id="244"/>
      <w:bookmarkEnd w:id="245"/>
      <w:bookmarkEnd w:id="246"/>
      <w:bookmarkEnd w:id="247"/>
      <w:bookmarkEnd w:id="248"/>
      <w:bookmarkEnd w:id="249"/>
      <w:bookmarkEnd w:id="250"/>
      <w:bookmarkEnd w:id="251"/>
      <w:bookmarkEnd w:id="252"/>
      <w:bookmarkEnd w:id="253"/>
      <w:bookmarkEnd w:id="321"/>
      <w:proofErr w:type="spellEnd"/>
      <w:r>
        <w:rPr>
          <w:rFonts w:eastAsia="宋体" w:hint="eastAsia"/>
        </w:rPr>
        <w:t xml:space="preserve"> </w:t>
      </w:r>
    </w:p>
    <w:p w14:paraId="73541D11" w14:textId="77777777" w:rsidR="00C77304" w:rsidRDefault="00C77304">
      <w:pPr>
        <w:pStyle w:val="XBRLTitle3"/>
        <w:spacing w:before="156" w:line="360" w:lineRule="auto"/>
        <w:ind w:left="624"/>
      </w:pPr>
      <w:r>
        <w:rPr>
          <w:rFonts w:hAnsi="宋体" w:hint="eastAsia"/>
        </w:rPr>
        <w:t> </w:t>
      </w:r>
      <w:r>
        <w:rPr>
          <w:rFonts w:hAnsi="宋体" w:hint="eastAsia"/>
          <w:lang w:eastAsia="zh-CN"/>
        </w:rPr>
        <w:t xml:space="preserve"> </w:t>
      </w:r>
      <w:bookmarkStart w:id="322" w:name="_Toc514088270"/>
      <w:bookmarkEnd w:id="256"/>
      <w:bookmarkEnd w:id="257"/>
      <w:bookmarkEnd w:id="322"/>
      <w:r>
        <w:rPr>
          <w:rFonts w:hAnsi="宋体" w:hint="eastAsia"/>
        </w:rPr>
        <w:t xml:space="preserve"> </w:t>
      </w:r>
    </w:p>
    <w:p w14:paraId="7CEC1826" w14:textId="77777777" w:rsidR="00C77304" w:rsidRDefault="00C7730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08675721" w14:textId="77777777" w:rsidR="00C77304" w:rsidRDefault="00C77304">
      <w:pPr>
        <w:pStyle w:val="XBRLTitle3"/>
        <w:spacing w:before="156" w:line="360" w:lineRule="auto"/>
        <w:ind w:left="624"/>
      </w:pPr>
      <w:bookmarkStart w:id="323" w:name="m510_01_1598"/>
      <w:bookmarkEnd w:id="254"/>
      <w:r>
        <w:rPr>
          <w:rFonts w:hAnsi="宋体" w:hint="eastAsia"/>
        </w:rPr>
        <w:t> </w:t>
      </w:r>
      <w:r>
        <w:rPr>
          <w:rFonts w:hAnsi="宋体" w:hint="eastAsia"/>
          <w:lang w:eastAsia="zh-CN"/>
        </w:rPr>
        <w:t xml:space="preserve"> </w:t>
      </w:r>
      <w:bookmarkStart w:id="324" w:name="_Toc514088271"/>
      <w:bookmarkStart w:id="325" w:name="_Toc513542672"/>
      <w:bookmarkStart w:id="326" w:name="_Toc480465443"/>
      <w:bookmarkEnd w:id="324"/>
      <w:bookmarkEnd w:id="325"/>
      <w:bookmarkEnd w:id="326"/>
      <w:r>
        <w:rPr>
          <w:rFonts w:hAnsi="宋体" w:hint="eastAsia"/>
        </w:rPr>
        <w:t xml:space="preserve"> </w:t>
      </w:r>
    </w:p>
    <w:p w14:paraId="7F86410F" w14:textId="77777777" w:rsidR="00C77304" w:rsidRDefault="00C77304">
      <w:pPr>
        <w:spacing w:line="360" w:lineRule="auto"/>
        <w:ind w:firstLineChars="200" w:firstLine="420"/>
      </w:pPr>
      <w:r>
        <w:rPr>
          <w:rFonts w:ascii="宋体" w:hAnsi="宋体" w:hint="eastAsia"/>
        </w:rPr>
        <w:t>报告期内本基金投资的前十名股票中没有在基金合同规定备选股票库之外的股票。</w:t>
      </w:r>
    </w:p>
    <w:p w14:paraId="5C7AE5DE" w14:textId="77777777" w:rsidR="00C77304" w:rsidRDefault="00C77304">
      <w:pPr>
        <w:pStyle w:val="XBRLTitle3"/>
        <w:spacing w:before="156" w:line="360" w:lineRule="auto"/>
        <w:ind w:left="624"/>
      </w:pPr>
      <w:bookmarkStart w:id="327" w:name="_Toc514088272"/>
      <w:bookmarkStart w:id="328" w:name="_Toc480465444"/>
      <w:bookmarkStart w:id="329" w:name="_Toc513542673"/>
      <w:bookmarkStart w:id="330" w:name="m510_02"/>
      <w:bookmarkEnd w:id="323"/>
      <w:proofErr w:type="spellStart"/>
      <w:r>
        <w:rPr>
          <w:rFonts w:hAnsi="宋体" w:hint="eastAsia"/>
        </w:rPr>
        <w:t>其他资产构成</w:t>
      </w:r>
      <w:bookmarkEnd w:id="327"/>
      <w:bookmarkEnd w:id="328"/>
      <w:proofErr w:type="spellEnd"/>
      <w:r>
        <w:rPr>
          <w:rFonts w:hint="eastAsia"/>
        </w:rPr>
        <w:t xml:space="preserve"> </w:t>
      </w:r>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B721B" w14:paraId="55AF7E92" w14:textId="77777777">
        <w:trPr>
          <w:divId w:val="141724426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D15494" w14:textId="77777777" w:rsidR="00C77304" w:rsidRDefault="00C7730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6B74B" w14:textId="77777777" w:rsidR="00C77304" w:rsidRDefault="00C7730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25FBC" w14:textId="77777777" w:rsidR="00C77304" w:rsidRDefault="00C77304">
            <w:pPr>
              <w:jc w:val="center"/>
            </w:pPr>
            <w:r>
              <w:rPr>
                <w:rFonts w:ascii="宋体" w:hAnsi="宋体" w:hint="eastAsia"/>
              </w:rPr>
              <w:t>金额（人民币元）</w:t>
            </w:r>
            <w:r>
              <w:t xml:space="preserve"> </w:t>
            </w:r>
          </w:p>
        </w:tc>
      </w:tr>
      <w:tr w:rsidR="009B721B" w14:paraId="0C19BA52" w14:textId="77777777">
        <w:trPr>
          <w:divId w:val="1417244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7879F" w14:textId="77777777" w:rsidR="00C77304" w:rsidRDefault="00C7730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ABDC5" w14:textId="77777777" w:rsidR="00C77304" w:rsidRDefault="00C7730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F14B3" w14:textId="77777777" w:rsidR="00C77304" w:rsidRDefault="00C77304">
            <w:pPr>
              <w:jc w:val="right"/>
            </w:pPr>
            <w:r>
              <w:rPr>
                <w:rFonts w:ascii="宋体" w:hAnsi="宋体" w:hint="eastAsia"/>
              </w:rPr>
              <w:t>0.25</w:t>
            </w:r>
          </w:p>
        </w:tc>
      </w:tr>
      <w:tr w:rsidR="009B721B" w14:paraId="1200BF77" w14:textId="77777777">
        <w:trPr>
          <w:divId w:val="1417244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DA478" w14:textId="77777777" w:rsidR="00C77304" w:rsidRDefault="00C7730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B7C46" w14:textId="77777777" w:rsidR="00C77304" w:rsidRDefault="00C7730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B8882" w14:textId="77777777" w:rsidR="00C77304" w:rsidRDefault="00C77304">
            <w:pPr>
              <w:jc w:val="right"/>
            </w:pPr>
            <w:r>
              <w:rPr>
                <w:rFonts w:ascii="宋体" w:hAnsi="宋体" w:hint="eastAsia"/>
              </w:rPr>
              <w:t>4,820,805.86</w:t>
            </w:r>
          </w:p>
        </w:tc>
      </w:tr>
      <w:tr w:rsidR="009B721B" w14:paraId="35BB6C63" w14:textId="77777777">
        <w:trPr>
          <w:divId w:val="1417244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E02B6" w14:textId="77777777" w:rsidR="00C77304" w:rsidRDefault="00C7730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AC8B9" w14:textId="77777777" w:rsidR="00C77304" w:rsidRDefault="00C7730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33B6C" w14:textId="77777777" w:rsidR="00C77304" w:rsidRDefault="00C77304">
            <w:pPr>
              <w:jc w:val="right"/>
            </w:pPr>
            <w:r>
              <w:rPr>
                <w:rFonts w:ascii="宋体" w:hAnsi="宋体" w:hint="eastAsia"/>
              </w:rPr>
              <w:t>1,578,522.17</w:t>
            </w:r>
          </w:p>
        </w:tc>
      </w:tr>
      <w:tr w:rsidR="009B721B" w14:paraId="35909D85" w14:textId="77777777">
        <w:trPr>
          <w:divId w:val="1417244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9D6BF" w14:textId="77777777" w:rsidR="00C77304" w:rsidRDefault="00C7730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053DA" w14:textId="77777777" w:rsidR="00C77304" w:rsidRDefault="00C7730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D8C6A" w14:textId="77777777" w:rsidR="00C77304" w:rsidRDefault="00C77304">
            <w:pPr>
              <w:jc w:val="right"/>
            </w:pPr>
            <w:r>
              <w:rPr>
                <w:rFonts w:ascii="宋体" w:hAnsi="宋体" w:hint="eastAsia"/>
              </w:rPr>
              <w:t>-</w:t>
            </w:r>
          </w:p>
        </w:tc>
      </w:tr>
      <w:tr w:rsidR="009B721B" w14:paraId="61A68AD1" w14:textId="77777777">
        <w:trPr>
          <w:divId w:val="1417244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7B716" w14:textId="77777777" w:rsidR="00C77304" w:rsidRDefault="00C7730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76A35" w14:textId="77777777" w:rsidR="00C77304" w:rsidRDefault="00C7730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25B53" w14:textId="77777777" w:rsidR="00C77304" w:rsidRDefault="00C77304">
            <w:pPr>
              <w:jc w:val="right"/>
            </w:pPr>
            <w:r>
              <w:rPr>
                <w:rFonts w:ascii="宋体" w:hAnsi="宋体" w:hint="eastAsia"/>
              </w:rPr>
              <w:t>12,807,427.12</w:t>
            </w:r>
          </w:p>
        </w:tc>
      </w:tr>
      <w:tr w:rsidR="009B721B" w14:paraId="6D809C72" w14:textId="77777777">
        <w:trPr>
          <w:divId w:val="1417244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863F1" w14:textId="77777777" w:rsidR="00C77304" w:rsidRDefault="00C7730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F0399" w14:textId="77777777" w:rsidR="00C77304" w:rsidRDefault="00C7730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9BF68" w14:textId="77777777" w:rsidR="00C77304" w:rsidRDefault="00C77304">
            <w:pPr>
              <w:jc w:val="right"/>
            </w:pPr>
            <w:r>
              <w:rPr>
                <w:rFonts w:ascii="宋体" w:hAnsi="宋体" w:hint="eastAsia"/>
              </w:rPr>
              <w:t>20,758,200.00</w:t>
            </w:r>
          </w:p>
        </w:tc>
      </w:tr>
      <w:tr w:rsidR="009B721B" w14:paraId="1CA7457D" w14:textId="77777777">
        <w:trPr>
          <w:divId w:val="1417244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EACEF" w14:textId="77777777" w:rsidR="00C77304" w:rsidRDefault="00C7730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D3FD7" w14:textId="77777777" w:rsidR="00C77304" w:rsidRDefault="00C7730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6EE0D" w14:textId="77777777" w:rsidR="00C77304" w:rsidRDefault="00C77304">
            <w:pPr>
              <w:jc w:val="right"/>
            </w:pPr>
            <w:r>
              <w:rPr>
                <w:rFonts w:ascii="宋体" w:hAnsi="宋体" w:hint="eastAsia"/>
              </w:rPr>
              <w:t>-</w:t>
            </w:r>
          </w:p>
        </w:tc>
      </w:tr>
      <w:tr w:rsidR="009B721B" w14:paraId="6D2A65A6" w14:textId="77777777">
        <w:trPr>
          <w:divId w:val="141724426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17AF1" w14:textId="77777777" w:rsidR="00C77304" w:rsidRDefault="00C7730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641AD" w14:textId="77777777" w:rsidR="00C77304" w:rsidRDefault="00C7730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24052" w14:textId="77777777" w:rsidR="00C77304" w:rsidRDefault="00C77304">
            <w:pPr>
              <w:jc w:val="right"/>
            </w:pPr>
            <w:r>
              <w:rPr>
                <w:rFonts w:ascii="宋体" w:hAnsi="宋体" w:hint="eastAsia"/>
              </w:rPr>
              <w:t>39,964,955.40</w:t>
            </w:r>
          </w:p>
        </w:tc>
      </w:tr>
    </w:tbl>
    <w:p w14:paraId="0E8A85AC" w14:textId="77777777" w:rsidR="00C77304" w:rsidRDefault="00C77304">
      <w:pPr>
        <w:pStyle w:val="XBRLTitle3"/>
        <w:spacing w:before="156" w:line="360" w:lineRule="auto"/>
        <w:ind w:left="624"/>
      </w:pPr>
      <w:bookmarkStart w:id="331" w:name="_Toc514088273"/>
      <w:bookmarkStart w:id="332" w:name="_Toc480465445"/>
      <w:bookmarkStart w:id="333" w:name="_Toc513542674"/>
      <w:bookmarkStart w:id="334" w:name="m510_03"/>
      <w:bookmarkEnd w:id="330"/>
      <w:proofErr w:type="spellStart"/>
      <w:r>
        <w:rPr>
          <w:rFonts w:hAnsi="宋体" w:hint="eastAsia"/>
        </w:rPr>
        <w:t>报告期末持有的处于转股期的可转换债券明细</w:t>
      </w:r>
      <w:bookmarkEnd w:id="331"/>
      <w:bookmarkEnd w:id="332"/>
      <w:proofErr w:type="spellEnd"/>
      <w:r>
        <w:rPr>
          <w:rFonts w:hint="eastAsia"/>
        </w:rPr>
        <w:t xml:space="preserve"> </w:t>
      </w:r>
      <w:bookmarkEnd w:id="333"/>
    </w:p>
    <w:p w14:paraId="7336CE67" w14:textId="77777777" w:rsidR="00C77304" w:rsidRDefault="00C77304">
      <w:pPr>
        <w:spacing w:line="360" w:lineRule="auto"/>
        <w:ind w:firstLineChars="200" w:firstLine="420"/>
        <w:jc w:val="left"/>
        <w:divId w:val="609432892"/>
      </w:pPr>
      <w:r>
        <w:rPr>
          <w:rFonts w:ascii="宋体" w:hAnsi="宋体" w:hint="eastAsia"/>
        </w:rPr>
        <w:t xml:space="preserve">本基金本报告期末未持有处于转股期的可转换债券。 </w:t>
      </w:r>
    </w:p>
    <w:p w14:paraId="18994B18" w14:textId="77777777" w:rsidR="00C77304" w:rsidRDefault="00C77304">
      <w:pPr>
        <w:pStyle w:val="XBRLTitle3"/>
        <w:spacing w:before="156" w:line="360" w:lineRule="auto"/>
        <w:ind w:left="624"/>
      </w:pPr>
      <w:bookmarkStart w:id="335" w:name="_Toc514088274"/>
      <w:bookmarkStart w:id="336" w:name="_Toc480465446"/>
      <w:bookmarkStart w:id="337" w:name="_Toc513542675"/>
      <w:bookmarkStart w:id="338" w:name="m510_04"/>
      <w:bookmarkEnd w:id="334"/>
      <w:proofErr w:type="spellStart"/>
      <w:r>
        <w:rPr>
          <w:rFonts w:hAnsi="宋体" w:hint="eastAsia"/>
        </w:rPr>
        <w:t>报告期末前十名股票中存在流通受限情况的说明</w:t>
      </w:r>
      <w:bookmarkEnd w:id="335"/>
      <w:bookmarkEnd w:id="336"/>
      <w:proofErr w:type="spellEnd"/>
      <w:r>
        <w:rPr>
          <w:rFonts w:hint="eastAsia"/>
        </w:rPr>
        <w:t xml:space="preserve"> </w:t>
      </w:r>
      <w:bookmarkEnd w:id="337"/>
    </w:p>
    <w:p w14:paraId="4BE28CFE" w14:textId="77777777" w:rsidR="00C77304" w:rsidRDefault="00C7730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4D47CBBB" w14:textId="77777777" w:rsidR="00C77304" w:rsidRDefault="00C77304">
      <w:pPr>
        <w:pStyle w:val="XBRLTitle3"/>
        <w:spacing w:before="156" w:line="360" w:lineRule="auto"/>
        <w:ind w:left="624"/>
      </w:pPr>
      <w:bookmarkStart w:id="339" w:name="_Toc514088275"/>
      <w:bookmarkStart w:id="340" w:name="_Toc480465447"/>
      <w:bookmarkStart w:id="341" w:name="_Toc513542676"/>
      <w:bookmarkStart w:id="342" w:name="m510_05_1678"/>
      <w:bookmarkEnd w:id="338"/>
      <w:proofErr w:type="spellStart"/>
      <w:r>
        <w:rPr>
          <w:rFonts w:hAnsi="宋体" w:hint="eastAsia"/>
        </w:rPr>
        <w:t>投资组合报告附注的其他文字描述部分</w:t>
      </w:r>
      <w:bookmarkEnd w:id="339"/>
      <w:bookmarkEnd w:id="340"/>
      <w:bookmarkEnd w:id="341"/>
      <w:proofErr w:type="spellEnd"/>
      <w:r>
        <w:rPr>
          <w:rFonts w:hAnsi="宋体" w:hint="eastAsia"/>
        </w:rPr>
        <w:t xml:space="preserve"> </w:t>
      </w:r>
    </w:p>
    <w:p w14:paraId="565FAE82" w14:textId="77777777" w:rsidR="00C77304" w:rsidRDefault="00C77304">
      <w:pPr>
        <w:spacing w:line="360" w:lineRule="auto"/>
        <w:ind w:firstLineChars="200" w:firstLine="420"/>
        <w:jc w:val="left"/>
      </w:pPr>
      <w:r>
        <w:rPr>
          <w:rFonts w:ascii="宋体" w:hAnsi="宋体" w:hint="eastAsia"/>
        </w:rPr>
        <w:t>因四舍五入原因，投资组合报告中分项之和与合计可能存在尾差。</w:t>
      </w:r>
    </w:p>
    <w:p w14:paraId="2FB68872" w14:textId="77777777" w:rsidR="00C77304" w:rsidRDefault="00C77304">
      <w:pPr>
        <w:pStyle w:val="XBRLTitle1"/>
        <w:spacing w:before="156"/>
        <w:ind w:left="425"/>
        <w:rPr>
          <w:rFonts w:hint="eastAsia"/>
        </w:rPr>
      </w:pPr>
      <w:bookmarkStart w:id="343" w:name="_Toc514088276"/>
      <w:bookmarkStart w:id="344" w:name="_Toc480465448"/>
      <w:bookmarkStart w:id="345" w:name="_Toc448480308"/>
      <w:bookmarkStart w:id="346" w:name="_Toc438654096"/>
      <w:bookmarkStart w:id="347" w:name="_Toc456107141"/>
      <w:bookmarkStart w:id="348" w:name="_Toc459213787"/>
      <w:bookmarkStart w:id="349" w:name="_Toc513542677"/>
      <w:bookmarkStart w:id="350" w:name="_Toc512696273"/>
      <w:bookmarkStart w:id="351" w:name="_Toc512612276"/>
      <w:bookmarkStart w:id="352" w:name="_Toc512612100"/>
      <w:bookmarkStart w:id="353" w:name="_Toc512611304"/>
      <w:bookmarkStart w:id="354" w:name="m601"/>
      <w:proofErr w:type="spellStart"/>
      <w:r>
        <w:rPr>
          <w:rFonts w:hint="eastAsia"/>
        </w:rPr>
        <w:lastRenderedPageBreak/>
        <w:t>开放式基金份额变动</w:t>
      </w:r>
      <w:bookmarkEnd w:id="343"/>
      <w:bookmarkEnd w:id="344"/>
      <w:bookmarkEnd w:id="345"/>
      <w:bookmarkEnd w:id="346"/>
      <w:bookmarkEnd w:id="347"/>
      <w:bookmarkEnd w:id="348"/>
      <w:bookmarkEnd w:id="349"/>
      <w:bookmarkEnd w:id="350"/>
      <w:bookmarkEnd w:id="351"/>
      <w:bookmarkEnd w:id="352"/>
      <w:bookmarkEnd w:id="353"/>
      <w:proofErr w:type="spellEnd"/>
    </w:p>
    <w:p w14:paraId="089D4161" w14:textId="77777777" w:rsidR="00C77304" w:rsidRDefault="00C77304">
      <w:pPr>
        <w:wordWrap w:val="0"/>
        <w:spacing w:line="360" w:lineRule="auto"/>
        <w:jc w:val="right"/>
      </w:pPr>
      <w:bookmarkStart w:id="35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9B721B" w14:paraId="080E0A05"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3E1D00D" w14:textId="77777777" w:rsidR="00C77304" w:rsidRDefault="00C7730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6" w:name="m10_01" w:colFirst="1" w:colLast="2"/>
            <w:bookmarkStart w:id="357" w:name="m601_tab"/>
            <w:bookmarkEnd w:id="355"/>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F743D6" w14:textId="77777777" w:rsidR="00C77304" w:rsidRDefault="00C77304">
            <w:pPr>
              <w:ind w:right="3"/>
              <w:jc w:val="center"/>
            </w:pPr>
            <w:r>
              <w:rPr>
                <w:rFonts w:ascii="宋体" w:hAnsi="宋体" w:hint="eastAsia"/>
                <w:lang w:eastAsia="zh-Hans"/>
              </w:rPr>
              <w:t>摩根全球天然资源混合(QDII)A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F23CAA" w14:textId="77777777" w:rsidR="00C77304" w:rsidRDefault="00C77304">
            <w:pPr>
              <w:ind w:right="3"/>
              <w:jc w:val="center"/>
            </w:pPr>
            <w:r>
              <w:rPr>
                <w:rFonts w:ascii="宋体" w:hAnsi="宋体" w:hint="eastAsia"/>
                <w:lang w:eastAsia="zh-Hans"/>
              </w:rPr>
              <w:t>摩根全球天然资源混合(QDII)C</w:t>
            </w:r>
            <w:r>
              <w:rPr>
                <w:rFonts w:ascii="宋体" w:hAnsi="宋体" w:hint="eastAsia"/>
                <w:kern w:val="0"/>
                <w:szCs w:val="24"/>
                <w:lang w:eastAsia="zh-Hans"/>
              </w:rPr>
              <w:t xml:space="preserve"> </w:t>
            </w:r>
          </w:p>
        </w:tc>
      </w:tr>
      <w:tr w:rsidR="009B721B" w14:paraId="05405F57"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A32781" w14:textId="77777777" w:rsidR="00C77304" w:rsidRDefault="00C7730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2F307F" w14:textId="77777777" w:rsidR="00C77304" w:rsidRDefault="00C77304">
            <w:pPr>
              <w:jc w:val="right"/>
            </w:pPr>
            <w:r>
              <w:rPr>
                <w:rFonts w:ascii="宋体" w:hAnsi="宋体" w:hint="eastAsia"/>
              </w:rPr>
              <w:t>141,940,463.06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642732" w14:textId="77777777" w:rsidR="00C77304" w:rsidRDefault="00C77304">
            <w:pPr>
              <w:jc w:val="right"/>
            </w:pPr>
            <w:r>
              <w:rPr>
                <w:rFonts w:ascii="宋体" w:hAnsi="宋体" w:hint="eastAsia"/>
              </w:rPr>
              <w:t>65,615,216.77</w:t>
            </w:r>
          </w:p>
        </w:tc>
      </w:tr>
      <w:tr w:rsidR="009B721B" w14:paraId="044435E0"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64C99" w14:textId="77777777" w:rsidR="00C77304" w:rsidRDefault="00C7730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0541B4" w14:textId="77777777" w:rsidR="00C77304" w:rsidRDefault="00C77304">
            <w:pPr>
              <w:jc w:val="right"/>
            </w:pPr>
            <w:r>
              <w:rPr>
                <w:rFonts w:ascii="宋体" w:hAnsi="宋体" w:hint="eastAsia"/>
              </w:rPr>
              <w:t>194,544,547.97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B6721A" w14:textId="77777777" w:rsidR="00C77304" w:rsidRDefault="00C77304">
            <w:pPr>
              <w:jc w:val="right"/>
            </w:pPr>
            <w:r>
              <w:rPr>
                <w:rFonts w:ascii="宋体" w:hAnsi="宋体" w:hint="eastAsia"/>
              </w:rPr>
              <w:t>437,734,976.18</w:t>
            </w:r>
          </w:p>
        </w:tc>
      </w:tr>
      <w:tr w:rsidR="009B721B" w14:paraId="07C3B84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D39177" w14:textId="77777777" w:rsidR="00C77304" w:rsidRDefault="00C7730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8059D3" w14:textId="77777777" w:rsidR="00C77304" w:rsidRDefault="00C77304">
            <w:pPr>
              <w:jc w:val="right"/>
            </w:pPr>
            <w:r>
              <w:rPr>
                <w:rFonts w:ascii="宋体" w:hAnsi="宋体" w:hint="eastAsia"/>
              </w:rPr>
              <w:t>88,914,408.56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02B417" w14:textId="77777777" w:rsidR="00C77304" w:rsidRDefault="00C77304">
            <w:pPr>
              <w:jc w:val="right"/>
            </w:pPr>
            <w:r>
              <w:rPr>
                <w:rFonts w:ascii="宋体" w:hAnsi="宋体" w:hint="eastAsia"/>
              </w:rPr>
              <w:t>193,579,261.63</w:t>
            </w:r>
          </w:p>
        </w:tc>
      </w:tr>
      <w:tr w:rsidR="009B721B" w14:paraId="4E19013D"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81B1DE" w14:textId="77777777" w:rsidR="00C77304" w:rsidRDefault="00C7730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917A52" w14:textId="77777777" w:rsidR="00C77304" w:rsidRDefault="00C7730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0E928D" w14:textId="77777777" w:rsidR="00C77304" w:rsidRDefault="00C77304">
            <w:pPr>
              <w:jc w:val="right"/>
            </w:pPr>
            <w:r>
              <w:rPr>
                <w:rFonts w:ascii="宋体" w:hAnsi="宋体" w:hint="eastAsia"/>
              </w:rPr>
              <w:t>-</w:t>
            </w:r>
          </w:p>
        </w:tc>
      </w:tr>
      <w:tr w:rsidR="009B721B" w14:paraId="4BBFF8F1"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516F15" w14:textId="77777777" w:rsidR="00C77304" w:rsidRDefault="00C7730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1F3E03" w14:textId="77777777" w:rsidR="00C77304" w:rsidRDefault="00C77304">
            <w:pPr>
              <w:jc w:val="right"/>
            </w:pPr>
            <w:r>
              <w:rPr>
                <w:rFonts w:ascii="宋体" w:hAnsi="宋体" w:hint="eastAsia"/>
              </w:rPr>
              <w:t>247,570,602.47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9ADA93" w14:textId="77777777" w:rsidR="00C77304" w:rsidRDefault="00C77304">
            <w:pPr>
              <w:jc w:val="right"/>
            </w:pPr>
            <w:r>
              <w:rPr>
                <w:rFonts w:ascii="宋体" w:hAnsi="宋体" w:hint="eastAsia"/>
              </w:rPr>
              <w:t>309,770,931.32</w:t>
            </w:r>
          </w:p>
        </w:tc>
      </w:tr>
    </w:tbl>
    <w:p w14:paraId="1EBE1097" w14:textId="77777777" w:rsidR="00C77304" w:rsidRDefault="00C77304">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6"/>
      <w:r>
        <w:rPr>
          <w:rFonts w:ascii="宋体" w:hAnsi="宋体" w:hint="eastAsia"/>
        </w:rPr>
        <w:t xml:space="preserve"> </w:t>
      </w:r>
    </w:p>
    <w:p w14:paraId="7C8F3EED" w14:textId="77777777" w:rsidR="00C77304" w:rsidRDefault="00C77304">
      <w:pPr>
        <w:pStyle w:val="XBRLTitle1"/>
        <w:spacing w:before="156"/>
        <w:ind w:left="425"/>
        <w:rPr>
          <w:rFonts w:hint="eastAsia"/>
        </w:rPr>
      </w:pPr>
      <w:bookmarkStart w:id="358" w:name="_Toc514088277"/>
      <w:bookmarkStart w:id="359" w:name="_Toc480465449"/>
      <w:bookmarkStart w:id="360" w:name="_Toc448480309"/>
      <w:bookmarkStart w:id="361" w:name="_Toc438654097"/>
      <w:bookmarkStart w:id="362" w:name="_Toc456107142"/>
      <w:bookmarkStart w:id="363" w:name="_Toc459213788"/>
      <w:bookmarkStart w:id="364" w:name="_Toc513542678"/>
      <w:bookmarkStart w:id="365" w:name="_Toc512696274"/>
      <w:bookmarkStart w:id="366" w:name="_Toc512612277"/>
      <w:bookmarkStart w:id="367" w:name="_Toc512612101"/>
      <w:bookmarkStart w:id="368" w:name="_Toc512611305"/>
      <w:bookmarkStart w:id="369" w:name="m7manage01"/>
      <w:bookmarkEnd w:id="354"/>
      <w:bookmarkEnd w:id="357"/>
      <w:proofErr w:type="spellStart"/>
      <w:r>
        <w:rPr>
          <w:rFonts w:hint="eastAsia"/>
        </w:rPr>
        <w:t>基金管理人运用固有资金投资本基金交易明细</w:t>
      </w:r>
      <w:bookmarkEnd w:id="342"/>
      <w:bookmarkEnd w:id="358"/>
      <w:bookmarkEnd w:id="359"/>
      <w:bookmarkEnd w:id="360"/>
      <w:bookmarkEnd w:id="361"/>
      <w:bookmarkEnd w:id="362"/>
      <w:bookmarkEnd w:id="363"/>
      <w:bookmarkEnd w:id="364"/>
      <w:bookmarkEnd w:id="365"/>
      <w:bookmarkEnd w:id="366"/>
      <w:bookmarkEnd w:id="367"/>
      <w:bookmarkEnd w:id="368"/>
      <w:bookmarkEnd w:id="369"/>
      <w:proofErr w:type="spellEnd"/>
    </w:p>
    <w:p w14:paraId="1E6E14A4" w14:textId="77777777" w:rsidR="00C77304" w:rsidRDefault="00C77304">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001AABE0" w14:textId="77777777" w:rsidR="00C77304" w:rsidRDefault="00C77304">
      <w:pPr>
        <w:pStyle w:val="XBRLTitle1"/>
        <w:spacing w:before="156"/>
        <w:ind w:left="425"/>
        <w:rPr>
          <w:rFonts w:hint="eastAsia"/>
        </w:rPr>
      </w:pPr>
      <w:bookmarkStart w:id="370" w:name="_Toc17881714"/>
      <w:bookmarkStart w:id="371" w:name="_Toc479856294"/>
      <w:bookmarkStart w:id="372" w:name="_Toc492299909"/>
      <w:bookmarkStart w:id="373" w:name="_Toc512627244"/>
      <w:bookmarkStart w:id="374" w:name="_Toc512694324"/>
      <w:bookmarkStart w:id="375" w:name="m701"/>
      <w:proofErr w:type="spellStart"/>
      <w:r>
        <w:rPr>
          <w:rFonts w:hint="eastAsia"/>
        </w:rPr>
        <w:t>影响投资者决策的其他重要信息</w:t>
      </w:r>
      <w:bookmarkEnd w:id="370"/>
      <w:bookmarkEnd w:id="371"/>
      <w:bookmarkEnd w:id="372"/>
      <w:bookmarkEnd w:id="373"/>
      <w:bookmarkEnd w:id="374"/>
      <w:proofErr w:type="spellEnd"/>
      <w:r>
        <w:rPr>
          <w:rFonts w:hint="eastAsia"/>
          <w:lang w:eastAsia="zh-CN"/>
        </w:rPr>
        <w:t xml:space="preserve"> </w:t>
      </w:r>
    </w:p>
    <w:p w14:paraId="1A40711E" w14:textId="77777777" w:rsidR="00C77304" w:rsidRDefault="00C77304">
      <w:pPr>
        <w:pStyle w:val="XBRLTitle2"/>
        <w:spacing w:before="156"/>
        <w:ind w:left="454"/>
      </w:pPr>
      <w:bookmarkStart w:id="376" w:name="_Toc17881715"/>
      <w:bookmarkStart w:id="377" w:name="_Toc492299910"/>
      <w:bookmarkStart w:id="378" w:name="_Toc512627245"/>
      <w:bookmarkStart w:id="379"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6"/>
      <w:bookmarkEnd w:id="377"/>
      <w:bookmarkEnd w:id="378"/>
      <w:bookmarkEnd w:id="379"/>
      <w:r>
        <w:rPr>
          <w:rFonts w:hint="eastAsia"/>
          <w:kern w:val="0"/>
          <w:lang w:eastAsia="zh-CN"/>
        </w:rPr>
        <w:t xml:space="preserve"> </w:t>
      </w:r>
    </w:p>
    <w:bookmarkEnd w:id="24"/>
    <w:bookmarkEnd w:id="50"/>
    <w:bookmarkEnd w:id="51"/>
    <w:p w14:paraId="35403CFB" w14:textId="77777777" w:rsidR="00C77304" w:rsidRDefault="00C77304">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C702A0D" w14:textId="77777777" w:rsidR="00C77304" w:rsidRDefault="00C77304">
      <w:pPr>
        <w:pStyle w:val="XBRLTitle1"/>
        <w:spacing w:before="156"/>
        <w:ind w:left="425"/>
        <w:rPr>
          <w:rFonts w:hint="eastAsia"/>
        </w:rPr>
      </w:pPr>
      <w:bookmarkStart w:id="380" w:name="_Toc514088283"/>
      <w:bookmarkStart w:id="381" w:name="_Toc466644495"/>
      <w:bookmarkStart w:id="382" w:name="_Toc480465455"/>
      <w:bookmarkStart w:id="383" w:name="_Toc513542684"/>
      <w:bookmarkStart w:id="384" w:name="_Toc512696280"/>
      <w:bookmarkStart w:id="385" w:name="_Toc512612283"/>
      <w:bookmarkStart w:id="386" w:name="_Toc512612107"/>
      <w:bookmarkStart w:id="387" w:name="_Toc512611311"/>
      <w:bookmarkEnd w:id="375"/>
      <w:proofErr w:type="spellStart"/>
      <w:r>
        <w:rPr>
          <w:rFonts w:hint="eastAsia"/>
        </w:rPr>
        <w:t>备查文件目录</w:t>
      </w:r>
      <w:bookmarkEnd w:id="380"/>
      <w:bookmarkEnd w:id="381"/>
      <w:bookmarkEnd w:id="382"/>
      <w:bookmarkEnd w:id="383"/>
      <w:bookmarkEnd w:id="384"/>
      <w:bookmarkEnd w:id="385"/>
      <w:bookmarkEnd w:id="386"/>
      <w:bookmarkEnd w:id="387"/>
      <w:proofErr w:type="spellEnd"/>
    </w:p>
    <w:p w14:paraId="760A21F7" w14:textId="77777777" w:rsidR="00C77304" w:rsidRDefault="00C77304">
      <w:pPr>
        <w:pStyle w:val="XBRLTitle2"/>
        <w:spacing w:before="156" w:line="360" w:lineRule="auto"/>
        <w:ind w:left="454"/>
      </w:pPr>
      <w:bookmarkStart w:id="388" w:name="_Toc514088284"/>
      <w:bookmarkStart w:id="389" w:name="_Toc480465456"/>
      <w:bookmarkStart w:id="390" w:name="_Toc448480313"/>
      <w:bookmarkStart w:id="391" w:name="_Toc438654101"/>
      <w:bookmarkStart w:id="392" w:name="_Toc456107145"/>
      <w:bookmarkStart w:id="393" w:name="_Toc459213792"/>
      <w:bookmarkStart w:id="394" w:name="_Toc513542685"/>
      <w:bookmarkStart w:id="395" w:name="_Toc512696281"/>
      <w:bookmarkStart w:id="396" w:name="_Toc512612284"/>
      <w:bookmarkStart w:id="397" w:name="_Toc512612108"/>
      <w:bookmarkStart w:id="398" w:name="_Toc512611312"/>
      <w:bookmarkStart w:id="399" w:name="m801_01_1733"/>
      <w:proofErr w:type="spellStart"/>
      <w:r>
        <w:rPr>
          <w:rFonts w:eastAsia="宋体" w:hint="eastAsia"/>
        </w:rPr>
        <w:t>备查文件目录</w:t>
      </w:r>
      <w:bookmarkEnd w:id="388"/>
      <w:bookmarkEnd w:id="389"/>
      <w:bookmarkEnd w:id="390"/>
      <w:bookmarkEnd w:id="391"/>
      <w:bookmarkEnd w:id="392"/>
      <w:bookmarkEnd w:id="393"/>
      <w:bookmarkEnd w:id="394"/>
      <w:bookmarkEnd w:id="395"/>
      <w:bookmarkEnd w:id="396"/>
      <w:bookmarkEnd w:id="397"/>
      <w:bookmarkEnd w:id="398"/>
      <w:proofErr w:type="spellEnd"/>
      <w:r>
        <w:rPr>
          <w:rFonts w:eastAsia="宋体" w:hint="eastAsia"/>
        </w:rPr>
        <w:t xml:space="preserve"> </w:t>
      </w:r>
    </w:p>
    <w:p w14:paraId="7DC5FAA3" w14:textId="77777777" w:rsidR="00C77304" w:rsidRDefault="00C77304">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2、《摩根全球天然资源混合型证券投资基金(QDII)基金合同》；</w:t>
      </w:r>
      <w:r>
        <w:rPr>
          <w:rFonts w:ascii="宋体" w:hAnsi="宋体" w:cs="宋体" w:hint="eastAsia"/>
          <w:color w:val="000000"/>
          <w:kern w:val="0"/>
        </w:rPr>
        <w:br/>
        <w:t xml:space="preserve">　　3、《摩根全球天然资源混合型证券投资基金(QDII)托管协议》；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2F2D2D70" w14:textId="77777777" w:rsidR="00C77304" w:rsidRDefault="00C77304">
      <w:pPr>
        <w:pStyle w:val="XBRLTitle2"/>
        <w:spacing w:before="156" w:line="360" w:lineRule="auto"/>
        <w:ind w:left="454"/>
      </w:pPr>
      <w:bookmarkStart w:id="400" w:name="_Toc514088285"/>
      <w:bookmarkStart w:id="401" w:name="_Toc480465457"/>
      <w:bookmarkStart w:id="402" w:name="_Toc448480314"/>
      <w:bookmarkStart w:id="403" w:name="_Toc438654102"/>
      <w:bookmarkStart w:id="404" w:name="_Toc456107146"/>
      <w:bookmarkStart w:id="405" w:name="_Toc459213793"/>
      <w:bookmarkStart w:id="406" w:name="_Toc513542686"/>
      <w:bookmarkStart w:id="407" w:name="_Toc512696282"/>
      <w:bookmarkStart w:id="408" w:name="_Toc512612285"/>
      <w:bookmarkStart w:id="409" w:name="_Toc512612109"/>
      <w:bookmarkStart w:id="410" w:name="_Toc512611313"/>
      <w:bookmarkStart w:id="411" w:name="m801_01_1734"/>
      <w:bookmarkEnd w:id="399"/>
      <w:proofErr w:type="spellStart"/>
      <w:r>
        <w:rPr>
          <w:rFonts w:eastAsia="宋体" w:hint="eastAsia"/>
        </w:rPr>
        <w:t>存放地点</w:t>
      </w:r>
      <w:bookmarkEnd w:id="400"/>
      <w:bookmarkEnd w:id="401"/>
      <w:bookmarkEnd w:id="402"/>
      <w:bookmarkEnd w:id="403"/>
      <w:bookmarkEnd w:id="404"/>
      <w:bookmarkEnd w:id="405"/>
      <w:bookmarkEnd w:id="406"/>
      <w:bookmarkEnd w:id="407"/>
      <w:bookmarkEnd w:id="408"/>
      <w:bookmarkEnd w:id="409"/>
      <w:bookmarkEnd w:id="410"/>
      <w:proofErr w:type="spellEnd"/>
      <w:r>
        <w:rPr>
          <w:rFonts w:eastAsia="宋体" w:hint="eastAsia"/>
        </w:rPr>
        <w:t xml:space="preserve"> </w:t>
      </w:r>
    </w:p>
    <w:p w14:paraId="7334DCA7" w14:textId="77777777" w:rsidR="00C77304" w:rsidRDefault="00C77304">
      <w:pPr>
        <w:spacing w:line="360" w:lineRule="auto"/>
        <w:ind w:firstLineChars="200" w:firstLine="420"/>
        <w:jc w:val="left"/>
      </w:pPr>
      <w:r>
        <w:rPr>
          <w:rFonts w:ascii="宋体" w:hAnsi="宋体" w:cs="宋体" w:hint="eastAsia"/>
          <w:color w:val="000000"/>
          <w:kern w:val="0"/>
        </w:rPr>
        <w:t>基金管理人或基金托管人住所。</w:t>
      </w:r>
    </w:p>
    <w:p w14:paraId="4E01F0FF" w14:textId="77777777" w:rsidR="00C77304" w:rsidRDefault="00C77304">
      <w:pPr>
        <w:pStyle w:val="XBRLTitle2"/>
        <w:spacing w:before="156" w:line="360" w:lineRule="auto"/>
        <w:ind w:left="454"/>
      </w:pPr>
      <w:bookmarkStart w:id="412" w:name="_Toc514088286"/>
      <w:bookmarkStart w:id="413" w:name="_Toc480465458"/>
      <w:bookmarkStart w:id="414" w:name="_Toc448480315"/>
      <w:bookmarkStart w:id="415" w:name="_Toc438654103"/>
      <w:bookmarkStart w:id="416" w:name="_Toc456107147"/>
      <w:bookmarkStart w:id="417" w:name="_Toc459213794"/>
      <w:bookmarkStart w:id="418" w:name="_Toc513542687"/>
      <w:bookmarkStart w:id="419" w:name="_Toc512696283"/>
      <w:bookmarkStart w:id="420" w:name="_Toc512612286"/>
      <w:bookmarkStart w:id="421" w:name="_Toc512612110"/>
      <w:bookmarkStart w:id="422" w:name="_Toc512611314"/>
      <w:bookmarkStart w:id="423" w:name="m801_01_1735"/>
      <w:bookmarkEnd w:id="411"/>
      <w:proofErr w:type="spellStart"/>
      <w:r>
        <w:rPr>
          <w:rFonts w:eastAsia="宋体" w:hint="eastAsia"/>
        </w:rPr>
        <w:t>查阅方式</w:t>
      </w:r>
      <w:bookmarkEnd w:id="412"/>
      <w:bookmarkEnd w:id="413"/>
      <w:bookmarkEnd w:id="414"/>
      <w:bookmarkEnd w:id="415"/>
      <w:bookmarkEnd w:id="416"/>
      <w:bookmarkEnd w:id="417"/>
      <w:bookmarkEnd w:id="418"/>
      <w:bookmarkEnd w:id="419"/>
      <w:bookmarkEnd w:id="420"/>
      <w:bookmarkEnd w:id="421"/>
      <w:bookmarkEnd w:id="422"/>
      <w:proofErr w:type="spellEnd"/>
      <w:r>
        <w:rPr>
          <w:rFonts w:eastAsia="宋体" w:hint="eastAsia"/>
        </w:rPr>
        <w:t xml:space="preserve"> </w:t>
      </w:r>
    </w:p>
    <w:p w14:paraId="3B874A11" w14:textId="77777777" w:rsidR="00C77304" w:rsidRDefault="00C77304">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3"/>
    <w:p w14:paraId="50314970" w14:textId="77777777" w:rsidR="00C77304" w:rsidRDefault="00C77304">
      <w:pPr>
        <w:spacing w:line="360" w:lineRule="auto"/>
        <w:jc w:val="left"/>
        <w:rPr>
          <w:rFonts w:ascii="宋体" w:hAnsi="宋体" w:hint="eastAsia"/>
          <w:b/>
          <w:bCs/>
          <w:sz w:val="28"/>
          <w:szCs w:val="30"/>
        </w:rPr>
      </w:pPr>
      <w:r>
        <w:rPr>
          <w:rFonts w:ascii="宋体" w:hAnsi="宋体" w:hint="eastAsia"/>
          <w:b/>
          <w:bCs/>
          <w:sz w:val="28"/>
          <w:szCs w:val="30"/>
        </w:rPr>
        <w:lastRenderedPageBreak/>
        <w:t xml:space="preserve">　 </w:t>
      </w:r>
    </w:p>
    <w:p w14:paraId="0DDB30AC" w14:textId="77777777" w:rsidR="00C77304" w:rsidRDefault="00C77304">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2CE6E7F0" w14:textId="77777777" w:rsidR="00C77304" w:rsidRDefault="00C77304">
      <w:pPr>
        <w:spacing w:line="360" w:lineRule="auto"/>
        <w:ind w:firstLineChars="600" w:firstLine="1446"/>
        <w:jc w:val="right"/>
      </w:pPr>
      <w:r>
        <w:rPr>
          <w:rFonts w:ascii="宋体" w:hAnsi="宋体" w:hint="eastAsia"/>
          <w:b/>
          <w:bCs/>
          <w:sz w:val="24"/>
          <w:szCs w:val="24"/>
        </w:rPr>
        <w:t>摩根基金管理（中国）有限公司</w:t>
      </w:r>
    </w:p>
    <w:p w14:paraId="315CB788" w14:textId="77777777" w:rsidR="00C77304" w:rsidRDefault="00C77304">
      <w:pPr>
        <w:spacing w:line="360" w:lineRule="auto"/>
        <w:ind w:firstLineChars="600" w:firstLine="1446"/>
        <w:jc w:val="right"/>
      </w:pPr>
      <w:r>
        <w:rPr>
          <w:rFonts w:ascii="宋体" w:hAnsi="宋体" w:hint="eastAsia"/>
          <w:b/>
          <w:bCs/>
          <w:sz w:val="24"/>
          <w:szCs w:val="24"/>
        </w:rPr>
        <w:t>2026年4月22日</w:t>
      </w:r>
    </w:p>
    <w:sectPr w:rsidR="00C77304">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5356" w14:textId="77777777" w:rsidR="005B44F5" w:rsidRDefault="005B44F5">
      <w:pPr>
        <w:rPr>
          <w:szCs w:val="21"/>
        </w:rPr>
      </w:pPr>
      <w:r>
        <w:rPr>
          <w:szCs w:val="21"/>
        </w:rPr>
        <w:separator/>
      </w:r>
      <w:r>
        <w:rPr>
          <w:szCs w:val="21"/>
        </w:rPr>
        <w:t xml:space="preserve"> </w:t>
      </w:r>
    </w:p>
  </w:endnote>
  <w:endnote w:type="continuationSeparator" w:id="0">
    <w:p w14:paraId="63CA88DC" w14:textId="77777777" w:rsidR="005B44F5" w:rsidRDefault="005B44F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9BA2" w14:textId="77777777" w:rsidR="00C77304" w:rsidRDefault="00C77304">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487E8113" w14:textId="77777777" w:rsidR="00C77304" w:rsidRDefault="00C7730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C25A" w14:textId="77777777" w:rsidR="00C77304" w:rsidRDefault="00C77304">
    <w:pPr>
      <w:pStyle w:val="aa"/>
      <w:framePr w:wrap="around" w:vAnchor="text" w:hAnchor="margin" w:xAlign="right" w:y="1"/>
      <w:rPr>
        <w:rStyle w:val="af9"/>
      </w:rPr>
    </w:pPr>
    <w:r>
      <w:rPr>
        <w:rStyle w:val="af9"/>
      </w:rPr>
      <w:t xml:space="preserve">  </w:t>
    </w:r>
  </w:p>
  <w:p w14:paraId="4E39CAFD" w14:textId="77777777" w:rsidR="00C77304" w:rsidRDefault="00C77304">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138E" w14:textId="77777777" w:rsidR="005B44F5" w:rsidRDefault="005B44F5">
      <w:pPr>
        <w:rPr>
          <w:szCs w:val="21"/>
        </w:rPr>
      </w:pPr>
      <w:r>
        <w:rPr>
          <w:szCs w:val="21"/>
        </w:rPr>
        <w:separator/>
      </w:r>
      <w:r>
        <w:rPr>
          <w:szCs w:val="21"/>
        </w:rPr>
        <w:t xml:space="preserve"> </w:t>
      </w:r>
    </w:p>
  </w:footnote>
  <w:footnote w:type="continuationSeparator" w:id="0">
    <w:p w14:paraId="59803484" w14:textId="77777777" w:rsidR="005B44F5" w:rsidRDefault="005B44F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AB70" w14:textId="77777777" w:rsidR="00C77304" w:rsidRDefault="00C77304">
    <w:pPr>
      <w:pStyle w:val="a8"/>
      <w:pBdr>
        <w:between w:val="single" w:sz="4" w:space="1" w:color="4F81BD"/>
      </w:pBdr>
      <w:spacing w:line="276" w:lineRule="auto"/>
      <w:jc w:val="right"/>
    </w:pPr>
    <w:r>
      <w:rPr>
        <w:rFonts w:ascii="宋体" w:hAnsi="宋体" w:hint="eastAsia"/>
        <w:bCs/>
      </w:rPr>
      <w:t>摩根全球天然资源混合型证券投资基金(QDII)2026年第1季度报告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D188" w14:textId="77777777" w:rsidR="00C77304" w:rsidRDefault="00C7730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43946122">
    <w:abstractNumId w:val="0"/>
  </w:num>
  <w:num w:numId="2" w16cid:durableId="643854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2F"/>
    <w:rsid w:val="000D1D32"/>
    <w:rsid w:val="00454579"/>
    <w:rsid w:val="004B2628"/>
    <w:rsid w:val="004E19B6"/>
    <w:rsid w:val="005B44F5"/>
    <w:rsid w:val="00795CE9"/>
    <w:rsid w:val="008D4350"/>
    <w:rsid w:val="009B721B"/>
    <w:rsid w:val="00C77304"/>
    <w:rsid w:val="00E80574"/>
    <w:rsid w:val="00E91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8152A32"/>
  <w15:chartTrackingRefBased/>
  <w15:docId w15:val="{200C575C-900A-44FB-BE79-69E2201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E8057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1828">
      <w:marLeft w:val="0"/>
      <w:marRight w:val="0"/>
      <w:marTop w:val="0"/>
      <w:marBottom w:val="0"/>
      <w:divBdr>
        <w:top w:val="none" w:sz="0" w:space="0" w:color="auto"/>
        <w:left w:val="none" w:sz="0" w:space="0" w:color="auto"/>
        <w:bottom w:val="none" w:sz="0" w:space="0" w:color="auto"/>
        <w:right w:val="none" w:sz="0" w:space="0" w:color="auto"/>
      </w:divBdr>
      <w:divsChild>
        <w:div w:id="1408459129">
          <w:marLeft w:val="0"/>
          <w:marRight w:val="0"/>
          <w:marTop w:val="0"/>
          <w:marBottom w:val="0"/>
          <w:divBdr>
            <w:top w:val="none" w:sz="0" w:space="0" w:color="auto"/>
            <w:left w:val="none" w:sz="0" w:space="0" w:color="auto"/>
            <w:bottom w:val="none" w:sz="0" w:space="0" w:color="auto"/>
            <w:right w:val="none" w:sz="0" w:space="0" w:color="auto"/>
          </w:divBdr>
        </w:div>
      </w:divsChild>
    </w:div>
    <w:div w:id="88548987">
      <w:marLeft w:val="0"/>
      <w:marRight w:val="0"/>
      <w:marTop w:val="0"/>
      <w:marBottom w:val="0"/>
      <w:divBdr>
        <w:top w:val="none" w:sz="0" w:space="0" w:color="auto"/>
        <w:left w:val="none" w:sz="0" w:space="0" w:color="auto"/>
        <w:bottom w:val="none" w:sz="0" w:space="0" w:color="auto"/>
        <w:right w:val="none" w:sz="0" w:space="0" w:color="auto"/>
      </w:divBdr>
    </w:div>
    <w:div w:id="128666122">
      <w:marLeft w:val="0"/>
      <w:marRight w:val="0"/>
      <w:marTop w:val="0"/>
      <w:marBottom w:val="0"/>
      <w:divBdr>
        <w:top w:val="none" w:sz="0" w:space="0" w:color="auto"/>
        <w:left w:val="none" w:sz="0" w:space="0" w:color="auto"/>
        <w:bottom w:val="none" w:sz="0" w:space="0" w:color="auto"/>
        <w:right w:val="none" w:sz="0" w:space="0" w:color="auto"/>
      </w:divBdr>
    </w:div>
    <w:div w:id="208031318">
      <w:marLeft w:val="0"/>
      <w:marRight w:val="0"/>
      <w:marTop w:val="0"/>
      <w:marBottom w:val="0"/>
      <w:divBdr>
        <w:top w:val="none" w:sz="0" w:space="0" w:color="auto"/>
        <w:left w:val="none" w:sz="0" w:space="0" w:color="auto"/>
        <w:bottom w:val="none" w:sz="0" w:space="0" w:color="auto"/>
        <w:right w:val="none" w:sz="0" w:space="0" w:color="auto"/>
      </w:divBdr>
    </w:div>
    <w:div w:id="311636839">
      <w:marLeft w:val="0"/>
      <w:marRight w:val="0"/>
      <w:marTop w:val="0"/>
      <w:marBottom w:val="0"/>
      <w:divBdr>
        <w:top w:val="none" w:sz="0" w:space="0" w:color="auto"/>
        <w:left w:val="none" w:sz="0" w:space="0" w:color="auto"/>
        <w:bottom w:val="none" w:sz="0" w:space="0" w:color="auto"/>
        <w:right w:val="none" w:sz="0" w:space="0" w:color="auto"/>
      </w:divBdr>
    </w:div>
    <w:div w:id="468594932">
      <w:marLeft w:val="0"/>
      <w:marRight w:val="0"/>
      <w:marTop w:val="0"/>
      <w:marBottom w:val="0"/>
      <w:divBdr>
        <w:top w:val="none" w:sz="0" w:space="0" w:color="auto"/>
        <w:left w:val="none" w:sz="0" w:space="0" w:color="auto"/>
        <w:bottom w:val="none" w:sz="0" w:space="0" w:color="auto"/>
        <w:right w:val="none" w:sz="0" w:space="0" w:color="auto"/>
      </w:divBdr>
    </w:div>
    <w:div w:id="508251342">
      <w:marLeft w:val="0"/>
      <w:marRight w:val="0"/>
      <w:marTop w:val="0"/>
      <w:marBottom w:val="0"/>
      <w:divBdr>
        <w:top w:val="none" w:sz="0" w:space="0" w:color="auto"/>
        <w:left w:val="none" w:sz="0" w:space="0" w:color="auto"/>
        <w:bottom w:val="none" w:sz="0" w:space="0" w:color="auto"/>
        <w:right w:val="none" w:sz="0" w:space="0" w:color="auto"/>
      </w:divBdr>
      <w:divsChild>
        <w:div w:id="596718800">
          <w:marLeft w:val="0"/>
          <w:marRight w:val="0"/>
          <w:marTop w:val="0"/>
          <w:marBottom w:val="0"/>
          <w:divBdr>
            <w:top w:val="none" w:sz="0" w:space="0" w:color="auto"/>
            <w:left w:val="none" w:sz="0" w:space="0" w:color="auto"/>
            <w:bottom w:val="none" w:sz="0" w:space="0" w:color="auto"/>
            <w:right w:val="none" w:sz="0" w:space="0" w:color="auto"/>
          </w:divBdr>
          <w:divsChild>
            <w:div w:id="3878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5515">
      <w:marLeft w:val="0"/>
      <w:marRight w:val="0"/>
      <w:marTop w:val="0"/>
      <w:marBottom w:val="0"/>
      <w:divBdr>
        <w:top w:val="none" w:sz="0" w:space="0" w:color="auto"/>
        <w:left w:val="none" w:sz="0" w:space="0" w:color="auto"/>
        <w:bottom w:val="none" w:sz="0" w:space="0" w:color="auto"/>
        <w:right w:val="none" w:sz="0" w:space="0" w:color="auto"/>
      </w:divBdr>
    </w:div>
    <w:div w:id="560941325">
      <w:marLeft w:val="0"/>
      <w:marRight w:val="0"/>
      <w:marTop w:val="0"/>
      <w:marBottom w:val="0"/>
      <w:divBdr>
        <w:top w:val="none" w:sz="0" w:space="0" w:color="auto"/>
        <w:left w:val="none" w:sz="0" w:space="0" w:color="auto"/>
        <w:bottom w:val="none" w:sz="0" w:space="0" w:color="auto"/>
        <w:right w:val="none" w:sz="0" w:space="0" w:color="auto"/>
      </w:divBdr>
    </w:div>
    <w:div w:id="609432892">
      <w:marLeft w:val="0"/>
      <w:marRight w:val="0"/>
      <w:marTop w:val="0"/>
      <w:marBottom w:val="0"/>
      <w:divBdr>
        <w:top w:val="none" w:sz="0" w:space="0" w:color="auto"/>
        <w:left w:val="none" w:sz="0" w:space="0" w:color="auto"/>
        <w:bottom w:val="none" w:sz="0" w:space="0" w:color="auto"/>
        <w:right w:val="none" w:sz="0" w:space="0" w:color="auto"/>
      </w:divBdr>
    </w:div>
    <w:div w:id="652562367">
      <w:marLeft w:val="0"/>
      <w:marRight w:val="0"/>
      <w:marTop w:val="0"/>
      <w:marBottom w:val="0"/>
      <w:divBdr>
        <w:top w:val="none" w:sz="0" w:space="0" w:color="auto"/>
        <w:left w:val="none" w:sz="0" w:space="0" w:color="auto"/>
        <w:bottom w:val="none" w:sz="0" w:space="0" w:color="auto"/>
        <w:right w:val="none" w:sz="0" w:space="0" w:color="auto"/>
      </w:divBdr>
    </w:div>
    <w:div w:id="710152609">
      <w:marLeft w:val="0"/>
      <w:marRight w:val="0"/>
      <w:marTop w:val="0"/>
      <w:marBottom w:val="0"/>
      <w:divBdr>
        <w:top w:val="none" w:sz="0" w:space="0" w:color="auto"/>
        <w:left w:val="none" w:sz="0" w:space="0" w:color="auto"/>
        <w:bottom w:val="none" w:sz="0" w:space="0" w:color="auto"/>
        <w:right w:val="none" w:sz="0" w:space="0" w:color="auto"/>
      </w:divBdr>
      <w:divsChild>
        <w:div w:id="1410083417">
          <w:marLeft w:val="0"/>
          <w:marRight w:val="0"/>
          <w:marTop w:val="0"/>
          <w:marBottom w:val="0"/>
          <w:divBdr>
            <w:top w:val="none" w:sz="0" w:space="0" w:color="auto"/>
            <w:left w:val="none" w:sz="0" w:space="0" w:color="auto"/>
            <w:bottom w:val="none" w:sz="0" w:space="0" w:color="auto"/>
            <w:right w:val="none" w:sz="0" w:space="0" w:color="auto"/>
          </w:divBdr>
        </w:div>
      </w:divsChild>
    </w:div>
    <w:div w:id="806581505">
      <w:marLeft w:val="0"/>
      <w:marRight w:val="0"/>
      <w:marTop w:val="0"/>
      <w:marBottom w:val="0"/>
      <w:divBdr>
        <w:top w:val="none" w:sz="0" w:space="0" w:color="auto"/>
        <w:left w:val="none" w:sz="0" w:space="0" w:color="auto"/>
        <w:bottom w:val="none" w:sz="0" w:space="0" w:color="auto"/>
        <w:right w:val="none" w:sz="0" w:space="0" w:color="auto"/>
      </w:divBdr>
    </w:div>
    <w:div w:id="866648322">
      <w:marLeft w:val="0"/>
      <w:marRight w:val="0"/>
      <w:marTop w:val="0"/>
      <w:marBottom w:val="0"/>
      <w:divBdr>
        <w:top w:val="none" w:sz="0" w:space="0" w:color="auto"/>
        <w:left w:val="none" w:sz="0" w:space="0" w:color="auto"/>
        <w:bottom w:val="none" w:sz="0" w:space="0" w:color="auto"/>
        <w:right w:val="none" w:sz="0" w:space="0" w:color="auto"/>
      </w:divBdr>
    </w:div>
    <w:div w:id="981807841">
      <w:marLeft w:val="0"/>
      <w:marRight w:val="0"/>
      <w:marTop w:val="0"/>
      <w:marBottom w:val="0"/>
      <w:divBdr>
        <w:top w:val="none" w:sz="0" w:space="0" w:color="auto"/>
        <w:left w:val="none" w:sz="0" w:space="0" w:color="auto"/>
        <w:bottom w:val="none" w:sz="0" w:space="0" w:color="auto"/>
        <w:right w:val="none" w:sz="0" w:space="0" w:color="auto"/>
      </w:divBdr>
    </w:div>
    <w:div w:id="1022512025">
      <w:marLeft w:val="0"/>
      <w:marRight w:val="0"/>
      <w:marTop w:val="0"/>
      <w:marBottom w:val="0"/>
      <w:divBdr>
        <w:top w:val="none" w:sz="0" w:space="0" w:color="auto"/>
        <w:left w:val="none" w:sz="0" w:space="0" w:color="auto"/>
        <w:bottom w:val="none" w:sz="0" w:space="0" w:color="auto"/>
        <w:right w:val="none" w:sz="0" w:space="0" w:color="auto"/>
      </w:divBdr>
    </w:div>
    <w:div w:id="1343358271">
      <w:marLeft w:val="0"/>
      <w:marRight w:val="0"/>
      <w:marTop w:val="0"/>
      <w:marBottom w:val="0"/>
      <w:divBdr>
        <w:top w:val="none" w:sz="0" w:space="0" w:color="auto"/>
        <w:left w:val="none" w:sz="0" w:space="0" w:color="auto"/>
        <w:bottom w:val="none" w:sz="0" w:space="0" w:color="auto"/>
        <w:right w:val="none" w:sz="0" w:space="0" w:color="auto"/>
      </w:divBdr>
    </w:div>
    <w:div w:id="1417244267">
      <w:marLeft w:val="0"/>
      <w:marRight w:val="0"/>
      <w:marTop w:val="0"/>
      <w:marBottom w:val="0"/>
      <w:divBdr>
        <w:top w:val="none" w:sz="0" w:space="0" w:color="auto"/>
        <w:left w:val="none" w:sz="0" w:space="0" w:color="auto"/>
        <w:bottom w:val="none" w:sz="0" w:space="0" w:color="auto"/>
        <w:right w:val="none" w:sz="0" w:space="0" w:color="auto"/>
      </w:divBdr>
    </w:div>
    <w:div w:id="1637024273">
      <w:marLeft w:val="0"/>
      <w:marRight w:val="0"/>
      <w:marTop w:val="0"/>
      <w:marBottom w:val="0"/>
      <w:divBdr>
        <w:top w:val="none" w:sz="0" w:space="0" w:color="auto"/>
        <w:left w:val="none" w:sz="0" w:space="0" w:color="auto"/>
        <w:bottom w:val="none" w:sz="0" w:space="0" w:color="auto"/>
        <w:right w:val="none" w:sz="0" w:space="0" w:color="auto"/>
      </w:divBdr>
    </w:div>
    <w:div w:id="195343810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Olivia.Gu@FA</cp:lastModifiedBy>
  <cp:revision>4</cp:revision>
  <dcterms:created xsi:type="dcterms:W3CDTF">2026-04-14T10:09:00Z</dcterms:created>
  <dcterms:modified xsi:type="dcterms:W3CDTF">2026-04-21T07:27:00Z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