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上投摩根中小盘混合型证券投资基金</w:t>
      </w:r>
    </w:p>
    <w:p w:rsidR="00334A5A" w:rsidRDefault="00550AF9">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2019年第4季度报告</w:t>
      </w:r>
    </w:p>
    <w:p w:rsidR="00334A5A" w:rsidRDefault="00550AF9">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2019年12月31日</w:t>
      </w: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jc w:val="center"/>
        <w:rPr>
          <w:rFonts w:asciiTheme="minorEastAsia" w:eastAsiaTheme="minorEastAsia" w:hAnsiTheme="minorEastAsia"/>
          <w:b/>
          <w:bCs/>
          <w:color w:val="000000" w:themeColor="text1"/>
          <w:sz w:val="24"/>
          <w:szCs w:val="24"/>
        </w:rPr>
      </w:pPr>
    </w:p>
    <w:p w:rsidR="00334A5A" w:rsidRDefault="00334A5A">
      <w:pPr>
        <w:spacing w:line="360" w:lineRule="auto"/>
        <w:rPr>
          <w:rFonts w:asciiTheme="minorEastAsia" w:eastAsiaTheme="minorEastAsia" w:hAnsiTheme="minorEastAsia"/>
          <w:b/>
          <w:bCs/>
          <w:color w:val="000000" w:themeColor="text1"/>
          <w:sz w:val="24"/>
          <w:szCs w:val="24"/>
        </w:rPr>
      </w:pPr>
    </w:p>
    <w:p w:rsidR="00334A5A" w:rsidRDefault="00550AF9">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334A5A" w:rsidRDefault="00550AF9">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334A5A" w:rsidRDefault="00550AF9">
      <w:pPr>
        <w:spacing w:line="360" w:lineRule="auto"/>
        <w:ind w:firstLineChars="900" w:firstLine="2168"/>
        <w:rPr>
          <w:rFonts w:asciiTheme="minorEastAsia" w:eastAsiaTheme="minorEastAsia" w:hAnsiTheme="minorEastAsia"/>
          <w:b/>
          <w:color w:val="000000" w:themeColor="text1"/>
          <w:sz w:val="24"/>
          <w:szCs w:val="24"/>
        </w:rPr>
        <w:sectPr w:rsidR="00334A5A">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334A5A" w:rsidRDefault="00550AF9">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基金托管人中国建设银行股份有限公司根据本基金合同规定，于2020年1月17日复核了本报告中的财务指标、净值表现和投资组合报告等内容，保证复核内容不存在虚假记载、误导性陈述或者重大遗漏。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本报告期自2019年10月1日起至12月31日止。</w:t>
      </w:r>
    </w:p>
    <w:p w:rsidR="00334A5A" w:rsidRDefault="00550AF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上投摩根中小盘混合</w:t>
            </w:r>
          </w:p>
        </w:tc>
      </w:tr>
      <w:tr w:rsidR="00334A5A">
        <w:tc>
          <w:tcPr>
            <w:tcW w:w="2835" w:type="dxa"/>
            <w:tcBorders>
              <w:top w:val="single" w:sz="4" w:space="0" w:color="auto"/>
              <w:left w:val="single" w:sz="4" w:space="0" w:color="auto"/>
              <w:bottom w:val="single" w:sz="4" w:space="0" w:color="auto"/>
              <w:right w:val="single" w:sz="4" w:space="0" w:color="auto"/>
            </w:tcBorders>
            <w:vAlign w:val="center"/>
          </w:tcPr>
          <w:p w:rsidR="00334A5A" w:rsidRDefault="00550AF9">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379010</w:t>
            </w:r>
          </w:p>
        </w:tc>
      </w:tr>
      <w:tr w:rsidR="00334A5A">
        <w:tc>
          <w:tcPr>
            <w:tcW w:w="2835" w:type="dxa"/>
            <w:tcBorders>
              <w:top w:val="single" w:sz="4" w:space="0" w:color="auto"/>
              <w:left w:val="single" w:sz="4" w:space="0" w:color="auto"/>
              <w:bottom w:val="single" w:sz="4" w:space="0" w:color="auto"/>
              <w:right w:val="single" w:sz="4" w:space="0" w:color="auto"/>
            </w:tcBorders>
            <w:vAlign w:val="center"/>
          </w:tcPr>
          <w:p w:rsidR="00334A5A" w:rsidRDefault="00550AF9">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379010</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2009年1月21日</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259,748,769.57</w:t>
            </w:r>
            <w:r>
              <w:rPr>
                <w:rFonts w:asciiTheme="minorEastAsia" w:eastAsiaTheme="minorEastAsia" w:hAnsiTheme="minorEastAsia" w:hint="eastAsia"/>
                <w:color w:val="000000" w:themeColor="text1"/>
                <w:kern w:val="0"/>
              </w:rPr>
              <w:t>份</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重点投资于中国A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本基金充分借鉴摩根资产管理集团全球行之有效的投资理念和技术，运用 “自下而上”精选个股与“自上而下”资产配置相结合的投资策略，重点投资于具有行业优势、公司优势和估值优势的中小市值上市公司股票。同时结合市场研判，对相关资产类别的预期收益进行监控，动态调整股票、债券等大类资产配置。</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40%×天相中盘指数收益率+40%×天相小盘指数收益率+ 20%×上证国债指数收益率</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混合型基金，预期收益及预期风险水平低于股票型基金，高于债券型基金和货币市场基金，属于较高预期收益和预期风险水平的投资品种。本基金风险收益特征会定期评估并在公司网站发布，请投资者关注。</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334A5A">
        <w:tc>
          <w:tcPr>
            <w:tcW w:w="2835"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334A5A" w:rsidRDefault="00550AF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50AF9" w:rsidTr="00550AF9">
        <w:tc>
          <w:tcPr>
            <w:tcW w:w="3402" w:type="dxa"/>
            <w:vAlign w:val="center"/>
          </w:tcPr>
          <w:p w:rsidR="00334A5A" w:rsidRDefault="00550AF9">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334A5A" w:rsidRDefault="00550AF9">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334A5A" w:rsidRDefault="00550AF9">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2019年10月1日-2019年12月31日</w:t>
            </w:r>
            <w:r>
              <w:rPr>
                <w:rFonts w:asciiTheme="minorEastAsia" w:eastAsiaTheme="minorEastAsia" w:hAnsiTheme="minorEastAsia" w:cs="宋体" w:hint="eastAsia"/>
                <w:color w:val="000000" w:themeColor="text1"/>
              </w:rPr>
              <w:t>)</w:t>
            </w:r>
          </w:p>
        </w:tc>
      </w:tr>
      <w:tr w:rsidR="00550AF9" w:rsidTr="00550AF9">
        <w:tc>
          <w:tcPr>
            <w:tcW w:w="3402"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334A5A" w:rsidRDefault="00550AF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32,307,072.36</w:t>
            </w:r>
          </w:p>
        </w:tc>
      </w:tr>
      <w:tr w:rsidR="00550AF9" w:rsidTr="00550AF9">
        <w:tc>
          <w:tcPr>
            <w:tcW w:w="3402"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334A5A" w:rsidRDefault="00550AF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64,093,805.13</w:t>
            </w:r>
          </w:p>
        </w:tc>
      </w:tr>
      <w:tr w:rsidR="00550AF9" w:rsidTr="00550AF9">
        <w:tc>
          <w:tcPr>
            <w:tcW w:w="3402"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334A5A" w:rsidRDefault="00550AF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0.2649</w:t>
            </w:r>
          </w:p>
        </w:tc>
      </w:tr>
      <w:tr w:rsidR="00550AF9" w:rsidTr="00550AF9">
        <w:tc>
          <w:tcPr>
            <w:tcW w:w="3402"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334A5A" w:rsidRDefault="00550AF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594,058,416.72</w:t>
            </w:r>
          </w:p>
        </w:tc>
      </w:tr>
      <w:tr w:rsidR="00550AF9" w:rsidTr="00550AF9">
        <w:trPr>
          <w:trHeight w:val="158"/>
        </w:trPr>
        <w:tc>
          <w:tcPr>
            <w:tcW w:w="3402" w:type="dxa"/>
            <w:vAlign w:val="center"/>
          </w:tcPr>
          <w:p w:rsidR="00334A5A" w:rsidRDefault="00550AF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334A5A" w:rsidRDefault="00550AF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2.287</w:t>
            </w:r>
          </w:p>
        </w:tc>
      </w:tr>
    </w:tbl>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334A5A" w:rsidRDefault="00550AF9">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334A5A">
        <w:tc>
          <w:tcPr>
            <w:tcW w:w="1395"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334A5A">
        <w:tc>
          <w:tcPr>
            <w:tcW w:w="1395" w:type="dxa"/>
            <w:vAlign w:val="center"/>
          </w:tcPr>
          <w:p w:rsidR="00334A5A" w:rsidRDefault="00550AF9">
            <w:pPr>
              <w:jc w:val="left"/>
            </w:pPr>
            <w:r>
              <w:rPr>
                <w:rFonts w:asciiTheme="minorEastAsia" w:eastAsiaTheme="minorEastAsia" w:hAnsiTheme="minorEastAsia"/>
                <w:color w:val="000000" w:themeColor="text1"/>
                <w:kern w:val="0"/>
              </w:rPr>
              <w:t>过去三个月</w:t>
            </w:r>
          </w:p>
        </w:tc>
        <w:tc>
          <w:tcPr>
            <w:tcW w:w="1092" w:type="dxa"/>
            <w:vAlign w:val="center"/>
          </w:tcPr>
          <w:p w:rsidR="00334A5A" w:rsidRDefault="00550AF9">
            <w:pPr>
              <w:jc w:val="center"/>
            </w:pPr>
            <w:r>
              <w:rPr>
                <w:rFonts w:asciiTheme="minorEastAsia" w:eastAsiaTheme="minorEastAsia" w:hAnsiTheme="minorEastAsia"/>
                <w:color w:val="000000" w:themeColor="text1"/>
                <w:kern w:val="0"/>
              </w:rPr>
              <w:t>13.44%</w:t>
            </w:r>
          </w:p>
        </w:tc>
        <w:tc>
          <w:tcPr>
            <w:tcW w:w="1161" w:type="dxa"/>
            <w:vAlign w:val="center"/>
          </w:tcPr>
          <w:p w:rsidR="00334A5A" w:rsidRDefault="00550AF9">
            <w:pPr>
              <w:jc w:val="center"/>
            </w:pPr>
            <w:r>
              <w:rPr>
                <w:rFonts w:asciiTheme="minorEastAsia" w:eastAsiaTheme="minorEastAsia" w:hAnsiTheme="minorEastAsia"/>
                <w:color w:val="000000" w:themeColor="text1"/>
                <w:kern w:val="0"/>
              </w:rPr>
              <w:t>1.22%</w:t>
            </w:r>
          </w:p>
        </w:tc>
        <w:tc>
          <w:tcPr>
            <w:tcW w:w="1181" w:type="dxa"/>
            <w:vAlign w:val="center"/>
          </w:tcPr>
          <w:p w:rsidR="00334A5A" w:rsidRDefault="00550AF9">
            <w:pPr>
              <w:jc w:val="center"/>
            </w:pPr>
            <w:r>
              <w:rPr>
                <w:rFonts w:asciiTheme="minorEastAsia" w:eastAsiaTheme="minorEastAsia" w:hAnsiTheme="minorEastAsia"/>
                <w:color w:val="000000" w:themeColor="text1"/>
                <w:kern w:val="0"/>
              </w:rPr>
              <w:t>6.10%</w:t>
            </w:r>
          </w:p>
        </w:tc>
        <w:tc>
          <w:tcPr>
            <w:tcW w:w="1188" w:type="dxa"/>
            <w:vAlign w:val="center"/>
          </w:tcPr>
          <w:p w:rsidR="00334A5A" w:rsidRDefault="00550AF9">
            <w:pPr>
              <w:jc w:val="center"/>
            </w:pPr>
            <w:r>
              <w:rPr>
                <w:rFonts w:asciiTheme="minorEastAsia" w:eastAsiaTheme="minorEastAsia" w:hAnsiTheme="minorEastAsia"/>
                <w:color w:val="000000" w:themeColor="text1"/>
                <w:kern w:val="0"/>
              </w:rPr>
              <w:t>0.68%</w:t>
            </w:r>
          </w:p>
        </w:tc>
        <w:tc>
          <w:tcPr>
            <w:tcW w:w="1199" w:type="dxa"/>
            <w:vAlign w:val="center"/>
          </w:tcPr>
          <w:p w:rsidR="00334A5A" w:rsidRDefault="00550AF9">
            <w:pPr>
              <w:jc w:val="center"/>
            </w:pPr>
            <w:r>
              <w:rPr>
                <w:rFonts w:asciiTheme="minorEastAsia" w:eastAsiaTheme="minorEastAsia" w:hAnsiTheme="minorEastAsia"/>
                <w:color w:val="000000" w:themeColor="text1"/>
                <w:kern w:val="0"/>
              </w:rPr>
              <w:t>7.34%</w:t>
            </w:r>
          </w:p>
        </w:tc>
        <w:tc>
          <w:tcPr>
            <w:tcW w:w="1204" w:type="dxa"/>
            <w:vAlign w:val="center"/>
          </w:tcPr>
          <w:p w:rsidR="00334A5A" w:rsidRDefault="00550AF9">
            <w:pPr>
              <w:jc w:val="center"/>
            </w:pPr>
            <w:r>
              <w:rPr>
                <w:rFonts w:asciiTheme="minorEastAsia" w:eastAsiaTheme="minorEastAsia" w:hAnsiTheme="minorEastAsia"/>
                <w:color w:val="000000" w:themeColor="text1"/>
                <w:kern w:val="0"/>
              </w:rPr>
              <w:t>0.54%</w:t>
            </w:r>
          </w:p>
        </w:tc>
      </w:tr>
    </w:tbl>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334A5A" w:rsidRDefault="00550AF9">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上投摩根中小盘混合型证券投资基金</w:t>
      </w:r>
    </w:p>
    <w:p w:rsidR="00334A5A" w:rsidRDefault="00550AF9">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334A5A" w:rsidRDefault="00550AF9">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2009年1月21日</w:t>
      </w:r>
      <w:r>
        <w:rPr>
          <w:rFonts w:asciiTheme="minorEastAsia" w:eastAsiaTheme="minorEastAsia" w:hAnsiTheme="minorEastAsia" w:hint="eastAsia"/>
          <w:color w:val="000000" w:themeColor="text1"/>
        </w:rPr>
        <w:t>至2019年12月31日)</w:t>
      </w:r>
    </w:p>
    <w:p w:rsidR="00334A5A" w:rsidRDefault="00550AF9">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注：本基金合同生效日为2009年1月21日，图示时间段为2009年1月21日至2019年12月31日。</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本基金建仓期自2009年1月21日至2009年7月20日。建仓期结束时资产配置比例符合本基金基金合同规定。</w:t>
      </w:r>
    </w:p>
    <w:p w:rsidR="00334A5A" w:rsidRDefault="00334A5A">
      <w:pPr>
        <w:tabs>
          <w:tab w:val="left" w:pos="1800"/>
        </w:tabs>
        <w:spacing w:line="360" w:lineRule="auto"/>
        <w:rPr>
          <w:rFonts w:asciiTheme="minorEastAsia" w:eastAsiaTheme="minorEastAsia" w:hAnsiTheme="minorEastAsia"/>
          <w:color w:val="000000" w:themeColor="text1"/>
          <w:sz w:val="24"/>
          <w:szCs w:val="24"/>
        </w:rPr>
      </w:pPr>
    </w:p>
    <w:p w:rsidR="00334A5A" w:rsidRDefault="00550AF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334A5A">
        <w:trPr>
          <w:cantSplit/>
          <w:trHeight w:val="292"/>
        </w:trPr>
        <w:tc>
          <w:tcPr>
            <w:tcW w:w="851" w:type="dxa"/>
            <w:vMerge w:val="restart"/>
            <w:vAlign w:val="center"/>
          </w:tcPr>
          <w:p w:rsidR="00334A5A" w:rsidRDefault="00550AF9">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334A5A" w:rsidRDefault="00550AF9">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334A5A" w:rsidRDefault="00550AF9">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334A5A">
        <w:trPr>
          <w:cantSplit/>
        </w:trPr>
        <w:tc>
          <w:tcPr>
            <w:tcW w:w="851" w:type="dxa"/>
            <w:vMerge/>
            <w:vAlign w:val="center"/>
          </w:tcPr>
          <w:p w:rsidR="00334A5A" w:rsidRDefault="00334A5A">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334A5A" w:rsidRDefault="00334A5A">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334A5A" w:rsidRDefault="00334A5A">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334A5A" w:rsidRDefault="00334A5A">
            <w:pPr>
              <w:widowControl/>
              <w:spacing w:line="360" w:lineRule="auto"/>
              <w:jc w:val="left"/>
              <w:rPr>
                <w:rFonts w:asciiTheme="minorEastAsia" w:eastAsiaTheme="minorEastAsia" w:hAnsiTheme="minorEastAsia"/>
                <w:color w:val="000000" w:themeColor="text1"/>
                <w:kern w:val="0"/>
              </w:rPr>
            </w:pPr>
          </w:p>
        </w:tc>
      </w:tr>
      <w:tr w:rsidR="00334A5A">
        <w:tc>
          <w:tcPr>
            <w:tcW w:w="851" w:type="dxa"/>
            <w:vAlign w:val="center"/>
          </w:tcPr>
          <w:p w:rsidR="00334A5A" w:rsidRDefault="00550AF9">
            <w:pPr>
              <w:jc w:val="center"/>
            </w:pPr>
            <w:r>
              <w:rPr>
                <w:rFonts w:asciiTheme="minorEastAsia" w:eastAsiaTheme="minorEastAsia" w:hAnsiTheme="minorEastAsia"/>
                <w:color w:val="000000" w:themeColor="text1"/>
              </w:rPr>
              <w:t>郭晨</w:t>
            </w:r>
          </w:p>
        </w:tc>
        <w:tc>
          <w:tcPr>
            <w:tcW w:w="850" w:type="dxa"/>
            <w:vAlign w:val="center"/>
          </w:tcPr>
          <w:p w:rsidR="00334A5A" w:rsidRDefault="00550AF9">
            <w:pPr>
              <w:jc w:val="center"/>
            </w:pPr>
            <w:r>
              <w:rPr>
                <w:rFonts w:asciiTheme="minorEastAsia" w:eastAsiaTheme="minorEastAsia" w:hAnsiTheme="minorEastAsia"/>
                <w:color w:val="000000" w:themeColor="text1"/>
              </w:rPr>
              <w:t>本基金基金经理</w:t>
            </w:r>
          </w:p>
        </w:tc>
        <w:tc>
          <w:tcPr>
            <w:tcW w:w="1560" w:type="dxa"/>
            <w:vAlign w:val="center"/>
          </w:tcPr>
          <w:p w:rsidR="00334A5A" w:rsidRDefault="00550AF9">
            <w:pPr>
              <w:jc w:val="center"/>
            </w:pPr>
            <w:r>
              <w:rPr>
                <w:rFonts w:asciiTheme="minorEastAsia" w:eastAsiaTheme="minorEastAsia" w:hAnsiTheme="minorEastAsia"/>
                <w:color w:val="000000" w:themeColor="text1"/>
              </w:rPr>
              <w:t>2015-01-30</w:t>
            </w:r>
          </w:p>
        </w:tc>
        <w:tc>
          <w:tcPr>
            <w:tcW w:w="1559" w:type="dxa"/>
            <w:vAlign w:val="center"/>
          </w:tcPr>
          <w:p w:rsidR="00334A5A" w:rsidRDefault="00550AF9">
            <w:pPr>
              <w:jc w:val="center"/>
            </w:pPr>
            <w:r>
              <w:rPr>
                <w:rFonts w:asciiTheme="minorEastAsia" w:eastAsiaTheme="minorEastAsia" w:hAnsiTheme="minorEastAsia"/>
                <w:color w:val="000000" w:themeColor="text1"/>
              </w:rPr>
              <w:t>-</w:t>
            </w:r>
          </w:p>
        </w:tc>
        <w:tc>
          <w:tcPr>
            <w:tcW w:w="1417" w:type="dxa"/>
            <w:vAlign w:val="center"/>
          </w:tcPr>
          <w:p w:rsidR="00334A5A" w:rsidRDefault="00550AF9">
            <w:pPr>
              <w:jc w:val="center"/>
            </w:pPr>
            <w:r>
              <w:rPr>
                <w:rFonts w:asciiTheme="minorEastAsia" w:eastAsiaTheme="minorEastAsia" w:hAnsiTheme="minorEastAsia"/>
                <w:color w:val="000000" w:themeColor="text1"/>
              </w:rPr>
              <w:t>13年</w:t>
            </w:r>
          </w:p>
        </w:tc>
        <w:tc>
          <w:tcPr>
            <w:tcW w:w="2694" w:type="dxa"/>
            <w:vAlign w:val="center"/>
          </w:tcPr>
          <w:p w:rsidR="00334A5A" w:rsidRDefault="00550AF9">
            <w:r>
              <w:rPr>
                <w:rFonts w:asciiTheme="minorEastAsia" w:eastAsiaTheme="minorEastAsia" w:hAnsiTheme="minorEastAsia"/>
                <w:color w:val="000000" w:themeColor="text1"/>
              </w:rPr>
              <w:t>郭晨先生，自2007年7月至2008年4月在平安资产管理有限公司担任分析师；2008年4月至2009年11月在东吴基金管理有限公司担任研究员；2009年11月至2014年10月在华富基金管理有限公司先后担任基金经理助理、基金经理，自2014年10月起加入上投摩根基金管理有限公司担任基金经理，自2015年1月起担任上投摩根中小盘混合型证券投资基金基金经理，自2015年6月起同时担任上投摩根智慧互联股票型证券投资基金基金经理，自2015年8月起同时担任上投摩根新兴服务股票型证券投资基金基金经理，自2019年3月起同时担任上投摩根创新商业模式灵活配置混合型证券投资基金基金经理。</w:t>
            </w:r>
          </w:p>
        </w:tc>
      </w:tr>
    </w:tbl>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中小盘混合型证券投资基金基金合同》的规定。基金经理对个股和投资组合的比例遵循了投资决策委员会的授权限制，基金投资比例符合基金合同和法律法规的要求。</w:t>
      </w: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334A5A" w:rsidRDefault="00550A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334A5A" w:rsidRDefault="00550A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334A5A" w:rsidRDefault="00334A5A">
      <w:pPr>
        <w:spacing w:line="360" w:lineRule="auto"/>
        <w:ind w:firstLineChars="200" w:firstLine="480"/>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334A5A" w:rsidRDefault="00550A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市场在四季度震荡上行，上证综合指数上涨4.99%，创业板指数上涨10.48%，成长股表现强于蓝筹股，电子、新能源汽车，传媒板块表现较为亮眼，传统行业中家电、建材、有色也表现不错。本季度国内外宏观经济表现平稳，基本符合预期。全球各大央行保持宽松的方向不变，中美贸易摩擦在经过激烈博弈之后取得了阶段性进展，未来可能进入一段比较平静的时期，市场逐渐认识到贸易摩擦的长期性和复杂性，敏感度逐渐降低。海外投资者本季度继续大举增持国内A股，国内投资者积极为明年布局，寻找未来高景气的行业和个股，本季度表现较好的板块大多数是机构判断明年景气度继续向好的行业。</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经过大量的研究和调研，本基金在四季度增加了新能源汽车和传媒行业的配置，取得了较好的效果，基金仓位也有所提升，目前本基金超配了电子、医药、传媒、新能源汽车等行业。未来基金继续战略看好高科技、先进制造等成长板块和与百姓生活相关的消费、医药行业，致力于长期投资高景气度、高成长，低估值、与创新商业模式主题相关的优秀龙头公司。</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对2020年一季度持谨慎乐观态度。宏观经济大概率保持平稳，有略超预期的可能，上市公司盈利增速有望见底。美国经济转弱，全球继续降息周期，国内货币政策空间打开。中美贸易摩擦在未来一个季度可能相对缓和。从一个季度的维度看，周期品种可能会阶段性超赢，从更长期来看，我们依然关注与5G产业链相关的科技股以及消费和医药龙头。</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从历史数据看A股一季度上涨的概率较高，我们也会更积极的应对未来一个季度的行情。合理的估值，业绩增速，成长的确定性是本基金最看重的。行业上我们重点关注电子、传媒、新能源汽车、医药、光伏、轻工、食品饮料等行业。</w:t>
      </w:r>
    </w:p>
    <w:p w:rsidR="00334A5A" w:rsidRDefault="00550A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本报告期上投摩根中小盘混合份额净值增长率为:13.44%，同期业绩比较基准收益率为:6.10%。</w:t>
      </w:r>
    </w:p>
    <w:p w:rsidR="00334A5A" w:rsidRDefault="00334A5A">
      <w:pPr>
        <w:spacing w:line="360" w:lineRule="auto"/>
        <w:ind w:firstLineChars="200" w:firstLine="480"/>
        <w:rPr>
          <w:rFonts w:asciiTheme="minorEastAsia" w:eastAsiaTheme="minorEastAsia" w:hAnsiTheme="minorEastAsia"/>
          <w:color w:val="000000" w:themeColor="text1"/>
          <w:sz w:val="24"/>
          <w:szCs w:val="24"/>
        </w:rPr>
      </w:pPr>
    </w:p>
    <w:p w:rsidR="00334A5A" w:rsidRDefault="00550A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334A5A" w:rsidRDefault="00550AF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334A5A" w:rsidRDefault="00550AF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551,640,639.23</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92.11</w:t>
            </w:r>
          </w:p>
        </w:tc>
      </w:tr>
      <w:tr w:rsidR="00334A5A">
        <w:trPr>
          <w:jc w:val="center"/>
        </w:trPr>
        <w:tc>
          <w:tcPr>
            <w:tcW w:w="720" w:type="dxa"/>
            <w:vAlign w:val="center"/>
          </w:tcPr>
          <w:p w:rsidR="00334A5A" w:rsidRDefault="00334A5A">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34A5A" w:rsidRDefault="00550AF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551,640,639.23</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92.11</w:t>
            </w:r>
          </w:p>
        </w:tc>
      </w:tr>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334A5A" w:rsidRDefault="00550AF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34A5A">
        <w:trPr>
          <w:jc w:val="center"/>
        </w:trPr>
        <w:tc>
          <w:tcPr>
            <w:tcW w:w="720" w:type="dxa"/>
            <w:vAlign w:val="center"/>
          </w:tcPr>
          <w:p w:rsidR="00334A5A" w:rsidRDefault="00334A5A">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34A5A" w:rsidRDefault="00550AF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34A5A">
        <w:trPr>
          <w:jc w:val="center"/>
        </w:trPr>
        <w:tc>
          <w:tcPr>
            <w:tcW w:w="720" w:type="dxa"/>
            <w:vAlign w:val="center"/>
          </w:tcPr>
          <w:p w:rsidR="00334A5A" w:rsidRDefault="00334A5A">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34A5A" w:rsidRDefault="00550AF9">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34A5A">
        <w:trPr>
          <w:jc w:val="center"/>
        </w:trPr>
        <w:tc>
          <w:tcPr>
            <w:tcW w:w="720" w:type="dxa"/>
          </w:tcPr>
          <w:p w:rsidR="00334A5A" w:rsidRDefault="00550AF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334A5A" w:rsidRDefault="00550AF9">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334A5A" w:rsidRDefault="00550AF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334A5A" w:rsidRDefault="00550AF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34A5A">
        <w:trPr>
          <w:jc w:val="center"/>
        </w:trPr>
        <w:tc>
          <w:tcPr>
            <w:tcW w:w="720" w:type="dxa"/>
            <w:vAlign w:val="center"/>
          </w:tcPr>
          <w:p w:rsidR="00334A5A" w:rsidRDefault="00334A5A">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34A5A" w:rsidRDefault="00550AF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334A5A" w:rsidRDefault="00550AF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41,430,980.94</w:t>
            </w:r>
          </w:p>
        </w:tc>
        <w:tc>
          <w:tcPr>
            <w:tcW w:w="1843" w:type="dxa"/>
            <w:vAlign w:val="center"/>
          </w:tcPr>
          <w:p w:rsidR="00334A5A" w:rsidRDefault="00550AF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6.92</w:t>
            </w:r>
          </w:p>
        </w:tc>
      </w:tr>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334A5A" w:rsidRDefault="00550AF9">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5,800,194.43</w:t>
            </w:r>
          </w:p>
        </w:tc>
        <w:tc>
          <w:tcPr>
            <w:tcW w:w="1843" w:type="dxa"/>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0.97</w:t>
            </w:r>
          </w:p>
        </w:tc>
      </w:tr>
      <w:tr w:rsidR="00334A5A">
        <w:trPr>
          <w:jc w:val="center"/>
        </w:trPr>
        <w:tc>
          <w:tcPr>
            <w:tcW w:w="720" w:type="dxa"/>
            <w:vAlign w:val="center"/>
          </w:tcPr>
          <w:p w:rsidR="00334A5A" w:rsidRDefault="00550AF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334A5A" w:rsidRDefault="00550AF9">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598,871,814.60</w:t>
            </w:r>
          </w:p>
        </w:tc>
        <w:tc>
          <w:tcPr>
            <w:tcW w:w="1843" w:type="dxa"/>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334A5A" w:rsidRDefault="00334A5A">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334A5A" w:rsidRDefault="00550AF9">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334A5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2,161,754.92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0.36</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334A5A" w:rsidRDefault="00334A5A">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334A5A" w:rsidRDefault="00334A5A">
            <w:pPr>
              <w:jc w:val="right"/>
              <w:rPr>
                <w:rFonts w:asciiTheme="minorEastAsia" w:eastAsiaTheme="minorEastAsia" w:hAnsiTheme="minorEastAsia" w:cs="宋体"/>
                <w:color w:val="000000" w:themeColor="text1"/>
                <w:kern w:val="0"/>
              </w:rPr>
            </w:pP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421,106,044.89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70.89</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1,990,283.74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0.34</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52,938.06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0.01</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90,870,446.66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15.30</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925,090.28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0.16</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34,436,482.64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5.80</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97,598.04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0.02</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34A5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334A5A">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34A5A" w:rsidRDefault="00550AF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551,640,639.23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4A5A" w:rsidRDefault="00550AF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92.86</w:t>
            </w:r>
          </w:p>
        </w:tc>
      </w:tr>
    </w:tbl>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334A5A">
        <w:tc>
          <w:tcPr>
            <w:tcW w:w="817" w:type="dxa"/>
            <w:vAlign w:val="center"/>
          </w:tcPr>
          <w:p w:rsidR="00334A5A" w:rsidRDefault="00550AF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334A5A" w:rsidRDefault="00550AF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334A5A" w:rsidRDefault="00550AF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334A5A" w:rsidRDefault="00550AF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334A5A" w:rsidRDefault="00550AF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1</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603986</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兆易创新</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203,234</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41,640,614.26</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7.01</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2</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000661</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长春高新</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81,756</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36,544,932.00</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6.15</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3</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603259</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药明康德</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373,822</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34,436,482.64</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5.80</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4</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603501</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韦尔股份</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232,170</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33,293,178.00</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5.60</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5</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300601</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康泰生物</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375,503</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32,965,408.37</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5.55</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6</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002241</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歌尔股份</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1,596,918</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31,810,606.56</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5.35</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7</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002475</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立讯精密</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765,346</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27,935,129.00</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4.70</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8</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002555</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三七互娱</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726,521</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19,565,210.53</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3.29</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9</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300136</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信维通信</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411,300</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18,664,794.00</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3.14</w:t>
            </w:r>
          </w:p>
        </w:tc>
      </w:tr>
      <w:tr w:rsidR="00334A5A">
        <w:tc>
          <w:tcPr>
            <w:tcW w:w="817" w:type="dxa"/>
            <w:vAlign w:val="center"/>
          </w:tcPr>
          <w:p w:rsidR="00334A5A" w:rsidRDefault="00550AF9">
            <w:pPr>
              <w:jc w:val="center"/>
            </w:pPr>
            <w:r>
              <w:rPr>
                <w:rFonts w:asciiTheme="minorEastAsia" w:eastAsiaTheme="minorEastAsia" w:hAnsiTheme="minorEastAsia" w:cs="宋体"/>
                <w:color w:val="000000" w:themeColor="text1"/>
                <w:kern w:val="0"/>
              </w:rPr>
              <w:t>10</w:t>
            </w:r>
          </w:p>
        </w:tc>
        <w:tc>
          <w:tcPr>
            <w:tcW w:w="1276" w:type="dxa"/>
            <w:vAlign w:val="center"/>
          </w:tcPr>
          <w:p w:rsidR="00334A5A" w:rsidRDefault="00550AF9">
            <w:pPr>
              <w:jc w:val="center"/>
            </w:pPr>
            <w:r>
              <w:rPr>
                <w:rFonts w:asciiTheme="minorEastAsia" w:eastAsiaTheme="minorEastAsia" w:hAnsiTheme="minorEastAsia" w:cs="宋体"/>
                <w:color w:val="000000" w:themeColor="text1"/>
                <w:kern w:val="0"/>
              </w:rPr>
              <w:t>300014</w:t>
            </w:r>
          </w:p>
        </w:tc>
        <w:tc>
          <w:tcPr>
            <w:tcW w:w="1701" w:type="dxa"/>
            <w:vAlign w:val="center"/>
          </w:tcPr>
          <w:p w:rsidR="00334A5A" w:rsidRDefault="00550AF9">
            <w:pPr>
              <w:jc w:val="center"/>
            </w:pPr>
            <w:r>
              <w:rPr>
                <w:rFonts w:asciiTheme="minorEastAsia" w:eastAsiaTheme="minorEastAsia" w:hAnsiTheme="minorEastAsia" w:cs="宋体"/>
                <w:color w:val="000000" w:themeColor="text1"/>
                <w:kern w:val="0"/>
              </w:rPr>
              <w:t>亿纬锂能</w:t>
            </w:r>
          </w:p>
        </w:tc>
        <w:tc>
          <w:tcPr>
            <w:tcW w:w="1276" w:type="dxa"/>
            <w:vAlign w:val="center"/>
          </w:tcPr>
          <w:p w:rsidR="00334A5A" w:rsidRDefault="00550AF9">
            <w:pPr>
              <w:jc w:val="right"/>
            </w:pPr>
            <w:r>
              <w:rPr>
                <w:rFonts w:asciiTheme="minorEastAsia" w:eastAsiaTheme="minorEastAsia" w:hAnsiTheme="minorEastAsia" w:cs="宋体"/>
                <w:color w:val="000000" w:themeColor="text1"/>
                <w:kern w:val="0"/>
              </w:rPr>
              <w:t>371,022</w:t>
            </w:r>
          </w:p>
        </w:tc>
        <w:tc>
          <w:tcPr>
            <w:tcW w:w="1842" w:type="dxa"/>
            <w:vAlign w:val="center"/>
          </w:tcPr>
          <w:p w:rsidR="00334A5A" w:rsidRDefault="00550AF9">
            <w:pPr>
              <w:jc w:val="right"/>
            </w:pPr>
            <w:r>
              <w:rPr>
                <w:rFonts w:asciiTheme="minorEastAsia" w:eastAsiaTheme="minorEastAsia" w:hAnsiTheme="minorEastAsia" w:cs="宋体"/>
                <w:color w:val="000000" w:themeColor="text1"/>
                <w:kern w:val="0"/>
              </w:rPr>
              <w:t>18,610,463.52</w:t>
            </w:r>
          </w:p>
        </w:tc>
        <w:tc>
          <w:tcPr>
            <w:tcW w:w="1616" w:type="dxa"/>
            <w:vAlign w:val="center"/>
          </w:tcPr>
          <w:p w:rsidR="00334A5A" w:rsidRDefault="00550AF9">
            <w:pPr>
              <w:jc w:val="right"/>
            </w:pPr>
            <w:r>
              <w:rPr>
                <w:rFonts w:asciiTheme="minorEastAsia" w:eastAsiaTheme="minorEastAsia" w:hAnsiTheme="minorEastAsia" w:cs="宋体"/>
                <w:color w:val="000000" w:themeColor="text1"/>
                <w:kern w:val="0"/>
              </w:rPr>
              <w:t>3.13</w:t>
            </w:r>
          </w:p>
        </w:tc>
      </w:tr>
    </w:tbl>
    <w:p w:rsidR="00334A5A" w:rsidRDefault="00334A5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334A5A" w:rsidRDefault="00334A5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334A5A" w:rsidRDefault="00550AF9">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334A5A" w:rsidRDefault="00334A5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334A5A" w:rsidRDefault="00334A5A">
      <w:pPr>
        <w:adjustRightInd w:val="0"/>
        <w:snapToGrid w:val="0"/>
        <w:spacing w:line="360" w:lineRule="exact"/>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334A5A" w:rsidRDefault="00550A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334A5A" w:rsidRDefault="00550AF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334A5A">
        <w:tc>
          <w:tcPr>
            <w:tcW w:w="1235"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334A5A" w:rsidRDefault="00550A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211,654.35</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4,233,051.29</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12,968.93</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1,342,519.86</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334A5A">
        <w:tc>
          <w:tcPr>
            <w:tcW w:w="1235" w:type="dxa"/>
            <w:vAlign w:val="center"/>
          </w:tcPr>
          <w:p w:rsidR="00334A5A" w:rsidRDefault="00550AF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334A5A" w:rsidRDefault="00550AF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5,800,194.43</w:t>
            </w:r>
          </w:p>
        </w:tc>
      </w:tr>
    </w:tbl>
    <w:p w:rsidR="00334A5A" w:rsidRDefault="00334A5A">
      <w:pPr>
        <w:autoSpaceDE w:val="0"/>
        <w:autoSpaceDN w:val="0"/>
        <w:adjustRightInd w:val="0"/>
        <w:spacing w:line="360" w:lineRule="auto"/>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334A5A" w:rsidRDefault="00334A5A">
      <w:pPr>
        <w:autoSpaceDE w:val="0"/>
        <w:autoSpaceDN w:val="0"/>
        <w:adjustRightInd w:val="0"/>
        <w:spacing w:line="360" w:lineRule="auto"/>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334A5A" w:rsidRDefault="00334A5A">
      <w:pPr>
        <w:autoSpaceDE w:val="0"/>
        <w:autoSpaceDN w:val="0"/>
        <w:adjustRightInd w:val="0"/>
        <w:spacing w:line="360" w:lineRule="auto"/>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334A5A" w:rsidRDefault="00550AF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334A5A" w:rsidRDefault="00550AF9">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334A5A">
        <w:tc>
          <w:tcPr>
            <w:tcW w:w="4609"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248,240,729.13</w:t>
            </w:r>
          </w:p>
        </w:tc>
      </w:tr>
      <w:tr w:rsidR="00334A5A">
        <w:tc>
          <w:tcPr>
            <w:tcW w:w="4609"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65,628,081.98</w:t>
            </w:r>
          </w:p>
        </w:tc>
      </w:tr>
      <w:tr w:rsidR="00334A5A">
        <w:tc>
          <w:tcPr>
            <w:tcW w:w="4609"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54,120,041.54</w:t>
            </w:r>
          </w:p>
        </w:tc>
      </w:tr>
      <w:tr w:rsidR="00334A5A">
        <w:tc>
          <w:tcPr>
            <w:tcW w:w="4609"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334A5A">
        <w:tc>
          <w:tcPr>
            <w:tcW w:w="4609"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34A5A" w:rsidRDefault="00550AF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259,748,769.57</w:t>
            </w:r>
          </w:p>
        </w:tc>
      </w:tr>
    </w:tbl>
    <w:p w:rsidR="00334A5A" w:rsidRDefault="00550AF9">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334A5A" w:rsidRDefault="00550AF9">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334A5A" w:rsidRDefault="00550A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334A5A" w:rsidRDefault="00334A5A">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334A5A" w:rsidRDefault="00550AF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中国证监会批准上投摩根中小盘混合型证券投资基金设立的文件；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《上投摩根中小盘混合型证券投资基金基金合同》；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《上投摩根中小盘混合型证券投资基金基金托管协议》；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《上投摩根基金管理有限公司开放式基金业务规则》；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基金管理人业务资格批件、营业执照； </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基金托管人业务资格批件和营业执照。</w:t>
      </w:r>
    </w:p>
    <w:p w:rsidR="00334A5A" w:rsidRDefault="00334A5A">
      <w:pPr>
        <w:spacing w:line="360" w:lineRule="auto"/>
        <w:ind w:firstLineChars="200" w:firstLine="480"/>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334A5A" w:rsidRDefault="00334A5A">
      <w:pPr>
        <w:spacing w:line="360" w:lineRule="auto"/>
        <w:ind w:firstLineChars="200" w:firstLine="480"/>
        <w:rPr>
          <w:rFonts w:asciiTheme="minorEastAsia" w:eastAsiaTheme="minorEastAsia" w:hAnsiTheme="minorEastAsia"/>
          <w:color w:val="000000" w:themeColor="text1"/>
          <w:sz w:val="24"/>
          <w:szCs w:val="24"/>
        </w:rPr>
      </w:pPr>
    </w:p>
    <w:p w:rsidR="00334A5A" w:rsidRDefault="00550AF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334A5A" w:rsidRDefault="00550A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334A5A">
      <w:pPr>
        <w:spacing w:line="360" w:lineRule="auto"/>
        <w:ind w:left="840"/>
        <w:jc w:val="right"/>
        <w:rPr>
          <w:rFonts w:asciiTheme="minorEastAsia" w:eastAsiaTheme="minorEastAsia" w:hAnsiTheme="minorEastAsia"/>
          <w:color w:val="000000" w:themeColor="text1"/>
          <w:sz w:val="24"/>
          <w:szCs w:val="24"/>
        </w:rPr>
      </w:pPr>
    </w:p>
    <w:p w:rsidR="00334A5A" w:rsidRDefault="00550AF9">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334A5A" w:rsidRDefault="00550AF9">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334A5A" w:rsidRDefault="00334A5A">
      <w:pPr>
        <w:spacing w:line="360" w:lineRule="auto"/>
        <w:ind w:left="840"/>
        <w:jc w:val="right"/>
        <w:rPr>
          <w:rFonts w:asciiTheme="minorEastAsia" w:eastAsiaTheme="minorEastAsia" w:hAnsiTheme="minorEastAsia"/>
          <w:b/>
          <w:bCs/>
          <w:color w:val="000000" w:themeColor="text1"/>
          <w:sz w:val="24"/>
          <w:szCs w:val="24"/>
        </w:rPr>
      </w:pPr>
    </w:p>
    <w:p w:rsidR="00334A5A" w:rsidRDefault="00334A5A">
      <w:pPr>
        <w:rPr>
          <w:rFonts w:asciiTheme="minorEastAsia" w:eastAsiaTheme="minorEastAsia" w:hAnsiTheme="minorEastAsia"/>
          <w:color w:val="000000" w:themeColor="text1"/>
          <w:sz w:val="24"/>
          <w:szCs w:val="24"/>
        </w:rPr>
      </w:pPr>
    </w:p>
    <w:sectPr w:rsidR="00334A5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A0" w:rsidRDefault="00550AF9">
      <w:r>
        <w:separator/>
      </w:r>
    </w:p>
  </w:endnote>
  <w:endnote w:type="continuationSeparator" w:id="0">
    <w:p w:rsidR="001665A0" w:rsidRDefault="0055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5A" w:rsidRDefault="00550AF9">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2D5370" w:rsidRPr="002D5370">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5A" w:rsidRDefault="00550AF9">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2D5370">
      <w:rPr>
        <w:rStyle w:val="aff"/>
        <w:noProof/>
      </w:rPr>
      <w:t>3</w:t>
    </w:r>
    <w:r>
      <w:rPr>
        <w:rStyle w:val="aff"/>
      </w:rPr>
      <w:fldChar w:fldCharType="end"/>
    </w:r>
  </w:p>
  <w:p w:rsidR="00334A5A" w:rsidRDefault="00334A5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A0" w:rsidRDefault="00550AF9">
      <w:r>
        <w:separator/>
      </w:r>
    </w:p>
  </w:footnote>
  <w:footnote w:type="continuationSeparator" w:id="0">
    <w:p w:rsidR="001665A0" w:rsidRDefault="0055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5A" w:rsidRDefault="00550AF9">
    <w:pPr>
      <w:pStyle w:val="af6"/>
      <w:pBdr>
        <w:bottom w:val="single" w:sz="6" w:space="0" w:color="auto"/>
      </w:pBdr>
      <w:jc w:val="right"/>
    </w:pPr>
    <w:r>
      <w:rPr>
        <w:rFonts w:hint="eastAsia"/>
      </w:rPr>
      <w:t>上投摩根中小盘混合型证券投资基金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65A0"/>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5370"/>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34A5A"/>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50AF9"/>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E9FD1-74D7-48B6-9BD8-943C114A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EEA2B-08A1-411C-9035-28A80399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949</Words>
  <Characters>5415</Characters>
  <Application>Microsoft Office Word</Application>
  <DocSecurity>0</DocSecurity>
  <Lines>45</Lines>
  <Paragraphs>12</Paragraphs>
  <ScaleCrop>false</ScaleCrop>
  <Company>Cifm</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266</cp:revision>
  <dcterms:created xsi:type="dcterms:W3CDTF">2012-10-16T06:07:00Z</dcterms:created>
  <dcterms:modified xsi:type="dcterms:W3CDTF">2020-01-17T03:08:00Z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