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上投摩根中小盘混合型证券投资基金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上投摩根中小盘混合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379010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379010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2009</w:t>
            </w:r>
            <w:r w:rsidRPr="00FF6B9A">
              <w:rPr>
                <w:rFonts w:eastAsiaTheme="minorEastAsia"/>
                <w:color w:val="000000" w:themeColor="text1"/>
                <w:kern w:val="0"/>
              </w:rPr>
              <w:t>年</w:t>
            </w:r>
            <w:r w:rsidRPr="00FF6B9A">
              <w:rPr>
                <w:rFonts w:eastAsiaTheme="minorEastAsia"/>
                <w:color w:val="000000" w:themeColor="text1"/>
                <w:kern w:val="0"/>
              </w:rPr>
              <w:t>1</w:t>
            </w:r>
            <w:r w:rsidRPr="00FF6B9A">
              <w:rPr>
                <w:rFonts w:eastAsiaTheme="minorEastAsia"/>
                <w:color w:val="000000" w:themeColor="text1"/>
                <w:kern w:val="0"/>
              </w:rPr>
              <w:t>月</w:t>
            </w:r>
            <w:r w:rsidRPr="00FF6B9A">
              <w:rPr>
                <w:rFonts w:eastAsiaTheme="minorEastAsia"/>
                <w:color w:val="000000" w:themeColor="text1"/>
                <w:kern w:val="0"/>
              </w:rPr>
              <w:t>21</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185,358,458.44</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本基金重点投资于中国</w:t>
            </w:r>
            <w:r w:rsidRPr="00FF6B9A">
              <w:rPr>
                <w:rFonts w:eastAsiaTheme="minorEastAsia"/>
                <w:color w:val="000000" w:themeColor="text1"/>
                <w:kern w:val="0"/>
              </w:rPr>
              <w:t>A</w:t>
            </w:r>
            <w:r w:rsidRPr="00FF6B9A">
              <w:rPr>
                <w:rFonts w:eastAsiaTheme="minorEastAsia"/>
                <w:color w:val="000000" w:themeColor="text1"/>
                <w:kern w:val="0"/>
              </w:rPr>
              <w:t>股市场上的中小盘股票，通过缜密的资产配置原则和严格的行业个股选择，分享中国经济高速增长给优势中小市值上市公司带来的机遇，并积极运用战略和战术资产配置策略，动态优化投资组合，力求实现基金资产长期稳健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本基金充分借鉴摩根资产管理集团全球行之有效的投资理念和技术，运用</w:t>
            </w:r>
            <w:r w:rsidRPr="00FF6B9A">
              <w:rPr>
                <w:rFonts w:eastAsiaTheme="minorEastAsia"/>
                <w:color w:val="000000" w:themeColor="text1"/>
                <w:kern w:val="0"/>
              </w:rPr>
              <w:t xml:space="preserve"> “</w:t>
            </w:r>
            <w:r w:rsidRPr="00FF6B9A">
              <w:rPr>
                <w:rFonts w:eastAsiaTheme="minorEastAsia"/>
                <w:color w:val="000000" w:themeColor="text1"/>
                <w:kern w:val="0"/>
              </w:rPr>
              <w:t>自下而上</w:t>
            </w:r>
            <w:r w:rsidRPr="00FF6B9A">
              <w:rPr>
                <w:rFonts w:eastAsiaTheme="minorEastAsia"/>
                <w:color w:val="000000" w:themeColor="text1"/>
                <w:kern w:val="0"/>
              </w:rPr>
              <w:t>”</w:t>
            </w:r>
            <w:r w:rsidRPr="00FF6B9A">
              <w:rPr>
                <w:rFonts w:eastAsiaTheme="minorEastAsia"/>
                <w:color w:val="000000" w:themeColor="text1"/>
                <w:kern w:val="0"/>
              </w:rPr>
              <w:t>精选个股与</w:t>
            </w:r>
            <w:r w:rsidRPr="00FF6B9A">
              <w:rPr>
                <w:rFonts w:eastAsiaTheme="minorEastAsia"/>
                <w:color w:val="000000" w:themeColor="text1"/>
                <w:kern w:val="0"/>
              </w:rPr>
              <w:t>“</w:t>
            </w:r>
            <w:r w:rsidRPr="00FF6B9A">
              <w:rPr>
                <w:rFonts w:eastAsiaTheme="minorEastAsia"/>
                <w:color w:val="000000" w:themeColor="text1"/>
                <w:kern w:val="0"/>
              </w:rPr>
              <w:t>自上而下</w:t>
            </w:r>
            <w:r w:rsidRPr="00FF6B9A">
              <w:rPr>
                <w:rFonts w:eastAsiaTheme="minorEastAsia"/>
                <w:color w:val="000000" w:themeColor="text1"/>
                <w:kern w:val="0"/>
              </w:rPr>
              <w:t>”</w:t>
            </w:r>
            <w:r w:rsidRPr="00FF6B9A">
              <w:rPr>
                <w:rFonts w:eastAsiaTheme="minorEastAsia"/>
                <w:color w:val="000000" w:themeColor="text1"/>
                <w:kern w:val="0"/>
              </w:rPr>
              <w:t>资产</w:t>
            </w:r>
            <w:r w:rsidRPr="00FF6B9A">
              <w:rPr>
                <w:rFonts w:eastAsiaTheme="minorEastAsia"/>
                <w:color w:val="000000" w:themeColor="text1"/>
                <w:kern w:val="0"/>
              </w:rPr>
              <w:lastRenderedPageBreak/>
              <w:t>配置相结合的投资策略，重点投资于具有行业优势、公司优势和估值优势的中小市值上市公司股票。同时结合市场研判，对相关资产类别的预期收益进行监控，动态调整股票、债券等大类资产配置。</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40%×</w:t>
            </w:r>
            <w:r w:rsidRPr="00FF6B9A">
              <w:rPr>
                <w:rFonts w:eastAsiaTheme="minorEastAsia"/>
                <w:color w:val="000000" w:themeColor="text1"/>
                <w:kern w:val="0"/>
              </w:rPr>
              <w:t>天相中盘指数收益率</w:t>
            </w:r>
            <w:r w:rsidRPr="00FF6B9A">
              <w:rPr>
                <w:rFonts w:eastAsiaTheme="minorEastAsia"/>
                <w:color w:val="000000" w:themeColor="text1"/>
                <w:kern w:val="0"/>
              </w:rPr>
              <w:t>+40%×</w:t>
            </w:r>
            <w:r w:rsidRPr="00FF6B9A">
              <w:rPr>
                <w:rFonts w:eastAsiaTheme="minorEastAsia"/>
                <w:color w:val="000000" w:themeColor="text1"/>
                <w:kern w:val="0"/>
              </w:rPr>
              <w:t>天相小盘指数收益率</w:t>
            </w:r>
            <w:r w:rsidRPr="00FF6B9A">
              <w:rPr>
                <w:rFonts w:eastAsiaTheme="minorEastAsia"/>
                <w:color w:val="000000" w:themeColor="text1"/>
                <w:kern w:val="0"/>
              </w:rPr>
              <w:t>+ 20%×</w:t>
            </w:r>
            <w:r w:rsidRPr="00FF6B9A">
              <w:rPr>
                <w:rFonts w:eastAsiaTheme="minorEastAsia"/>
                <w:color w:val="000000" w:themeColor="text1"/>
                <w:kern w:val="0"/>
              </w:rPr>
              <w:t>上证国债指数收益率</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8E7230" w:rsidRDefault="00F5210A">
            <w:pPr>
              <w:adjustRightInd w:val="0"/>
              <w:spacing w:before="29" w:line="360" w:lineRule="auto"/>
              <w:ind w:left="17"/>
              <w:rPr>
                <w:rFonts w:eastAsiaTheme="minorEastAsia"/>
                <w:color w:val="000000" w:themeColor="text1"/>
              </w:rPr>
            </w:pPr>
            <w:r>
              <w:rPr>
                <w:rFonts w:eastAsiaTheme="minorEastAsia"/>
                <w:color w:val="000000" w:themeColor="text1"/>
                <w:kern w:val="0"/>
              </w:rPr>
              <w:t>本基金是混合型基金，预期收益及预期风险水平低于股票型基金，高于债券型基金和货币市场基金，属于较高预期收益和预期风险水平的投资品种。</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5210A" w:rsidRPr="00FF6B9A" w:rsidTr="00F5210A">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F5210A" w:rsidRPr="00FF6B9A" w:rsidTr="00F5210A">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10,389,148.77</w:t>
            </w:r>
          </w:p>
        </w:tc>
      </w:tr>
      <w:tr w:rsidR="00F5210A" w:rsidRPr="00FF6B9A" w:rsidTr="00F5210A">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114,250,560.06</w:t>
            </w:r>
          </w:p>
        </w:tc>
      </w:tr>
      <w:tr w:rsidR="00F5210A" w:rsidRPr="00FF6B9A" w:rsidTr="00F5210A">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0.5979</w:t>
            </w:r>
          </w:p>
        </w:tc>
      </w:tr>
      <w:tr w:rsidR="00F5210A" w:rsidRPr="00FF6B9A" w:rsidTr="00F5210A">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784,858,908.79</w:t>
            </w:r>
          </w:p>
        </w:tc>
      </w:tr>
      <w:tr w:rsidR="00F5210A" w:rsidRPr="00FF6B9A" w:rsidTr="00F5210A">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4.2343</w:t>
            </w:r>
          </w:p>
        </w:tc>
      </w:tr>
    </w:tbl>
    <w:p w:rsidR="008E7230" w:rsidRDefault="00F5210A">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8E7230">
        <w:tc>
          <w:tcPr>
            <w:tcW w:w="1395" w:type="dxa"/>
            <w:vAlign w:val="center"/>
          </w:tcPr>
          <w:p w:rsidR="008E7230" w:rsidRDefault="00F5210A">
            <w:pPr>
              <w:jc w:val="left"/>
            </w:pPr>
            <w:r>
              <w:rPr>
                <w:rFonts w:eastAsiaTheme="minorEastAsia"/>
                <w:color w:val="000000" w:themeColor="text1"/>
                <w:kern w:val="0"/>
              </w:rPr>
              <w:t>过去三个月</w:t>
            </w:r>
          </w:p>
        </w:tc>
        <w:tc>
          <w:tcPr>
            <w:tcW w:w="1092" w:type="dxa"/>
            <w:vAlign w:val="center"/>
          </w:tcPr>
          <w:p w:rsidR="008E7230" w:rsidRDefault="00F5210A">
            <w:pPr>
              <w:jc w:val="center"/>
            </w:pPr>
            <w:r>
              <w:rPr>
                <w:rFonts w:eastAsiaTheme="minorEastAsia"/>
                <w:color w:val="000000" w:themeColor="text1"/>
                <w:kern w:val="0"/>
              </w:rPr>
              <w:t>16.52%</w:t>
            </w:r>
          </w:p>
        </w:tc>
        <w:tc>
          <w:tcPr>
            <w:tcW w:w="1161" w:type="dxa"/>
            <w:vAlign w:val="center"/>
          </w:tcPr>
          <w:p w:rsidR="008E7230" w:rsidRDefault="00F5210A">
            <w:pPr>
              <w:jc w:val="center"/>
            </w:pPr>
            <w:r>
              <w:rPr>
                <w:rFonts w:eastAsiaTheme="minorEastAsia"/>
                <w:color w:val="000000" w:themeColor="text1"/>
                <w:kern w:val="0"/>
              </w:rPr>
              <w:t>1.46%</w:t>
            </w:r>
          </w:p>
        </w:tc>
        <w:tc>
          <w:tcPr>
            <w:tcW w:w="1181" w:type="dxa"/>
            <w:vAlign w:val="center"/>
          </w:tcPr>
          <w:p w:rsidR="008E7230" w:rsidRDefault="00F5210A">
            <w:pPr>
              <w:jc w:val="center"/>
            </w:pPr>
            <w:r>
              <w:rPr>
                <w:rFonts w:eastAsiaTheme="minorEastAsia"/>
                <w:color w:val="000000" w:themeColor="text1"/>
                <w:kern w:val="0"/>
              </w:rPr>
              <w:t>8.06%</w:t>
            </w:r>
          </w:p>
        </w:tc>
        <w:tc>
          <w:tcPr>
            <w:tcW w:w="1188" w:type="dxa"/>
            <w:vAlign w:val="center"/>
          </w:tcPr>
          <w:p w:rsidR="008E7230" w:rsidRDefault="00F5210A">
            <w:pPr>
              <w:jc w:val="center"/>
            </w:pPr>
            <w:r>
              <w:rPr>
                <w:rFonts w:eastAsiaTheme="minorEastAsia"/>
                <w:color w:val="000000" w:themeColor="text1"/>
                <w:kern w:val="0"/>
              </w:rPr>
              <w:t>0.66%</w:t>
            </w:r>
          </w:p>
        </w:tc>
        <w:tc>
          <w:tcPr>
            <w:tcW w:w="1199" w:type="dxa"/>
            <w:vAlign w:val="center"/>
          </w:tcPr>
          <w:p w:rsidR="008E7230" w:rsidRDefault="00F5210A">
            <w:pPr>
              <w:jc w:val="center"/>
            </w:pPr>
            <w:r>
              <w:rPr>
                <w:rFonts w:eastAsiaTheme="minorEastAsia"/>
                <w:color w:val="000000" w:themeColor="text1"/>
                <w:kern w:val="0"/>
              </w:rPr>
              <w:t>8.46%</w:t>
            </w:r>
          </w:p>
        </w:tc>
        <w:tc>
          <w:tcPr>
            <w:tcW w:w="1204" w:type="dxa"/>
            <w:vAlign w:val="center"/>
          </w:tcPr>
          <w:p w:rsidR="008E7230" w:rsidRDefault="00F5210A">
            <w:pPr>
              <w:jc w:val="center"/>
            </w:pPr>
            <w:r>
              <w:rPr>
                <w:rFonts w:eastAsiaTheme="minorEastAsia"/>
                <w:color w:val="000000" w:themeColor="text1"/>
                <w:kern w:val="0"/>
              </w:rPr>
              <w:t>0.80%</w:t>
            </w:r>
          </w:p>
        </w:tc>
      </w:tr>
      <w:tr w:rsidR="008E7230">
        <w:tc>
          <w:tcPr>
            <w:tcW w:w="1395" w:type="dxa"/>
            <w:vAlign w:val="center"/>
          </w:tcPr>
          <w:p w:rsidR="008E7230" w:rsidRDefault="00F5210A">
            <w:pPr>
              <w:jc w:val="left"/>
            </w:pPr>
            <w:r>
              <w:rPr>
                <w:rFonts w:eastAsiaTheme="minorEastAsia"/>
                <w:color w:val="000000" w:themeColor="text1"/>
                <w:kern w:val="0"/>
              </w:rPr>
              <w:t>过去六个月</w:t>
            </w:r>
          </w:p>
        </w:tc>
        <w:tc>
          <w:tcPr>
            <w:tcW w:w="1092" w:type="dxa"/>
            <w:vAlign w:val="center"/>
          </w:tcPr>
          <w:p w:rsidR="008E7230" w:rsidRDefault="00F5210A">
            <w:pPr>
              <w:jc w:val="center"/>
            </w:pPr>
            <w:r>
              <w:rPr>
                <w:rFonts w:eastAsiaTheme="minorEastAsia"/>
                <w:color w:val="000000" w:themeColor="text1"/>
                <w:kern w:val="0"/>
              </w:rPr>
              <w:t>11.22%</w:t>
            </w:r>
          </w:p>
        </w:tc>
        <w:tc>
          <w:tcPr>
            <w:tcW w:w="1161" w:type="dxa"/>
            <w:vAlign w:val="center"/>
          </w:tcPr>
          <w:p w:rsidR="008E7230" w:rsidRDefault="00F5210A">
            <w:pPr>
              <w:jc w:val="center"/>
            </w:pPr>
            <w:r>
              <w:rPr>
                <w:rFonts w:eastAsiaTheme="minorEastAsia"/>
                <w:color w:val="000000" w:themeColor="text1"/>
                <w:kern w:val="0"/>
              </w:rPr>
              <w:t>1.95%</w:t>
            </w:r>
          </w:p>
        </w:tc>
        <w:tc>
          <w:tcPr>
            <w:tcW w:w="1181" w:type="dxa"/>
            <w:vAlign w:val="center"/>
          </w:tcPr>
          <w:p w:rsidR="008E7230" w:rsidRDefault="00F5210A">
            <w:pPr>
              <w:jc w:val="center"/>
            </w:pPr>
            <w:r>
              <w:rPr>
                <w:rFonts w:eastAsiaTheme="minorEastAsia"/>
                <w:color w:val="000000" w:themeColor="text1"/>
                <w:kern w:val="0"/>
              </w:rPr>
              <w:t>5.26%</w:t>
            </w:r>
          </w:p>
        </w:tc>
        <w:tc>
          <w:tcPr>
            <w:tcW w:w="1188" w:type="dxa"/>
            <w:vAlign w:val="center"/>
          </w:tcPr>
          <w:p w:rsidR="008E7230" w:rsidRDefault="00F5210A">
            <w:pPr>
              <w:jc w:val="center"/>
            </w:pPr>
            <w:r>
              <w:rPr>
                <w:rFonts w:eastAsiaTheme="minorEastAsia"/>
                <w:color w:val="000000" w:themeColor="text1"/>
                <w:kern w:val="0"/>
              </w:rPr>
              <w:t>0.91%</w:t>
            </w:r>
          </w:p>
        </w:tc>
        <w:tc>
          <w:tcPr>
            <w:tcW w:w="1199" w:type="dxa"/>
            <w:vAlign w:val="center"/>
          </w:tcPr>
          <w:p w:rsidR="008E7230" w:rsidRDefault="00F5210A">
            <w:pPr>
              <w:jc w:val="center"/>
            </w:pPr>
            <w:r>
              <w:rPr>
                <w:rFonts w:eastAsiaTheme="minorEastAsia"/>
                <w:color w:val="000000" w:themeColor="text1"/>
                <w:kern w:val="0"/>
              </w:rPr>
              <w:t>5.96%</w:t>
            </w:r>
          </w:p>
        </w:tc>
        <w:tc>
          <w:tcPr>
            <w:tcW w:w="1204" w:type="dxa"/>
            <w:vAlign w:val="center"/>
          </w:tcPr>
          <w:p w:rsidR="008E7230" w:rsidRDefault="00F5210A">
            <w:pPr>
              <w:jc w:val="center"/>
            </w:pPr>
            <w:r>
              <w:rPr>
                <w:rFonts w:eastAsiaTheme="minorEastAsia"/>
                <w:color w:val="000000" w:themeColor="text1"/>
                <w:kern w:val="0"/>
              </w:rPr>
              <w:t>1.04%</w:t>
            </w:r>
          </w:p>
        </w:tc>
      </w:tr>
      <w:tr w:rsidR="008E7230">
        <w:tc>
          <w:tcPr>
            <w:tcW w:w="1395" w:type="dxa"/>
            <w:vAlign w:val="center"/>
          </w:tcPr>
          <w:p w:rsidR="008E7230" w:rsidRDefault="00F5210A">
            <w:pPr>
              <w:jc w:val="left"/>
            </w:pPr>
            <w:r>
              <w:rPr>
                <w:rFonts w:eastAsiaTheme="minorEastAsia"/>
                <w:color w:val="000000" w:themeColor="text1"/>
                <w:kern w:val="0"/>
              </w:rPr>
              <w:t>过去一年</w:t>
            </w:r>
          </w:p>
        </w:tc>
        <w:tc>
          <w:tcPr>
            <w:tcW w:w="1092" w:type="dxa"/>
            <w:vAlign w:val="center"/>
          </w:tcPr>
          <w:p w:rsidR="008E7230" w:rsidRDefault="00F5210A">
            <w:pPr>
              <w:jc w:val="center"/>
            </w:pPr>
            <w:r>
              <w:rPr>
                <w:rFonts w:eastAsiaTheme="minorEastAsia"/>
                <w:color w:val="000000" w:themeColor="text1"/>
                <w:kern w:val="0"/>
              </w:rPr>
              <w:t>34.00%</w:t>
            </w:r>
          </w:p>
        </w:tc>
        <w:tc>
          <w:tcPr>
            <w:tcW w:w="1161" w:type="dxa"/>
            <w:vAlign w:val="center"/>
          </w:tcPr>
          <w:p w:rsidR="008E7230" w:rsidRDefault="00F5210A">
            <w:pPr>
              <w:jc w:val="center"/>
            </w:pPr>
            <w:r>
              <w:rPr>
                <w:rFonts w:eastAsiaTheme="minorEastAsia"/>
                <w:color w:val="000000" w:themeColor="text1"/>
                <w:kern w:val="0"/>
              </w:rPr>
              <w:t>1.81%</w:t>
            </w:r>
          </w:p>
        </w:tc>
        <w:tc>
          <w:tcPr>
            <w:tcW w:w="1181" w:type="dxa"/>
            <w:vAlign w:val="center"/>
          </w:tcPr>
          <w:p w:rsidR="008E7230" w:rsidRDefault="00F5210A">
            <w:pPr>
              <w:jc w:val="center"/>
            </w:pPr>
            <w:r>
              <w:rPr>
                <w:rFonts w:eastAsiaTheme="minorEastAsia"/>
                <w:color w:val="000000" w:themeColor="text1"/>
                <w:kern w:val="0"/>
              </w:rPr>
              <w:t>18.75%</w:t>
            </w:r>
          </w:p>
        </w:tc>
        <w:tc>
          <w:tcPr>
            <w:tcW w:w="1188" w:type="dxa"/>
            <w:vAlign w:val="center"/>
          </w:tcPr>
          <w:p w:rsidR="008E7230" w:rsidRDefault="00F5210A">
            <w:pPr>
              <w:jc w:val="center"/>
            </w:pPr>
            <w:r>
              <w:rPr>
                <w:rFonts w:eastAsiaTheme="minorEastAsia"/>
                <w:color w:val="000000" w:themeColor="text1"/>
                <w:kern w:val="0"/>
              </w:rPr>
              <w:t>1.05%</w:t>
            </w:r>
          </w:p>
        </w:tc>
        <w:tc>
          <w:tcPr>
            <w:tcW w:w="1199" w:type="dxa"/>
            <w:vAlign w:val="center"/>
          </w:tcPr>
          <w:p w:rsidR="008E7230" w:rsidRDefault="00F5210A">
            <w:pPr>
              <w:jc w:val="center"/>
            </w:pPr>
            <w:r>
              <w:rPr>
                <w:rFonts w:eastAsiaTheme="minorEastAsia"/>
                <w:color w:val="000000" w:themeColor="text1"/>
                <w:kern w:val="0"/>
              </w:rPr>
              <w:t>15.25%</w:t>
            </w:r>
          </w:p>
        </w:tc>
        <w:tc>
          <w:tcPr>
            <w:tcW w:w="1204" w:type="dxa"/>
            <w:vAlign w:val="center"/>
          </w:tcPr>
          <w:p w:rsidR="008E7230" w:rsidRDefault="00F5210A">
            <w:pPr>
              <w:jc w:val="center"/>
            </w:pPr>
            <w:r>
              <w:rPr>
                <w:rFonts w:eastAsiaTheme="minorEastAsia"/>
                <w:color w:val="000000" w:themeColor="text1"/>
                <w:kern w:val="0"/>
              </w:rPr>
              <w:t>0.76%</w:t>
            </w:r>
          </w:p>
        </w:tc>
      </w:tr>
      <w:tr w:rsidR="008E7230">
        <w:tc>
          <w:tcPr>
            <w:tcW w:w="1395" w:type="dxa"/>
            <w:vAlign w:val="center"/>
          </w:tcPr>
          <w:p w:rsidR="008E7230" w:rsidRDefault="00F5210A">
            <w:pPr>
              <w:jc w:val="left"/>
            </w:pPr>
            <w:r>
              <w:rPr>
                <w:rFonts w:eastAsiaTheme="minorEastAsia"/>
                <w:color w:val="000000" w:themeColor="text1"/>
                <w:kern w:val="0"/>
              </w:rPr>
              <w:t>过去三年</w:t>
            </w:r>
          </w:p>
        </w:tc>
        <w:tc>
          <w:tcPr>
            <w:tcW w:w="1092" w:type="dxa"/>
            <w:vAlign w:val="center"/>
          </w:tcPr>
          <w:p w:rsidR="008E7230" w:rsidRDefault="00F5210A">
            <w:pPr>
              <w:jc w:val="center"/>
            </w:pPr>
            <w:r>
              <w:rPr>
                <w:rFonts w:eastAsiaTheme="minorEastAsia"/>
                <w:color w:val="000000" w:themeColor="text1"/>
                <w:kern w:val="0"/>
              </w:rPr>
              <w:t>133.81%</w:t>
            </w:r>
          </w:p>
        </w:tc>
        <w:tc>
          <w:tcPr>
            <w:tcW w:w="1161" w:type="dxa"/>
            <w:vAlign w:val="center"/>
          </w:tcPr>
          <w:p w:rsidR="008E7230" w:rsidRDefault="00F5210A">
            <w:pPr>
              <w:jc w:val="center"/>
            </w:pPr>
            <w:r>
              <w:rPr>
                <w:rFonts w:eastAsiaTheme="minorEastAsia"/>
                <w:color w:val="000000" w:themeColor="text1"/>
                <w:kern w:val="0"/>
              </w:rPr>
              <w:t>1.84%</w:t>
            </w:r>
          </w:p>
        </w:tc>
        <w:tc>
          <w:tcPr>
            <w:tcW w:w="1181" w:type="dxa"/>
            <w:vAlign w:val="center"/>
          </w:tcPr>
          <w:p w:rsidR="008E7230" w:rsidRDefault="00F5210A">
            <w:pPr>
              <w:jc w:val="center"/>
            </w:pPr>
            <w:r>
              <w:rPr>
                <w:rFonts w:eastAsiaTheme="minorEastAsia"/>
                <w:color w:val="000000" w:themeColor="text1"/>
                <w:kern w:val="0"/>
              </w:rPr>
              <w:t>34.70%</w:t>
            </w:r>
          </w:p>
        </w:tc>
        <w:tc>
          <w:tcPr>
            <w:tcW w:w="1188" w:type="dxa"/>
            <w:vAlign w:val="center"/>
          </w:tcPr>
          <w:p w:rsidR="008E7230" w:rsidRDefault="00F5210A">
            <w:pPr>
              <w:jc w:val="center"/>
            </w:pPr>
            <w:r>
              <w:rPr>
                <w:rFonts w:eastAsiaTheme="minorEastAsia"/>
                <w:color w:val="000000" w:themeColor="text1"/>
                <w:kern w:val="0"/>
              </w:rPr>
              <w:t>1.15%</w:t>
            </w:r>
          </w:p>
        </w:tc>
        <w:tc>
          <w:tcPr>
            <w:tcW w:w="1199" w:type="dxa"/>
            <w:vAlign w:val="center"/>
          </w:tcPr>
          <w:p w:rsidR="008E7230" w:rsidRDefault="00F5210A">
            <w:pPr>
              <w:jc w:val="center"/>
            </w:pPr>
            <w:r>
              <w:rPr>
                <w:rFonts w:eastAsiaTheme="minorEastAsia"/>
                <w:color w:val="000000" w:themeColor="text1"/>
                <w:kern w:val="0"/>
              </w:rPr>
              <w:t>99.11%</w:t>
            </w:r>
          </w:p>
        </w:tc>
        <w:tc>
          <w:tcPr>
            <w:tcW w:w="1204" w:type="dxa"/>
            <w:vAlign w:val="center"/>
          </w:tcPr>
          <w:p w:rsidR="008E7230" w:rsidRDefault="00F5210A">
            <w:pPr>
              <w:jc w:val="center"/>
            </w:pPr>
            <w:r>
              <w:rPr>
                <w:rFonts w:eastAsiaTheme="minorEastAsia"/>
                <w:color w:val="000000" w:themeColor="text1"/>
                <w:kern w:val="0"/>
              </w:rPr>
              <w:t>0.69%</w:t>
            </w:r>
          </w:p>
        </w:tc>
      </w:tr>
      <w:tr w:rsidR="008E7230">
        <w:tc>
          <w:tcPr>
            <w:tcW w:w="1395" w:type="dxa"/>
            <w:vAlign w:val="center"/>
          </w:tcPr>
          <w:p w:rsidR="008E7230" w:rsidRDefault="00F5210A">
            <w:pPr>
              <w:jc w:val="left"/>
            </w:pPr>
            <w:r>
              <w:rPr>
                <w:rFonts w:eastAsiaTheme="minorEastAsia"/>
                <w:color w:val="000000" w:themeColor="text1"/>
                <w:kern w:val="0"/>
              </w:rPr>
              <w:t>过去五年</w:t>
            </w:r>
          </w:p>
        </w:tc>
        <w:tc>
          <w:tcPr>
            <w:tcW w:w="1092" w:type="dxa"/>
            <w:vAlign w:val="center"/>
          </w:tcPr>
          <w:p w:rsidR="008E7230" w:rsidRDefault="00F5210A">
            <w:pPr>
              <w:jc w:val="center"/>
            </w:pPr>
            <w:r>
              <w:rPr>
                <w:rFonts w:eastAsiaTheme="minorEastAsia"/>
                <w:color w:val="000000" w:themeColor="text1"/>
                <w:kern w:val="0"/>
              </w:rPr>
              <w:t>119.92%</w:t>
            </w:r>
          </w:p>
        </w:tc>
        <w:tc>
          <w:tcPr>
            <w:tcW w:w="1161" w:type="dxa"/>
            <w:vAlign w:val="center"/>
          </w:tcPr>
          <w:p w:rsidR="008E7230" w:rsidRDefault="00F5210A">
            <w:pPr>
              <w:jc w:val="center"/>
            </w:pPr>
            <w:r>
              <w:rPr>
                <w:rFonts w:eastAsiaTheme="minorEastAsia"/>
                <w:color w:val="000000" w:themeColor="text1"/>
                <w:kern w:val="0"/>
              </w:rPr>
              <w:t>1.68%</w:t>
            </w:r>
          </w:p>
        </w:tc>
        <w:tc>
          <w:tcPr>
            <w:tcW w:w="1181" w:type="dxa"/>
            <w:vAlign w:val="center"/>
          </w:tcPr>
          <w:p w:rsidR="008E7230" w:rsidRDefault="00F5210A">
            <w:pPr>
              <w:jc w:val="center"/>
            </w:pPr>
            <w:r>
              <w:rPr>
                <w:rFonts w:eastAsiaTheme="minorEastAsia"/>
                <w:color w:val="000000" w:themeColor="text1"/>
                <w:kern w:val="0"/>
              </w:rPr>
              <w:t>22.67%</w:t>
            </w:r>
          </w:p>
        </w:tc>
        <w:tc>
          <w:tcPr>
            <w:tcW w:w="1188" w:type="dxa"/>
            <w:vAlign w:val="center"/>
          </w:tcPr>
          <w:p w:rsidR="008E7230" w:rsidRDefault="00F5210A">
            <w:pPr>
              <w:jc w:val="center"/>
            </w:pPr>
            <w:r>
              <w:rPr>
                <w:rFonts w:eastAsiaTheme="minorEastAsia"/>
                <w:color w:val="000000" w:themeColor="text1"/>
                <w:kern w:val="0"/>
              </w:rPr>
              <w:t>1.02%</w:t>
            </w:r>
          </w:p>
        </w:tc>
        <w:tc>
          <w:tcPr>
            <w:tcW w:w="1199" w:type="dxa"/>
            <w:vAlign w:val="center"/>
          </w:tcPr>
          <w:p w:rsidR="008E7230" w:rsidRDefault="00F5210A">
            <w:pPr>
              <w:jc w:val="center"/>
            </w:pPr>
            <w:r>
              <w:rPr>
                <w:rFonts w:eastAsiaTheme="minorEastAsia"/>
                <w:color w:val="000000" w:themeColor="text1"/>
                <w:kern w:val="0"/>
              </w:rPr>
              <w:t>97.25%</w:t>
            </w:r>
          </w:p>
        </w:tc>
        <w:tc>
          <w:tcPr>
            <w:tcW w:w="1204" w:type="dxa"/>
            <w:vAlign w:val="center"/>
          </w:tcPr>
          <w:p w:rsidR="008E7230" w:rsidRDefault="00F5210A">
            <w:pPr>
              <w:jc w:val="center"/>
            </w:pPr>
            <w:r>
              <w:rPr>
                <w:rFonts w:eastAsiaTheme="minorEastAsia"/>
                <w:color w:val="000000" w:themeColor="text1"/>
                <w:kern w:val="0"/>
              </w:rPr>
              <w:t>0.66%</w:t>
            </w:r>
          </w:p>
        </w:tc>
      </w:tr>
      <w:tr w:rsidR="008E7230">
        <w:tc>
          <w:tcPr>
            <w:tcW w:w="1395" w:type="dxa"/>
            <w:vAlign w:val="center"/>
          </w:tcPr>
          <w:p w:rsidR="008E7230" w:rsidRDefault="00F5210A">
            <w:pPr>
              <w:jc w:val="left"/>
            </w:pPr>
            <w:r>
              <w:rPr>
                <w:rFonts w:eastAsiaTheme="minorEastAsia"/>
                <w:color w:val="000000" w:themeColor="text1"/>
                <w:kern w:val="0"/>
              </w:rPr>
              <w:t>自基金合同生效起至今</w:t>
            </w:r>
          </w:p>
        </w:tc>
        <w:tc>
          <w:tcPr>
            <w:tcW w:w="1092" w:type="dxa"/>
            <w:vAlign w:val="center"/>
          </w:tcPr>
          <w:p w:rsidR="008E7230" w:rsidRDefault="00F5210A">
            <w:pPr>
              <w:jc w:val="center"/>
            </w:pPr>
            <w:r>
              <w:rPr>
                <w:rFonts w:eastAsiaTheme="minorEastAsia"/>
                <w:color w:val="000000" w:themeColor="text1"/>
                <w:kern w:val="0"/>
              </w:rPr>
              <w:t>357.62%</w:t>
            </w:r>
          </w:p>
        </w:tc>
        <w:tc>
          <w:tcPr>
            <w:tcW w:w="1161" w:type="dxa"/>
            <w:vAlign w:val="center"/>
          </w:tcPr>
          <w:p w:rsidR="008E7230" w:rsidRDefault="00F5210A">
            <w:pPr>
              <w:jc w:val="center"/>
            </w:pPr>
            <w:r>
              <w:rPr>
                <w:rFonts w:eastAsiaTheme="minorEastAsia"/>
                <w:color w:val="000000" w:themeColor="text1"/>
                <w:kern w:val="0"/>
              </w:rPr>
              <w:t>1.80%</w:t>
            </w:r>
          </w:p>
        </w:tc>
        <w:tc>
          <w:tcPr>
            <w:tcW w:w="1181" w:type="dxa"/>
            <w:vAlign w:val="center"/>
          </w:tcPr>
          <w:p w:rsidR="008E7230" w:rsidRDefault="00F5210A">
            <w:pPr>
              <w:jc w:val="center"/>
            </w:pPr>
            <w:r>
              <w:rPr>
                <w:rFonts w:eastAsiaTheme="minorEastAsia"/>
                <w:color w:val="000000" w:themeColor="text1"/>
                <w:kern w:val="0"/>
              </w:rPr>
              <w:t>156.61%</w:t>
            </w:r>
          </w:p>
        </w:tc>
        <w:tc>
          <w:tcPr>
            <w:tcW w:w="1188" w:type="dxa"/>
            <w:vAlign w:val="center"/>
          </w:tcPr>
          <w:p w:rsidR="008E7230" w:rsidRDefault="00F5210A">
            <w:pPr>
              <w:jc w:val="center"/>
            </w:pPr>
            <w:r>
              <w:rPr>
                <w:rFonts w:eastAsiaTheme="minorEastAsia"/>
                <w:color w:val="000000" w:themeColor="text1"/>
                <w:kern w:val="0"/>
              </w:rPr>
              <w:t>1.28%</w:t>
            </w:r>
          </w:p>
        </w:tc>
        <w:tc>
          <w:tcPr>
            <w:tcW w:w="1199" w:type="dxa"/>
            <w:vAlign w:val="center"/>
          </w:tcPr>
          <w:p w:rsidR="008E7230" w:rsidRDefault="00F5210A">
            <w:pPr>
              <w:jc w:val="center"/>
            </w:pPr>
            <w:r>
              <w:rPr>
                <w:rFonts w:eastAsiaTheme="minorEastAsia"/>
                <w:color w:val="000000" w:themeColor="text1"/>
                <w:kern w:val="0"/>
              </w:rPr>
              <w:t>201.01%</w:t>
            </w:r>
          </w:p>
        </w:tc>
        <w:tc>
          <w:tcPr>
            <w:tcW w:w="1204" w:type="dxa"/>
            <w:vAlign w:val="center"/>
          </w:tcPr>
          <w:p w:rsidR="008E7230" w:rsidRDefault="00F5210A">
            <w:pPr>
              <w:jc w:val="center"/>
            </w:pPr>
            <w:r>
              <w:rPr>
                <w:rFonts w:eastAsiaTheme="minorEastAsia"/>
                <w:color w:val="000000" w:themeColor="text1"/>
                <w:kern w:val="0"/>
              </w:rPr>
              <w:t>0.52%</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上投摩根中小盘混合型证券投资基金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(2009</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21</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8E7230" w:rsidRDefault="00F5210A">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8E7230">
        <w:tc>
          <w:tcPr>
            <w:tcW w:w="851" w:type="dxa"/>
            <w:vAlign w:val="center"/>
          </w:tcPr>
          <w:p w:rsidR="008E7230" w:rsidRDefault="00F5210A">
            <w:pPr>
              <w:jc w:val="center"/>
            </w:pPr>
            <w:r>
              <w:rPr>
                <w:rFonts w:eastAsiaTheme="minorEastAsia"/>
                <w:color w:val="000000" w:themeColor="text1"/>
              </w:rPr>
              <w:t>郭晨</w:t>
            </w:r>
          </w:p>
        </w:tc>
        <w:tc>
          <w:tcPr>
            <w:tcW w:w="850" w:type="dxa"/>
            <w:vAlign w:val="center"/>
          </w:tcPr>
          <w:p w:rsidR="008E7230" w:rsidRDefault="00F5210A">
            <w:pPr>
              <w:jc w:val="center"/>
            </w:pPr>
            <w:r>
              <w:rPr>
                <w:rFonts w:eastAsiaTheme="minorEastAsia"/>
                <w:color w:val="000000" w:themeColor="text1"/>
              </w:rPr>
              <w:t>本基金基金经理</w:t>
            </w:r>
          </w:p>
        </w:tc>
        <w:tc>
          <w:tcPr>
            <w:tcW w:w="1560" w:type="dxa"/>
            <w:vAlign w:val="center"/>
          </w:tcPr>
          <w:p w:rsidR="008E7230" w:rsidRDefault="00F5210A">
            <w:pPr>
              <w:jc w:val="center"/>
            </w:pPr>
            <w:r>
              <w:rPr>
                <w:rFonts w:eastAsiaTheme="minorEastAsia"/>
                <w:color w:val="000000" w:themeColor="text1"/>
              </w:rPr>
              <w:t>2015-01-30</w:t>
            </w:r>
          </w:p>
        </w:tc>
        <w:tc>
          <w:tcPr>
            <w:tcW w:w="1559" w:type="dxa"/>
            <w:vAlign w:val="center"/>
          </w:tcPr>
          <w:p w:rsidR="008E7230" w:rsidRDefault="00F5210A">
            <w:pPr>
              <w:jc w:val="center"/>
            </w:pPr>
            <w:r>
              <w:rPr>
                <w:rFonts w:eastAsiaTheme="minorEastAsia"/>
                <w:color w:val="000000" w:themeColor="text1"/>
              </w:rPr>
              <w:t>-</w:t>
            </w:r>
          </w:p>
        </w:tc>
        <w:tc>
          <w:tcPr>
            <w:tcW w:w="1417" w:type="dxa"/>
            <w:vAlign w:val="center"/>
          </w:tcPr>
          <w:p w:rsidR="008E7230" w:rsidRDefault="00F5210A">
            <w:pPr>
              <w:jc w:val="center"/>
            </w:pPr>
            <w:r>
              <w:rPr>
                <w:rFonts w:eastAsiaTheme="minorEastAsia"/>
                <w:color w:val="000000" w:themeColor="text1"/>
              </w:rPr>
              <w:t>14</w:t>
            </w:r>
            <w:r>
              <w:rPr>
                <w:rFonts w:eastAsiaTheme="minorEastAsia"/>
                <w:color w:val="000000" w:themeColor="text1"/>
              </w:rPr>
              <w:t>年</w:t>
            </w:r>
          </w:p>
        </w:tc>
        <w:tc>
          <w:tcPr>
            <w:tcW w:w="2694" w:type="dxa"/>
            <w:vAlign w:val="center"/>
          </w:tcPr>
          <w:p w:rsidR="008E7230" w:rsidRDefault="00F5210A">
            <w:r>
              <w:rPr>
                <w:rFonts w:eastAsiaTheme="minorEastAsia"/>
                <w:color w:val="000000" w:themeColor="text1"/>
              </w:rPr>
              <w:t>郭晨先生，自</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月在平安资产管理有限公司担任分析师；</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月在东吴基金管理有限公司担任研究员；</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月在华富基金管理有限公司先后担任基金经理助理、基金经理。</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月起加入上投摩根基金管理有限公司并担任基金经理、国内权益投资部动力组组长兼资深基金</w:t>
            </w:r>
            <w:r>
              <w:rPr>
                <w:rFonts w:eastAsiaTheme="minorEastAsia"/>
                <w:color w:val="000000" w:themeColor="text1"/>
              </w:rPr>
              <w:lastRenderedPageBreak/>
              <w:t>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月起担任上投摩根中小盘混合型证券投资基金基金经理，自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月起同时担任上投摩根智慧互联股票型证券投资基金基金经理，自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月起同时担任上投摩根新兴服务股票型证券投资基金基金经理，自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月起同时担任上投摩根创新商业模式灵活配置混合型证券投资基金基金经理，自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月起同时担任上投摩根优势成长混合型证券投资基金基金经理。</w:t>
            </w:r>
          </w:p>
        </w:tc>
      </w:tr>
    </w:tbl>
    <w:p w:rsidR="008E7230" w:rsidRDefault="00F5210A">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中小盘混合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w:t>
      </w:r>
      <w:r>
        <w:rPr>
          <w:rFonts w:eastAsiaTheme="minorEastAsia"/>
          <w:color w:val="000000" w:themeColor="text1"/>
        </w:rPr>
        <w:lastRenderedPageBreak/>
        <w:t>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二季度沪深</w:t>
      </w:r>
      <w:r>
        <w:rPr>
          <w:rFonts w:eastAsiaTheme="minorEastAsia"/>
          <w:color w:val="000000" w:themeColor="text1"/>
        </w:rPr>
        <w:t>300</w:t>
      </w:r>
      <w:r>
        <w:rPr>
          <w:rFonts w:eastAsiaTheme="minorEastAsia"/>
          <w:color w:val="000000" w:themeColor="text1"/>
        </w:rPr>
        <w:t>指数上涨</w:t>
      </w:r>
      <w:r>
        <w:rPr>
          <w:rFonts w:eastAsiaTheme="minorEastAsia"/>
          <w:color w:val="000000" w:themeColor="text1"/>
        </w:rPr>
        <w:t>3.48%</w:t>
      </w:r>
      <w:r>
        <w:rPr>
          <w:rFonts w:eastAsiaTheme="minorEastAsia"/>
          <w:color w:val="000000" w:themeColor="text1"/>
        </w:rPr>
        <w:t>，创业板指数大涨</w:t>
      </w:r>
      <w:r>
        <w:rPr>
          <w:rFonts w:eastAsiaTheme="minorEastAsia"/>
          <w:color w:val="000000" w:themeColor="text1"/>
        </w:rPr>
        <w:t>26.05%</w:t>
      </w:r>
      <w:r>
        <w:rPr>
          <w:rFonts w:eastAsiaTheme="minorEastAsia"/>
          <w:color w:val="000000" w:themeColor="text1"/>
        </w:rPr>
        <w:t>，一季度市场调整之后，市场整体估值进入了相对合理的区间，二季度市场整体表现良好，成长股引领市场反弹，很多优质公司甚至创出了历史新高，尤其是新能源汽车、医美、医药、消费等优质赛道表现优秀。经历了一季度市场大幅回调之后，市场回到了结构性行情的正常轨道上，整个市场以基本面为基础平稳运行，一些被错杀的优质赛道龙头公司表现亮眼，一些被低估的二线龙头也表现较好。二季度公募基金募集较之前有了较大的降温，但是并不影响市场的结构性行情。二季度市场流动性表现平稳，随着疫苗在全球的大规模接种，全球经济逐渐恢复，上市公司盈利良好，大宗商品受益于经济恢复和宽松货币政策，也表现强势，未来有通胀的隐忧。</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我们始终认为市场处于一个长期慢牛的走势之中，结构性行情为主，在一季度市场出现大跌之后，我们不悲观，果断的加仓了一些被错杀的优质成长股，重点集中在一些优质行业，比如新能源汽车、半导体、医药、食品饮料等，在二季度的反弹之中表现不错，行业和个股的配置依然均衡，本基金将始终坚持价值投资思路，坚持配置高景气度行业，选择高景气行业中相对优秀的龙头公司长期投资。</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展望三季度，我们谨慎乐观。三季度企业盈利继续向好，仍需关注疫情的控制以及经济恢复的情况，关注全球的通胀以及货币政策的变化。目前市场整体系统性风险不大，</w:t>
      </w:r>
      <w:r>
        <w:rPr>
          <w:rFonts w:eastAsiaTheme="minorEastAsia"/>
          <w:color w:val="000000" w:themeColor="text1"/>
        </w:rPr>
        <w:t>A</w:t>
      </w:r>
      <w:r>
        <w:rPr>
          <w:rFonts w:eastAsiaTheme="minorEastAsia"/>
          <w:color w:val="000000" w:themeColor="text1"/>
        </w:rPr>
        <w:t>股整体估值处于合理水平，长期慢牛大趋势将延续，持仓的结构仍是最重要的。</w:t>
      </w:r>
      <w:r>
        <w:rPr>
          <w:rFonts w:eastAsiaTheme="minorEastAsia"/>
          <w:color w:val="000000" w:themeColor="text1"/>
        </w:rPr>
        <w:t xml:space="preserve"> </w:t>
      </w:r>
      <w:r>
        <w:rPr>
          <w:rFonts w:eastAsiaTheme="minorEastAsia"/>
          <w:color w:val="000000" w:themeColor="text1"/>
        </w:rPr>
        <w:t>上半年整体大宗商品上涨较多，给中游行业造成了较大的成本压力，下半年大宗商品继续大涨的概率不大，关注中游制造业经营情况的边际改善。</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我们会始终坚持价值投资，坚持超配高景气度行业，选择朝阳行业中较优秀的龙头公司</w:t>
      </w:r>
      <w:r w:rsidRPr="00FF6B9A">
        <w:rPr>
          <w:rFonts w:eastAsiaTheme="minorEastAsia"/>
          <w:color w:val="000000" w:themeColor="text1"/>
        </w:rPr>
        <w:lastRenderedPageBreak/>
        <w:t>长期投资。我们依然战略看好高科技、先进制造等成长板块和与百姓生活相关的消费、医药行业，致力长期投资高景气度、高成长</w:t>
      </w:r>
      <w:r w:rsidR="00F5210A">
        <w:rPr>
          <w:rFonts w:eastAsiaTheme="minorEastAsia" w:hint="eastAsia"/>
          <w:color w:val="000000" w:themeColor="text1"/>
        </w:rPr>
        <w:t>、</w:t>
      </w:r>
      <w:r w:rsidRPr="00FF6B9A">
        <w:rPr>
          <w:rFonts w:eastAsiaTheme="minorEastAsia"/>
          <w:color w:val="000000" w:themeColor="text1"/>
        </w:rPr>
        <w:t>低估值的优秀龙头公司。行业上，三季度我们依然看好半导体、新能源汽车、消费、医药等细分行业。合理的估值，较高的业绩增速，成长的确定性是本基金最看重的。</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本报告期上投摩根中小盘混合份额净值增长率为</w:t>
      </w:r>
      <w:r w:rsidRPr="00FF6B9A">
        <w:rPr>
          <w:rFonts w:eastAsiaTheme="minorEastAsia"/>
          <w:color w:val="000000" w:themeColor="text1"/>
        </w:rPr>
        <w:t>:16.52%</w:t>
      </w:r>
      <w:r w:rsidRPr="00FF6B9A">
        <w:rPr>
          <w:rFonts w:eastAsiaTheme="minorEastAsia"/>
          <w:color w:val="000000" w:themeColor="text1"/>
        </w:rPr>
        <w:t>，同期业绩比较基准收益率为</w:t>
      </w:r>
      <w:r w:rsidRPr="00FF6B9A">
        <w:rPr>
          <w:rFonts w:eastAsiaTheme="minorEastAsia"/>
          <w:color w:val="000000" w:themeColor="text1"/>
        </w:rPr>
        <w:t>:8.06%</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710,816,087.77</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89.59</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710,816,087.77</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89.59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79,378,400.94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10.00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3,226,872.86</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0.41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793,421,361.57</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769,920.38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0.10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614,412,421.82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78.28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13,020.39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6,958,411.37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0.89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73,523.22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14,495,043.90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1,187,303.45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3,926,894.10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0.50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4,521,306.60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0.58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60,613,013.79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7.72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94,346.40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2,977,138.35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0.38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11,598.00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762,146.00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710,816,087.77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90.57</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8E7230">
        <w:tc>
          <w:tcPr>
            <w:tcW w:w="817" w:type="dxa"/>
            <w:vAlign w:val="center"/>
          </w:tcPr>
          <w:p w:rsidR="008E7230" w:rsidRDefault="00F5210A">
            <w:pPr>
              <w:jc w:val="center"/>
            </w:pPr>
            <w:r>
              <w:rPr>
                <w:rFonts w:eastAsiaTheme="minorEastAsia"/>
                <w:kern w:val="0"/>
                <w:sz w:val="24"/>
                <w:szCs w:val="24"/>
              </w:rPr>
              <w:t>1</w:t>
            </w:r>
          </w:p>
        </w:tc>
        <w:tc>
          <w:tcPr>
            <w:tcW w:w="1276" w:type="dxa"/>
            <w:vAlign w:val="center"/>
          </w:tcPr>
          <w:p w:rsidR="008E7230" w:rsidRDefault="00F5210A">
            <w:pPr>
              <w:jc w:val="center"/>
            </w:pPr>
            <w:r>
              <w:rPr>
                <w:rFonts w:eastAsiaTheme="minorEastAsia"/>
                <w:kern w:val="0"/>
                <w:sz w:val="24"/>
                <w:szCs w:val="24"/>
              </w:rPr>
              <w:t>603486</w:t>
            </w:r>
          </w:p>
        </w:tc>
        <w:tc>
          <w:tcPr>
            <w:tcW w:w="1701" w:type="dxa"/>
            <w:vAlign w:val="center"/>
          </w:tcPr>
          <w:p w:rsidR="008E7230" w:rsidRDefault="00F5210A">
            <w:pPr>
              <w:jc w:val="center"/>
            </w:pPr>
            <w:r>
              <w:rPr>
                <w:rFonts w:eastAsiaTheme="minorEastAsia"/>
                <w:kern w:val="0"/>
                <w:sz w:val="24"/>
                <w:szCs w:val="24"/>
              </w:rPr>
              <w:t>科沃斯</w:t>
            </w:r>
          </w:p>
        </w:tc>
        <w:tc>
          <w:tcPr>
            <w:tcW w:w="1276" w:type="dxa"/>
            <w:vAlign w:val="center"/>
          </w:tcPr>
          <w:p w:rsidR="008E7230" w:rsidRDefault="00F5210A">
            <w:pPr>
              <w:jc w:val="right"/>
            </w:pPr>
            <w:r>
              <w:rPr>
                <w:rFonts w:eastAsiaTheme="minorEastAsia"/>
                <w:kern w:val="0"/>
                <w:sz w:val="24"/>
                <w:szCs w:val="24"/>
              </w:rPr>
              <w:t>284,933</w:t>
            </w:r>
          </w:p>
        </w:tc>
        <w:tc>
          <w:tcPr>
            <w:tcW w:w="1842" w:type="dxa"/>
            <w:vAlign w:val="center"/>
          </w:tcPr>
          <w:p w:rsidR="008E7230" w:rsidRDefault="00F5210A">
            <w:pPr>
              <w:jc w:val="right"/>
            </w:pPr>
            <w:r>
              <w:rPr>
                <w:rFonts w:eastAsiaTheme="minorEastAsia"/>
                <w:kern w:val="0"/>
                <w:sz w:val="24"/>
                <w:szCs w:val="24"/>
              </w:rPr>
              <w:t>64,987,518.64</w:t>
            </w:r>
          </w:p>
        </w:tc>
        <w:tc>
          <w:tcPr>
            <w:tcW w:w="1616" w:type="dxa"/>
            <w:vAlign w:val="center"/>
          </w:tcPr>
          <w:p w:rsidR="008E7230" w:rsidRDefault="00F5210A">
            <w:pPr>
              <w:jc w:val="right"/>
            </w:pPr>
            <w:r>
              <w:rPr>
                <w:rFonts w:eastAsiaTheme="minorEastAsia"/>
                <w:kern w:val="0"/>
                <w:sz w:val="24"/>
                <w:szCs w:val="24"/>
              </w:rPr>
              <w:t>8.28</w:t>
            </w:r>
          </w:p>
        </w:tc>
      </w:tr>
      <w:tr w:rsidR="008E7230">
        <w:tc>
          <w:tcPr>
            <w:tcW w:w="817" w:type="dxa"/>
            <w:vAlign w:val="center"/>
          </w:tcPr>
          <w:p w:rsidR="008E7230" w:rsidRDefault="00F5210A">
            <w:pPr>
              <w:jc w:val="center"/>
            </w:pPr>
            <w:r>
              <w:rPr>
                <w:rFonts w:eastAsiaTheme="minorEastAsia"/>
                <w:kern w:val="0"/>
                <w:sz w:val="24"/>
                <w:szCs w:val="24"/>
              </w:rPr>
              <w:t>2</w:t>
            </w:r>
          </w:p>
        </w:tc>
        <w:tc>
          <w:tcPr>
            <w:tcW w:w="1276" w:type="dxa"/>
            <w:vAlign w:val="center"/>
          </w:tcPr>
          <w:p w:rsidR="008E7230" w:rsidRDefault="00F5210A">
            <w:pPr>
              <w:jc w:val="center"/>
            </w:pPr>
            <w:r>
              <w:rPr>
                <w:rFonts w:eastAsiaTheme="minorEastAsia"/>
                <w:kern w:val="0"/>
                <w:sz w:val="24"/>
                <w:szCs w:val="24"/>
              </w:rPr>
              <w:t>603501</w:t>
            </w:r>
          </w:p>
        </w:tc>
        <w:tc>
          <w:tcPr>
            <w:tcW w:w="1701" w:type="dxa"/>
            <w:vAlign w:val="center"/>
          </w:tcPr>
          <w:p w:rsidR="008E7230" w:rsidRDefault="00F5210A">
            <w:pPr>
              <w:jc w:val="center"/>
            </w:pPr>
            <w:r>
              <w:rPr>
                <w:rFonts w:eastAsiaTheme="minorEastAsia"/>
                <w:kern w:val="0"/>
                <w:sz w:val="24"/>
                <w:szCs w:val="24"/>
              </w:rPr>
              <w:t>韦尔股份</w:t>
            </w:r>
          </w:p>
        </w:tc>
        <w:tc>
          <w:tcPr>
            <w:tcW w:w="1276" w:type="dxa"/>
            <w:vAlign w:val="center"/>
          </w:tcPr>
          <w:p w:rsidR="008E7230" w:rsidRDefault="00F5210A">
            <w:pPr>
              <w:jc w:val="right"/>
            </w:pPr>
            <w:r>
              <w:rPr>
                <w:rFonts w:eastAsiaTheme="minorEastAsia"/>
                <w:kern w:val="0"/>
                <w:sz w:val="24"/>
                <w:szCs w:val="24"/>
              </w:rPr>
              <w:t>189,198</w:t>
            </w:r>
          </w:p>
        </w:tc>
        <w:tc>
          <w:tcPr>
            <w:tcW w:w="1842" w:type="dxa"/>
            <w:vAlign w:val="center"/>
          </w:tcPr>
          <w:p w:rsidR="008E7230" w:rsidRDefault="00F5210A">
            <w:pPr>
              <w:jc w:val="right"/>
            </w:pPr>
            <w:r>
              <w:rPr>
                <w:rFonts w:eastAsiaTheme="minorEastAsia"/>
                <w:kern w:val="0"/>
                <w:sz w:val="24"/>
                <w:szCs w:val="24"/>
              </w:rPr>
              <w:t>60,921,756.00</w:t>
            </w:r>
          </w:p>
        </w:tc>
        <w:tc>
          <w:tcPr>
            <w:tcW w:w="1616" w:type="dxa"/>
            <w:vAlign w:val="center"/>
          </w:tcPr>
          <w:p w:rsidR="008E7230" w:rsidRDefault="00F5210A">
            <w:pPr>
              <w:jc w:val="right"/>
            </w:pPr>
            <w:r>
              <w:rPr>
                <w:rFonts w:eastAsiaTheme="minorEastAsia"/>
                <w:kern w:val="0"/>
                <w:sz w:val="24"/>
                <w:szCs w:val="24"/>
              </w:rPr>
              <w:t>7.76</w:t>
            </w:r>
          </w:p>
        </w:tc>
      </w:tr>
      <w:tr w:rsidR="008E7230">
        <w:tc>
          <w:tcPr>
            <w:tcW w:w="817" w:type="dxa"/>
            <w:vAlign w:val="center"/>
          </w:tcPr>
          <w:p w:rsidR="008E7230" w:rsidRDefault="00F5210A">
            <w:pPr>
              <w:jc w:val="center"/>
            </w:pPr>
            <w:r>
              <w:rPr>
                <w:rFonts w:eastAsiaTheme="minorEastAsia"/>
                <w:kern w:val="0"/>
                <w:sz w:val="24"/>
                <w:szCs w:val="24"/>
              </w:rPr>
              <w:lastRenderedPageBreak/>
              <w:t>3</w:t>
            </w:r>
          </w:p>
        </w:tc>
        <w:tc>
          <w:tcPr>
            <w:tcW w:w="1276" w:type="dxa"/>
            <w:vAlign w:val="center"/>
          </w:tcPr>
          <w:p w:rsidR="008E7230" w:rsidRDefault="00F5210A">
            <w:pPr>
              <w:jc w:val="center"/>
            </w:pPr>
            <w:r>
              <w:rPr>
                <w:rFonts w:eastAsiaTheme="minorEastAsia"/>
                <w:kern w:val="0"/>
                <w:sz w:val="24"/>
                <w:szCs w:val="24"/>
              </w:rPr>
              <w:t>603259</w:t>
            </w:r>
          </w:p>
        </w:tc>
        <w:tc>
          <w:tcPr>
            <w:tcW w:w="1701" w:type="dxa"/>
            <w:vAlign w:val="center"/>
          </w:tcPr>
          <w:p w:rsidR="008E7230" w:rsidRDefault="00F5210A">
            <w:pPr>
              <w:jc w:val="center"/>
            </w:pPr>
            <w:r>
              <w:rPr>
                <w:rFonts w:eastAsiaTheme="minorEastAsia"/>
                <w:kern w:val="0"/>
                <w:sz w:val="24"/>
                <w:szCs w:val="24"/>
              </w:rPr>
              <w:t>药明康德</w:t>
            </w:r>
          </w:p>
        </w:tc>
        <w:tc>
          <w:tcPr>
            <w:tcW w:w="1276" w:type="dxa"/>
            <w:vAlign w:val="center"/>
          </w:tcPr>
          <w:p w:rsidR="008E7230" w:rsidRDefault="00F5210A">
            <w:pPr>
              <w:jc w:val="right"/>
            </w:pPr>
            <w:r>
              <w:rPr>
                <w:rFonts w:eastAsiaTheme="minorEastAsia"/>
                <w:kern w:val="0"/>
                <w:sz w:val="24"/>
                <w:szCs w:val="24"/>
              </w:rPr>
              <w:t>387,081</w:t>
            </w:r>
          </w:p>
        </w:tc>
        <w:tc>
          <w:tcPr>
            <w:tcW w:w="1842" w:type="dxa"/>
            <w:vAlign w:val="center"/>
          </w:tcPr>
          <w:p w:rsidR="008E7230" w:rsidRDefault="00F5210A">
            <w:pPr>
              <w:jc w:val="right"/>
            </w:pPr>
            <w:r>
              <w:rPr>
                <w:rFonts w:eastAsiaTheme="minorEastAsia"/>
                <w:kern w:val="0"/>
                <w:sz w:val="24"/>
                <w:szCs w:val="24"/>
              </w:rPr>
              <w:t>60,613,013.79</w:t>
            </w:r>
          </w:p>
        </w:tc>
        <w:tc>
          <w:tcPr>
            <w:tcW w:w="1616" w:type="dxa"/>
            <w:vAlign w:val="center"/>
          </w:tcPr>
          <w:p w:rsidR="008E7230" w:rsidRDefault="00F5210A">
            <w:pPr>
              <w:jc w:val="right"/>
            </w:pPr>
            <w:r>
              <w:rPr>
                <w:rFonts w:eastAsiaTheme="minorEastAsia"/>
                <w:kern w:val="0"/>
                <w:sz w:val="24"/>
                <w:szCs w:val="24"/>
              </w:rPr>
              <w:t>7.72</w:t>
            </w:r>
          </w:p>
        </w:tc>
      </w:tr>
      <w:tr w:rsidR="008E7230">
        <w:tc>
          <w:tcPr>
            <w:tcW w:w="817" w:type="dxa"/>
            <w:vAlign w:val="center"/>
          </w:tcPr>
          <w:p w:rsidR="008E7230" w:rsidRDefault="00F5210A">
            <w:pPr>
              <w:jc w:val="center"/>
            </w:pPr>
            <w:r>
              <w:rPr>
                <w:rFonts w:eastAsiaTheme="minorEastAsia"/>
                <w:kern w:val="0"/>
                <w:sz w:val="24"/>
                <w:szCs w:val="24"/>
              </w:rPr>
              <w:t>4</w:t>
            </w:r>
          </w:p>
        </w:tc>
        <w:tc>
          <w:tcPr>
            <w:tcW w:w="1276" w:type="dxa"/>
            <w:vAlign w:val="center"/>
          </w:tcPr>
          <w:p w:rsidR="008E7230" w:rsidRDefault="00F5210A">
            <w:pPr>
              <w:jc w:val="center"/>
            </w:pPr>
            <w:r>
              <w:rPr>
                <w:rFonts w:eastAsiaTheme="minorEastAsia"/>
                <w:kern w:val="0"/>
                <w:sz w:val="24"/>
                <w:szCs w:val="24"/>
              </w:rPr>
              <w:t>300750</w:t>
            </w:r>
          </w:p>
        </w:tc>
        <w:tc>
          <w:tcPr>
            <w:tcW w:w="1701" w:type="dxa"/>
            <w:vAlign w:val="center"/>
          </w:tcPr>
          <w:p w:rsidR="008E7230" w:rsidRDefault="00F5210A">
            <w:pPr>
              <w:jc w:val="center"/>
            </w:pPr>
            <w:r>
              <w:rPr>
                <w:rFonts w:eastAsiaTheme="minorEastAsia"/>
                <w:kern w:val="0"/>
                <w:sz w:val="24"/>
                <w:szCs w:val="24"/>
              </w:rPr>
              <w:t>宁德时代</w:t>
            </w:r>
          </w:p>
        </w:tc>
        <w:tc>
          <w:tcPr>
            <w:tcW w:w="1276" w:type="dxa"/>
            <w:vAlign w:val="center"/>
          </w:tcPr>
          <w:p w:rsidR="008E7230" w:rsidRDefault="00F5210A">
            <w:pPr>
              <w:jc w:val="right"/>
            </w:pPr>
            <w:r>
              <w:rPr>
                <w:rFonts w:eastAsiaTheme="minorEastAsia"/>
                <w:kern w:val="0"/>
                <w:sz w:val="24"/>
                <w:szCs w:val="24"/>
              </w:rPr>
              <w:t>101,800</w:t>
            </w:r>
          </w:p>
        </w:tc>
        <w:tc>
          <w:tcPr>
            <w:tcW w:w="1842" w:type="dxa"/>
            <w:vAlign w:val="center"/>
          </w:tcPr>
          <w:p w:rsidR="008E7230" w:rsidRDefault="00F5210A">
            <w:pPr>
              <w:jc w:val="right"/>
            </w:pPr>
            <w:r>
              <w:rPr>
                <w:rFonts w:eastAsiaTheme="minorEastAsia"/>
                <w:kern w:val="0"/>
                <w:sz w:val="24"/>
                <w:szCs w:val="24"/>
              </w:rPr>
              <w:t>54,442,640.00</w:t>
            </w:r>
          </w:p>
        </w:tc>
        <w:tc>
          <w:tcPr>
            <w:tcW w:w="1616" w:type="dxa"/>
            <w:vAlign w:val="center"/>
          </w:tcPr>
          <w:p w:rsidR="008E7230" w:rsidRDefault="00F5210A">
            <w:pPr>
              <w:jc w:val="right"/>
            </w:pPr>
            <w:r>
              <w:rPr>
                <w:rFonts w:eastAsiaTheme="minorEastAsia"/>
                <w:kern w:val="0"/>
                <w:sz w:val="24"/>
                <w:szCs w:val="24"/>
              </w:rPr>
              <w:t>6.94</w:t>
            </w:r>
          </w:p>
        </w:tc>
      </w:tr>
      <w:tr w:rsidR="008E7230">
        <w:tc>
          <w:tcPr>
            <w:tcW w:w="817" w:type="dxa"/>
            <w:vAlign w:val="center"/>
          </w:tcPr>
          <w:p w:rsidR="008E7230" w:rsidRDefault="00F5210A">
            <w:pPr>
              <w:jc w:val="center"/>
            </w:pPr>
            <w:r>
              <w:rPr>
                <w:rFonts w:eastAsiaTheme="minorEastAsia"/>
                <w:kern w:val="0"/>
                <w:sz w:val="24"/>
                <w:szCs w:val="24"/>
              </w:rPr>
              <w:t>5</w:t>
            </w:r>
          </w:p>
        </w:tc>
        <w:tc>
          <w:tcPr>
            <w:tcW w:w="1276" w:type="dxa"/>
            <w:vAlign w:val="center"/>
          </w:tcPr>
          <w:p w:rsidR="008E7230" w:rsidRDefault="00F5210A">
            <w:pPr>
              <w:jc w:val="center"/>
            </w:pPr>
            <w:r>
              <w:rPr>
                <w:rFonts w:eastAsiaTheme="minorEastAsia"/>
                <w:kern w:val="0"/>
                <w:sz w:val="24"/>
                <w:szCs w:val="24"/>
              </w:rPr>
              <w:t>688169</w:t>
            </w:r>
          </w:p>
        </w:tc>
        <w:tc>
          <w:tcPr>
            <w:tcW w:w="1701" w:type="dxa"/>
            <w:vAlign w:val="center"/>
          </w:tcPr>
          <w:p w:rsidR="008E7230" w:rsidRDefault="00F5210A">
            <w:pPr>
              <w:jc w:val="center"/>
            </w:pPr>
            <w:r>
              <w:rPr>
                <w:rFonts w:eastAsiaTheme="minorEastAsia"/>
                <w:kern w:val="0"/>
                <w:sz w:val="24"/>
                <w:szCs w:val="24"/>
              </w:rPr>
              <w:t>石头科技</w:t>
            </w:r>
          </w:p>
        </w:tc>
        <w:tc>
          <w:tcPr>
            <w:tcW w:w="1276" w:type="dxa"/>
            <w:vAlign w:val="center"/>
          </w:tcPr>
          <w:p w:rsidR="008E7230" w:rsidRDefault="00F5210A">
            <w:pPr>
              <w:jc w:val="right"/>
            </w:pPr>
            <w:r>
              <w:rPr>
                <w:rFonts w:eastAsiaTheme="minorEastAsia"/>
                <w:kern w:val="0"/>
                <w:sz w:val="24"/>
                <w:szCs w:val="24"/>
              </w:rPr>
              <w:t>38,128</w:t>
            </w:r>
          </w:p>
        </w:tc>
        <w:tc>
          <w:tcPr>
            <w:tcW w:w="1842" w:type="dxa"/>
            <w:vAlign w:val="center"/>
          </w:tcPr>
          <w:p w:rsidR="008E7230" w:rsidRDefault="00F5210A">
            <w:pPr>
              <w:jc w:val="right"/>
            </w:pPr>
            <w:r>
              <w:rPr>
                <w:rFonts w:eastAsiaTheme="minorEastAsia"/>
                <w:kern w:val="0"/>
                <w:sz w:val="24"/>
                <w:szCs w:val="24"/>
              </w:rPr>
              <w:t>48,079,408.00</w:t>
            </w:r>
          </w:p>
        </w:tc>
        <w:tc>
          <w:tcPr>
            <w:tcW w:w="1616" w:type="dxa"/>
            <w:vAlign w:val="center"/>
          </w:tcPr>
          <w:p w:rsidR="008E7230" w:rsidRDefault="00F5210A">
            <w:pPr>
              <w:jc w:val="right"/>
            </w:pPr>
            <w:r>
              <w:rPr>
                <w:rFonts w:eastAsiaTheme="minorEastAsia"/>
                <w:kern w:val="0"/>
                <w:sz w:val="24"/>
                <w:szCs w:val="24"/>
              </w:rPr>
              <w:t>6.13</w:t>
            </w:r>
          </w:p>
        </w:tc>
      </w:tr>
      <w:tr w:rsidR="008E7230">
        <w:tc>
          <w:tcPr>
            <w:tcW w:w="817" w:type="dxa"/>
            <w:vAlign w:val="center"/>
          </w:tcPr>
          <w:p w:rsidR="008E7230" w:rsidRDefault="00F5210A">
            <w:pPr>
              <w:jc w:val="center"/>
            </w:pPr>
            <w:r>
              <w:rPr>
                <w:rFonts w:eastAsiaTheme="minorEastAsia"/>
                <w:kern w:val="0"/>
                <w:sz w:val="24"/>
                <w:szCs w:val="24"/>
              </w:rPr>
              <w:t>6</w:t>
            </w:r>
          </w:p>
        </w:tc>
        <w:tc>
          <w:tcPr>
            <w:tcW w:w="1276" w:type="dxa"/>
            <w:vAlign w:val="center"/>
          </w:tcPr>
          <w:p w:rsidR="008E7230" w:rsidRDefault="00F5210A">
            <w:pPr>
              <w:jc w:val="center"/>
            </w:pPr>
            <w:r>
              <w:rPr>
                <w:rFonts w:eastAsiaTheme="minorEastAsia"/>
                <w:kern w:val="0"/>
                <w:sz w:val="24"/>
                <w:szCs w:val="24"/>
              </w:rPr>
              <w:t>300014</w:t>
            </w:r>
          </w:p>
        </w:tc>
        <w:tc>
          <w:tcPr>
            <w:tcW w:w="1701" w:type="dxa"/>
            <w:vAlign w:val="center"/>
          </w:tcPr>
          <w:p w:rsidR="008E7230" w:rsidRDefault="00F5210A">
            <w:pPr>
              <w:jc w:val="center"/>
            </w:pPr>
            <w:r>
              <w:rPr>
                <w:rFonts w:eastAsiaTheme="minorEastAsia"/>
                <w:kern w:val="0"/>
                <w:sz w:val="24"/>
                <w:szCs w:val="24"/>
              </w:rPr>
              <w:t>亿纬锂能</w:t>
            </w:r>
          </w:p>
        </w:tc>
        <w:tc>
          <w:tcPr>
            <w:tcW w:w="1276" w:type="dxa"/>
            <w:vAlign w:val="center"/>
          </w:tcPr>
          <w:p w:rsidR="008E7230" w:rsidRDefault="00F5210A">
            <w:pPr>
              <w:jc w:val="right"/>
            </w:pPr>
            <w:r>
              <w:rPr>
                <w:rFonts w:eastAsiaTheme="minorEastAsia"/>
                <w:kern w:val="0"/>
                <w:sz w:val="24"/>
                <w:szCs w:val="24"/>
              </w:rPr>
              <w:t>334,175</w:t>
            </w:r>
          </w:p>
        </w:tc>
        <w:tc>
          <w:tcPr>
            <w:tcW w:w="1842" w:type="dxa"/>
            <w:vAlign w:val="center"/>
          </w:tcPr>
          <w:p w:rsidR="008E7230" w:rsidRDefault="00F5210A">
            <w:pPr>
              <w:jc w:val="right"/>
            </w:pPr>
            <w:r>
              <w:rPr>
                <w:rFonts w:eastAsiaTheme="minorEastAsia"/>
                <w:kern w:val="0"/>
                <w:sz w:val="24"/>
                <w:szCs w:val="24"/>
              </w:rPr>
              <w:t>34,730,807.75</w:t>
            </w:r>
          </w:p>
        </w:tc>
        <w:tc>
          <w:tcPr>
            <w:tcW w:w="1616" w:type="dxa"/>
            <w:vAlign w:val="center"/>
          </w:tcPr>
          <w:p w:rsidR="008E7230" w:rsidRDefault="00F5210A">
            <w:pPr>
              <w:jc w:val="right"/>
            </w:pPr>
            <w:r>
              <w:rPr>
                <w:rFonts w:eastAsiaTheme="minorEastAsia"/>
                <w:kern w:val="0"/>
                <w:sz w:val="24"/>
                <w:szCs w:val="24"/>
              </w:rPr>
              <w:t>4.43</w:t>
            </w:r>
          </w:p>
        </w:tc>
      </w:tr>
      <w:tr w:rsidR="008E7230">
        <w:tc>
          <w:tcPr>
            <w:tcW w:w="817" w:type="dxa"/>
            <w:vAlign w:val="center"/>
          </w:tcPr>
          <w:p w:rsidR="008E7230" w:rsidRDefault="00F5210A">
            <w:pPr>
              <w:jc w:val="center"/>
            </w:pPr>
            <w:r>
              <w:rPr>
                <w:rFonts w:eastAsiaTheme="minorEastAsia"/>
                <w:kern w:val="0"/>
                <w:sz w:val="24"/>
                <w:szCs w:val="24"/>
              </w:rPr>
              <w:t>7</w:t>
            </w:r>
          </w:p>
        </w:tc>
        <w:tc>
          <w:tcPr>
            <w:tcW w:w="1276" w:type="dxa"/>
            <w:vAlign w:val="center"/>
          </w:tcPr>
          <w:p w:rsidR="008E7230" w:rsidRDefault="00F5210A">
            <w:pPr>
              <w:jc w:val="center"/>
            </w:pPr>
            <w:r>
              <w:rPr>
                <w:rFonts w:eastAsiaTheme="minorEastAsia"/>
                <w:kern w:val="0"/>
                <w:sz w:val="24"/>
                <w:szCs w:val="24"/>
              </w:rPr>
              <w:t>000661</w:t>
            </w:r>
          </w:p>
        </w:tc>
        <w:tc>
          <w:tcPr>
            <w:tcW w:w="1701" w:type="dxa"/>
            <w:vAlign w:val="center"/>
          </w:tcPr>
          <w:p w:rsidR="008E7230" w:rsidRDefault="00F5210A">
            <w:pPr>
              <w:jc w:val="center"/>
            </w:pPr>
            <w:r>
              <w:rPr>
                <w:rFonts w:eastAsiaTheme="minorEastAsia"/>
                <w:kern w:val="0"/>
                <w:sz w:val="24"/>
                <w:szCs w:val="24"/>
              </w:rPr>
              <w:t>长春高新</w:t>
            </w:r>
          </w:p>
        </w:tc>
        <w:tc>
          <w:tcPr>
            <w:tcW w:w="1276" w:type="dxa"/>
            <w:vAlign w:val="center"/>
          </w:tcPr>
          <w:p w:rsidR="008E7230" w:rsidRDefault="00F5210A">
            <w:pPr>
              <w:jc w:val="right"/>
            </w:pPr>
            <w:r>
              <w:rPr>
                <w:rFonts w:eastAsiaTheme="minorEastAsia"/>
                <w:kern w:val="0"/>
                <w:sz w:val="24"/>
                <w:szCs w:val="24"/>
              </w:rPr>
              <w:t>75,195</w:t>
            </w:r>
          </w:p>
        </w:tc>
        <w:tc>
          <w:tcPr>
            <w:tcW w:w="1842" w:type="dxa"/>
            <w:vAlign w:val="center"/>
          </w:tcPr>
          <w:p w:rsidR="008E7230" w:rsidRDefault="00F5210A">
            <w:pPr>
              <w:jc w:val="right"/>
            </w:pPr>
            <w:r>
              <w:rPr>
                <w:rFonts w:eastAsiaTheme="minorEastAsia"/>
                <w:kern w:val="0"/>
                <w:sz w:val="24"/>
                <w:szCs w:val="24"/>
              </w:rPr>
              <w:t>29,100,465.00</w:t>
            </w:r>
          </w:p>
        </w:tc>
        <w:tc>
          <w:tcPr>
            <w:tcW w:w="1616" w:type="dxa"/>
            <w:vAlign w:val="center"/>
          </w:tcPr>
          <w:p w:rsidR="008E7230" w:rsidRDefault="00F5210A">
            <w:pPr>
              <w:jc w:val="right"/>
            </w:pPr>
            <w:r>
              <w:rPr>
                <w:rFonts w:eastAsiaTheme="minorEastAsia"/>
                <w:kern w:val="0"/>
                <w:sz w:val="24"/>
                <w:szCs w:val="24"/>
              </w:rPr>
              <w:t>3.71</w:t>
            </w:r>
          </w:p>
        </w:tc>
      </w:tr>
      <w:tr w:rsidR="008E7230">
        <w:tc>
          <w:tcPr>
            <w:tcW w:w="817" w:type="dxa"/>
            <w:vAlign w:val="center"/>
          </w:tcPr>
          <w:p w:rsidR="008E7230" w:rsidRDefault="00F5210A">
            <w:pPr>
              <w:jc w:val="center"/>
            </w:pPr>
            <w:r>
              <w:rPr>
                <w:rFonts w:eastAsiaTheme="minorEastAsia"/>
                <w:kern w:val="0"/>
                <w:sz w:val="24"/>
                <w:szCs w:val="24"/>
              </w:rPr>
              <w:t>8</w:t>
            </w:r>
          </w:p>
        </w:tc>
        <w:tc>
          <w:tcPr>
            <w:tcW w:w="1276" w:type="dxa"/>
            <w:vAlign w:val="center"/>
          </w:tcPr>
          <w:p w:rsidR="008E7230" w:rsidRDefault="00F5210A">
            <w:pPr>
              <w:jc w:val="center"/>
            </w:pPr>
            <w:r>
              <w:rPr>
                <w:rFonts w:eastAsiaTheme="minorEastAsia"/>
                <w:kern w:val="0"/>
                <w:sz w:val="24"/>
                <w:szCs w:val="24"/>
              </w:rPr>
              <w:t>603799</w:t>
            </w:r>
          </w:p>
        </w:tc>
        <w:tc>
          <w:tcPr>
            <w:tcW w:w="1701" w:type="dxa"/>
            <w:vAlign w:val="center"/>
          </w:tcPr>
          <w:p w:rsidR="008E7230" w:rsidRDefault="00F5210A">
            <w:pPr>
              <w:jc w:val="center"/>
            </w:pPr>
            <w:r>
              <w:rPr>
                <w:rFonts w:eastAsiaTheme="minorEastAsia"/>
                <w:kern w:val="0"/>
                <w:sz w:val="24"/>
                <w:szCs w:val="24"/>
              </w:rPr>
              <w:t>华友钴业</w:t>
            </w:r>
          </w:p>
        </w:tc>
        <w:tc>
          <w:tcPr>
            <w:tcW w:w="1276" w:type="dxa"/>
            <w:vAlign w:val="center"/>
          </w:tcPr>
          <w:p w:rsidR="008E7230" w:rsidRDefault="00F5210A">
            <w:pPr>
              <w:jc w:val="right"/>
            </w:pPr>
            <w:r>
              <w:rPr>
                <w:rFonts w:eastAsiaTheme="minorEastAsia"/>
                <w:kern w:val="0"/>
                <w:sz w:val="24"/>
                <w:szCs w:val="24"/>
              </w:rPr>
              <w:t>227,516</w:t>
            </w:r>
          </w:p>
        </w:tc>
        <w:tc>
          <w:tcPr>
            <w:tcW w:w="1842" w:type="dxa"/>
            <w:vAlign w:val="center"/>
          </w:tcPr>
          <w:p w:rsidR="008E7230" w:rsidRDefault="00F5210A">
            <w:pPr>
              <w:jc w:val="right"/>
            </w:pPr>
            <w:r>
              <w:rPr>
                <w:rFonts w:eastAsiaTheme="minorEastAsia"/>
                <w:kern w:val="0"/>
                <w:sz w:val="24"/>
                <w:szCs w:val="24"/>
              </w:rPr>
              <w:t>25,982,327.20</w:t>
            </w:r>
          </w:p>
        </w:tc>
        <w:tc>
          <w:tcPr>
            <w:tcW w:w="1616" w:type="dxa"/>
            <w:vAlign w:val="center"/>
          </w:tcPr>
          <w:p w:rsidR="008E7230" w:rsidRDefault="00F5210A">
            <w:pPr>
              <w:jc w:val="right"/>
            </w:pPr>
            <w:r>
              <w:rPr>
                <w:rFonts w:eastAsiaTheme="minorEastAsia"/>
                <w:kern w:val="0"/>
                <w:sz w:val="24"/>
                <w:szCs w:val="24"/>
              </w:rPr>
              <w:t>3.31</w:t>
            </w:r>
          </w:p>
        </w:tc>
      </w:tr>
      <w:tr w:rsidR="008E7230">
        <w:tc>
          <w:tcPr>
            <w:tcW w:w="817" w:type="dxa"/>
            <w:vAlign w:val="center"/>
          </w:tcPr>
          <w:p w:rsidR="008E7230" w:rsidRDefault="00F5210A">
            <w:pPr>
              <w:jc w:val="center"/>
            </w:pPr>
            <w:r>
              <w:rPr>
                <w:rFonts w:eastAsiaTheme="minorEastAsia"/>
                <w:kern w:val="0"/>
                <w:sz w:val="24"/>
                <w:szCs w:val="24"/>
              </w:rPr>
              <w:t>9</w:t>
            </w:r>
          </w:p>
        </w:tc>
        <w:tc>
          <w:tcPr>
            <w:tcW w:w="1276" w:type="dxa"/>
            <w:vAlign w:val="center"/>
          </w:tcPr>
          <w:p w:rsidR="008E7230" w:rsidRDefault="00F5210A">
            <w:pPr>
              <w:jc w:val="center"/>
            </w:pPr>
            <w:r>
              <w:rPr>
                <w:rFonts w:eastAsiaTheme="minorEastAsia"/>
                <w:kern w:val="0"/>
                <w:sz w:val="24"/>
                <w:szCs w:val="24"/>
              </w:rPr>
              <w:t>600809</w:t>
            </w:r>
          </w:p>
        </w:tc>
        <w:tc>
          <w:tcPr>
            <w:tcW w:w="1701" w:type="dxa"/>
            <w:vAlign w:val="center"/>
          </w:tcPr>
          <w:p w:rsidR="008E7230" w:rsidRDefault="00F5210A">
            <w:pPr>
              <w:jc w:val="center"/>
            </w:pPr>
            <w:r>
              <w:rPr>
                <w:rFonts w:eastAsiaTheme="minorEastAsia"/>
                <w:kern w:val="0"/>
                <w:sz w:val="24"/>
                <w:szCs w:val="24"/>
              </w:rPr>
              <w:t>山西汾酒</w:t>
            </w:r>
          </w:p>
        </w:tc>
        <w:tc>
          <w:tcPr>
            <w:tcW w:w="1276" w:type="dxa"/>
            <w:vAlign w:val="center"/>
          </w:tcPr>
          <w:p w:rsidR="008E7230" w:rsidRDefault="00F5210A">
            <w:pPr>
              <w:jc w:val="right"/>
            </w:pPr>
            <w:r>
              <w:rPr>
                <w:rFonts w:eastAsiaTheme="minorEastAsia"/>
                <w:kern w:val="0"/>
                <w:sz w:val="24"/>
                <w:szCs w:val="24"/>
              </w:rPr>
              <w:t>48,487</w:t>
            </w:r>
          </w:p>
        </w:tc>
        <w:tc>
          <w:tcPr>
            <w:tcW w:w="1842" w:type="dxa"/>
            <w:vAlign w:val="center"/>
          </w:tcPr>
          <w:p w:rsidR="008E7230" w:rsidRDefault="00F5210A">
            <w:pPr>
              <w:jc w:val="right"/>
            </w:pPr>
            <w:r>
              <w:rPr>
                <w:rFonts w:eastAsiaTheme="minorEastAsia"/>
                <w:kern w:val="0"/>
                <w:sz w:val="24"/>
                <w:szCs w:val="24"/>
              </w:rPr>
              <w:t>21,722,176.00</w:t>
            </w:r>
          </w:p>
        </w:tc>
        <w:tc>
          <w:tcPr>
            <w:tcW w:w="1616" w:type="dxa"/>
            <w:vAlign w:val="center"/>
          </w:tcPr>
          <w:p w:rsidR="008E7230" w:rsidRDefault="00F5210A">
            <w:pPr>
              <w:jc w:val="right"/>
            </w:pPr>
            <w:r>
              <w:rPr>
                <w:rFonts w:eastAsiaTheme="minorEastAsia"/>
                <w:kern w:val="0"/>
                <w:sz w:val="24"/>
                <w:szCs w:val="24"/>
              </w:rPr>
              <w:t>2.77</w:t>
            </w:r>
          </w:p>
        </w:tc>
      </w:tr>
      <w:tr w:rsidR="008E7230">
        <w:tc>
          <w:tcPr>
            <w:tcW w:w="817" w:type="dxa"/>
            <w:vAlign w:val="center"/>
          </w:tcPr>
          <w:p w:rsidR="008E7230" w:rsidRDefault="00F5210A">
            <w:pPr>
              <w:jc w:val="center"/>
            </w:pPr>
            <w:r>
              <w:rPr>
                <w:rFonts w:eastAsiaTheme="minorEastAsia"/>
                <w:kern w:val="0"/>
                <w:sz w:val="24"/>
                <w:szCs w:val="24"/>
              </w:rPr>
              <w:t>10</w:t>
            </w:r>
          </w:p>
        </w:tc>
        <w:tc>
          <w:tcPr>
            <w:tcW w:w="1276" w:type="dxa"/>
            <w:vAlign w:val="center"/>
          </w:tcPr>
          <w:p w:rsidR="008E7230" w:rsidRDefault="00F5210A">
            <w:pPr>
              <w:jc w:val="center"/>
            </w:pPr>
            <w:r>
              <w:rPr>
                <w:rFonts w:eastAsiaTheme="minorEastAsia"/>
                <w:kern w:val="0"/>
                <w:sz w:val="24"/>
                <w:szCs w:val="24"/>
              </w:rPr>
              <w:t>300724</w:t>
            </w:r>
          </w:p>
        </w:tc>
        <w:tc>
          <w:tcPr>
            <w:tcW w:w="1701" w:type="dxa"/>
            <w:vAlign w:val="center"/>
          </w:tcPr>
          <w:p w:rsidR="008E7230" w:rsidRDefault="00F5210A">
            <w:pPr>
              <w:jc w:val="center"/>
            </w:pPr>
            <w:r>
              <w:rPr>
                <w:rFonts w:eastAsiaTheme="minorEastAsia"/>
                <w:kern w:val="0"/>
                <w:sz w:val="24"/>
                <w:szCs w:val="24"/>
              </w:rPr>
              <w:t>捷佳伟创</w:t>
            </w:r>
          </w:p>
        </w:tc>
        <w:tc>
          <w:tcPr>
            <w:tcW w:w="1276" w:type="dxa"/>
            <w:vAlign w:val="center"/>
          </w:tcPr>
          <w:p w:rsidR="008E7230" w:rsidRDefault="00F5210A">
            <w:pPr>
              <w:jc w:val="right"/>
            </w:pPr>
            <w:r>
              <w:rPr>
                <w:rFonts w:eastAsiaTheme="minorEastAsia"/>
                <w:kern w:val="0"/>
                <w:sz w:val="24"/>
                <w:szCs w:val="24"/>
              </w:rPr>
              <w:t>186,300</w:t>
            </w:r>
          </w:p>
        </w:tc>
        <w:tc>
          <w:tcPr>
            <w:tcW w:w="1842" w:type="dxa"/>
            <w:vAlign w:val="center"/>
          </w:tcPr>
          <w:p w:rsidR="008E7230" w:rsidRDefault="00F5210A">
            <w:pPr>
              <w:jc w:val="right"/>
            </w:pPr>
            <w:r>
              <w:rPr>
                <w:rFonts w:eastAsiaTheme="minorEastAsia"/>
                <w:kern w:val="0"/>
                <w:sz w:val="24"/>
                <w:szCs w:val="24"/>
              </w:rPr>
              <w:t>21,612,663.00</w:t>
            </w:r>
          </w:p>
        </w:tc>
        <w:tc>
          <w:tcPr>
            <w:tcW w:w="1616" w:type="dxa"/>
            <w:vAlign w:val="center"/>
          </w:tcPr>
          <w:p w:rsidR="008E7230" w:rsidRDefault="00F5210A">
            <w:pPr>
              <w:jc w:val="right"/>
            </w:pPr>
            <w:r>
              <w:rPr>
                <w:rFonts w:eastAsiaTheme="minorEastAsia"/>
                <w:kern w:val="0"/>
                <w:sz w:val="24"/>
                <w:szCs w:val="24"/>
              </w:rPr>
              <w:t>2.75</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lastRenderedPageBreak/>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238,843.74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2,888,496.69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9,644.19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89,888.24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3,226,872.86</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因四舍五入的原因，投资组合报告中分项之和与合计数可能存在尾差。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194,060,537.00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6,400,692.98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15,102,771.54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185,358,458.44</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中国证监会批准上投摩根中小盘混合型证券投资基金设立的文件；</w:t>
      </w:r>
      <w:r>
        <w:rPr>
          <w:rFonts w:eastAsiaTheme="minorEastAsia"/>
          <w:color w:val="000000" w:themeColor="text1"/>
        </w:rPr>
        <w:t xml:space="preserve"> </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《上投摩根中小盘混合型证券投资基金基金合同》；</w:t>
      </w:r>
      <w:r>
        <w:rPr>
          <w:rFonts w:eastAsiaTheme="minorEastAsia"/>
          <w:color w:val="000000" w:themeColor="text1"/>
        </w:rPr>
        <w:t xml:space="preserve"> </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《上投摩根中小盘混合型证券投资基金基金托管协议》；</w:t>
      </w:r>
      <w:r>
        <w:rPr>
          <w:rFonts w:eastAsiaTheme="minorEastAsia"/>
          <w:color w:val="000000" w:themeColor="text1"/>
        </w:rPr>
        <w:t xml:space="preserve"> </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《上投摩根基金管理有限公司开放式基金业务规则》；</w:t>
      </w:r>
      <w:r>
        <w:rPr>
          <w:rFonts w:eastAsiaTheme="minorEastAsia"/>
          <w:color w:val="000000" w:themeColor="text1"/>
        </w:rPr>
        <w:t xml:space="preserve"> </w:t>
      </w:r>
    </w:p>
    <w:p w:rsidR="008E7230" w:rsidRDefault="00F5210A">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r>
        <w:rPr>
          <w:rFonts w:eastAsiaTheme="minorEastAsia"/>
          <w:color w:val="000000" w:themeColor="text1"/>
        </w:rPr>
        <w:t xml:space="preserve"> </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4436A4" w:rsidRPr="004436A4">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4436A4">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上投摩根中小盘混合型证券投资基金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436A4"/>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E7230"/>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210A"/>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EBA470-39F3-4763-BE2A-9F588240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269</cp:revision>
  <dcterms:created xsi:type="dcterms:W3CDTF">2012-10-16T06:07:00Z</dcterms:created>
  <dcterms:modified xsi:type="dcterms:W3CDTF">2021-07-20T03:13:00Z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