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摩根中小盘混合型证券投资基金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摩根中小盘混合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379010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2009</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176,050,213.72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本基金重点投资于中国</w:t>
            </w:r>
            <w:r w:rsidRPr="00B27A29">
              <w:rPr>
                <w:rFonts w:eastAsiaTheme="minorEastAsia"/>
                <w:color w:val="000000" w:themeColor="text1"/>
                <w:kern w:val="0"/>
                <w:szCs w:val="21"/>
              </w:rPr>
              <w:t>A</w:t>
            </w:r>
            <w:r w:rsidRPr="00B27A29">
              <w:rPr>
                <w:rFonts w:eastAsiaTheme="minorEastAsia"/>
                <w:color w:val="000000" w:themeColor="text1"/>
                <w:kern w:val="0"/>
                <w:szCs w:val="21"/>
              </w:rPr>
              <w:t>股市场上的中小盘股票，通过缜密的资产配置原则和严格的行业个股选择，分享中国经济高速增长给优势中小市值上市公司带来的机遇，并积极运用战略和战术资产配置策略，动态优化投资组合，力求实现基金资产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01AD3" w:rsidRDefault="00A133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本基金充分借鉴摩根资产管理集团全球行之有效的投资理念和技术，运用</w:t>
            </w:r>
            <w:r>
              <w:rPr>
                <w:rFonts w:eastAsiaTheme="minorEastAsia"/>
                <w:color w:val="000000" w:themeColor="text1"/>
                <w:kern w:val="0"/>
                <w:szCs w:val="21"/>
              </w:rPr>
              <w:t xml:space="preserve"> “</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精选个股与</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资产配置相结合的投资策略，重点投资于具有行业优势、公司优势和估值优势的中小市值上市公司股票。同时结合市场</w:t>
            </w:r>
            <w:r>
              <w:rPr>
                <w:rFonts w:eastAsiaTheme="minorEastAsia"/>
                <w:color w:val="000000" w:themeColor="text1"/>
                <w:kern w:val="0"/>
                <w:szCs w:val="21"/>
              </w:rPr>
              <w:lastRenderedPageBreak/>
              <w:t>研判，对相关资产类别的预期收益进行监控，动态调整股票、债券等大类资产配置。</w:t>
            </w:r>
          </w:p>
          <w:p w:rsidR="00101AD3" w:rsidRDefault="00A133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101AD3" w:rsidRDefault="00A133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中国经济是新兴的市场经济体，处于内需不断增长的过程中。对于那些具有领先优势的中小市值公司来说，往往能够获得跳跃式的发展速度和巨大的成长空间。本基金主要采用以下三层模式，挖掘并投资于具有合理商业模式和核心竞争能力及巨大发展潜力的中小市值上市公司。</w:t>
            </w:r>
          </w:p>
          <w:p w:rsidR="00101AD3" w:rsidRDefault="00A133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、资产配置策略</w:t>
            </w:r>
          </w:p>
          <w:p w:rsidR="00101AD3" w:rsidRDefault="00A133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资产配置层面包括类别资产配置和行业资产配置，本基金不仅在股票、债券和现金三大资产类别间实施策略性调控，也通过对区域</w:t>
            </w:r>
            <w:r>
              <w:rPr>
                <w:rFonts w:eastAsiaTheme="minorEastAsia"/>
                <w:color w:val="000000" w:themeColor="text1"/>
                <w:kern w:val="0"/>
                <w:szCs w:val="21"/>
              </w:rPr>
              <w:t>/</w:t>
            </w:r>
            <w:r>
              <w:rPr>
                <w:rFonts w:eastAsiaTheme="minorEastAsia"/>
                <w:color w:val="000000" w:themeColor="text1"/>
                <w:kern w:val="0"/>
                <w:szCs w:val="21"/>
              </w:rPr>
              <w:t>行业效应进行评估后，确定行业资产配置权重。</w:t>
            </w:r>
          </w:p>
          <w:p w:rsidR="00101AD3" w:rsidRDefault="00A133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101AD3" w:rsidRDefault="00A133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配置防御性资产是控制基金组合风险的策略性手段。对于债券资产的选择，本基金将以价值分析为主线，在综合研究的基础上实施积极主动的组合投资，并主要通过类属配置与债券选择两个层次进行投资管理。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、其他投资策略：包括可转换债券投资策略、权证投资策略、存托凭证投资策略等。</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40%×</w:t>
            </w:r>
            <w:r w:rsidRPr="00B27A29">
              <w:rPr>
                <w:rFonts w:eastAsiaTheme="minorEastAsia"/>
                <w:color w:val="000000" w:themeColor="text1"/>
                <w:kern w:val="0"/>
                <w:szCs w:val="21"/>
              </w:rPr>
              <w:t>天相中盘指数收益率</w:t>
            </w:r>
            <w:r w:rsidRPr="00B27A29">
              <w:rPr>
                <w:rFonts w:eastAsiaTheme="minorEastAsia"/>
                <w:color w:val="000000" w:themeColor="text1"/>
                <w:kern w:val="0"/>
                <w:szCs w:val="21"/>
              </w:rPr>
              <w:t>+40%×</w:t>
            </w:r>
            <w:r w:rsidRPr="00B27A29">
              <w:rPr>
                <w:rFonts w:eastAsiaTheme="minorEastAsia"/>
                <w:color w:val="000000" w:themeColor="text1"/>
                <w:kern w:val="0"/>
                <w:szCs w:val="21"/>
              </w:rPr>
              <w:t>天相小盘指数收益率</w:t>
            </w:r>
            <w:r w:rsidRPr="00B27A29">
              <w:rPr>
                <w:rFonts w:eastAsiaTheme="minorEastAsia"/>
                <w:color w:val="000000" w:themeColor="text1"/>
                <w:kern w:val="0"/>
                <w:szCs w:val="21"/>
              </w:rPr>
              <w:t>+ 20%×</w:t>
            </w:r>
            <w:r w:rsidRPr="00B27A29">
              <w:rPr>
                <w:rFonts w:eastAsiaTheme="minorEastAsia"/>
                <w:color w:val="000000" w:themeColor="text1"/>
                <w:kern w:val="0"/>
                <w:szCs w:val="21"/>
              </w:rPr>
              <w:t>上证国债指数收益率</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101AD3" w:rsidRDefault="00A133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本基金是混合型基金，预期收益及预期风险水平低于股票型基金，高于债券型基金和货币市场基金，属于较高预期收益和预期风险水平的投资品种。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w:t>
            </w:r>
            <w:r w:rsidRPr="00B27A29">
              <w:rPr>
                <w:rFonts w:eastAsiaTheme="minorEastAsia"/>
                <w:color w:val="000000" w:themeColor="text1"/>
                <w:kern w:val="0"/>
                <w:szCs w:val="21"/>
              </w:rPr>
              <w:lastRenderedPageBreak/>
              <w:t>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379010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175,866,227.29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183,986.43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-68,394,424.74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-74,153.77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-20,682,922.37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-23,856.76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-0.1177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-0.1295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354,420,145.45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368,454.11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2.0153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2.0026</w:t>
            </w:r>
          </w:p>
        </w:tc>
      </w:tr>
    </w:tbl>
    <w:p w:rsidR="00101AD3" w:rsidRDefault="00A1339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摩根中小盘混合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01AD3">
        <w:tc>
          <w:tcPr>
            <w:tcW w:w="1290" w:type="dxa"/>
            <w:vAlign w:val="center"/>
          </w:tcPr>
          <w:p w:rsidR="00101AD3" w:rsidRDefault="00A1339C">
            <w:pPr>
              <w:jc w:val="left"/>
            </w:pPr>
            <w:r>
              <w:rPr>
                <w:rFonts w:eastAsiaTheme="minorEastAsia"/>
                <w:color w:val="000000" w:themeColor="text1"/>
                <w:szCs w:val="21"/>
              </w:rPr>
              <w:t>过去三个月</w:t>
            </w:r>
          </w:p>
        </w:tc>
        <w:tc>
          <w:tcPr>
            <w:tcW w:w="1291" w:type="dxa"/>
            <w:vAlign w:val="center"/>
          </w:tcPr>
          <w:p w:rsidR="00101AD3" w:rsidRDefault="00A1339C">
            <w:pPr>
              <w:jc w:val="right"/>
            </w:pPr>
            <w:r>
              <w:rPr>
                <w:rFonts w:eastAsiaTheme="minorEastAsia"/>
                <w:color w:val="000000" w:themeColor="text1"/>
                <w:szCs w:val="21"/>
              </w:rPr>
              <w:t>-5.51%</w:t>
            </w:r>
          </w:p>
        </w:tc>
        <w:tc>
          <w:tcPr>
            <w:tcW w:w="1291" w:type="dxa"/>
            <w:vAlign w:val="center"/>
          </w:tcPr>
          <w:p w:rsidR="00101AD3" w:rsidRDefault="00A1339C">
            <w:pPr>
              <w:jc w:val="right"/>
            </w:pPr>
            <w:r>
              <w:rPr>
                <w:rFonts w:eastAsiaTheme="minorEastAsia"/>
                <w:color w:val="000000" w:themeColor="text1"/>
                <w:szCs w:val="21"/>
              </w:rPr>
              <w:t>1.34%</w:t>
            </w:r>
          </w:p>
        </w:tc>
        <w:tc>
          <w:tcPr>
            <w:tcW w:w="1291" w:type="dxa"/>
            <w:vAlign w:val="center"/>
          </w:tcPr>
          <w:p w:rsidR="00101AD3" w:rsidRDefault="00A1339C">
            <w:pPr>
              <w:jc w:val="right"/>
            </w:pPr>
            <w:r>
              <w:rPr>
                <w:rFonts w:eastAsiaTheme="minorEastAsia"/>
                <w:color w:val="000000" w:themeColor="text1"/>
                <w:szCs w:val="21"/>
              </w:rPr>
              <w:t>-2.47%</w:t>
            </w:r>
          </w:p>
        </w:tc>
        <w:tc>
          <w:tcPr>
            <w:tcW w:w="1291" w:type="dxa"/>
            <w:vAlign w:val="center"/>
          </w:tcPr>
          <w:p w:rsidR="00101AD3" w:rsidRDefault="00A1339C" w:rsidP="009950F2">
            <w:pPr>
              <w:jc w:val="right"/>
            </w:pPr>
            <w:r>
              <w:rPr>
                <w:rFonts w:eastAsiaTheme="minorEastAsia"/>
                <w:color w:val="000000" w:themeColor="text1"/>
                <w:szCs w:val="21"/>
              </w:rPr>
              <w:t>0.</w:t>
            </w:r>
            <w:r w:rsidR="009950F2">
              <w:rPr>
                <w:rFonts w:eastAsiaTheme="minorEastAsia"/>
                <w:color w:val="000000" w:themeColor="text1"/>
                <w:szCs w:val="21"/>
              </w:rPr>
              <w:t>71</w:t>
            </w:r>
            <w:r>
              <w:rPr>
                <w:rFonts w:eastAsiaTheme="minorEastAsia"/>
                <w:color w:val="000000" w:themeColor="text1"/>
                <w:szCs w:val="21"/>
              </w:rPr>
              <w:t>%</w:t>
            </w:r>
          </w:p>
        </w:tc>
        <w:tc>
          <w:tcPr>
            <w:tcW w:w="1291" w:type="dxa"/>
            <w:vAlign w:val="center"/>
          </w:tcPr>
          <w:p w:rsidR="00101AD3" w:rsidRDefault="00A1339C">
            <w:pPr>
              <w:jc w:val="right"/>
            </w:pPr>
            <w:r>
              <w:rPr>
                <w:rFonts w:eastAsiaTheme="minorEastAsia"/>
                <w:color w:val="000000" w:themeColor="text1"/>
                <w:szCs w:val="21"/>
              </w:rPr>
              <w:t>-3.04%</w:t>
            </w:r>
          </w:p>
        </w:tc>
        <w:tc>
          <w:tcPr>
            <w:tcW w:w="1291" w:type="dxa"/>
            <w:vAlign w:val="center"/>
          </w:tcPr>
          <w:p w:rsidR="00101AD3" w:rsidRDefault="00A1339C" w:rsidP="009950F2">
            <w:pPr>
              <w:jc w:val="right"/>
            </w:pPr>
            <w:r>
              <w:rPr>
                <w:rFonts w:eastAsiaTheme="minorEastAsia"/>
                <w:color w:val="000000" w:themeColor="text1"/>
                <w:szCs w:val="21"/>
              </w:rPr>
              <w:t>0.</w:t>
            </w:r>
            <w:r w:rsidR="009950F2">
              <w:rPr>
                <w:rFonts w:eastAsiaTheme="minorEastAsia"/>
                <w:color w:val="000000" w:themeColor="text1"/>
                <w:szCs w:val="21"/>
              </w:rPr>
              <w:t>63</w:t>
            </w:r>
            <w:r>
              <w:rPr>
                <w:rFonts w:eastAsiaTheme="minorEastAsia"/>
                <w:color w:val="000000" w:themeColor="text1"/>
                <w:szCs w:val="21"/>
              </w:rPr>
              <w:t>%</w:t>
            </w:r>
          </w:p>
        </w:tc>
      </w:tr>
      <w:tr w:rsidR="00101AD3">
        <w:tc>
          <w:tcPr>
            <w:tcW w:w="1290" w:type="dxa"/>
            <w:vAlign w:val="center"/>
          </w:tcPr>
          <w:p w:rsidR="00101AD3" w:rsidRDefault="00A1339C">
            <w:pPr>
              <w:jc w:val="left"/>
            </w:pPr>
            <w:r>
              <w:rPr>
                <w:rFonts w:eastAsiaTheme="minorEastAsia"/>
                <w:color w:val="000000" w:themeColor="text1"/>
                <w:szCs w:val="21"/>
              </w:rPr>
              <w:t>过去六个月</w:t>
            </w:r>
          </w:p>
        </w:tc>
        <w:tc>
          <w:tcPr>
            <w:tcW w:w="1291" w:type="dxa"/>
            <w:vAlign w:val="center"/>
          </w:tcPr>
          <w:p w:rsidR="00101AD3" w:rsidRDefault="00A1339C">
            <w:pPr>
              <w:jc w:val="right"/>
            </w:pPr>
            <w:r>
              <w:rPr>
                <w:rFonts w:eastAsiaTheme="minorEastAsia"/>
                <w:color w:val="000000" w:themeColor="text1"/>
                <w:szCs w:val="21"/>
              </w:rPr>
              <w:t>-23.88%</w:t>
            </w:r>
          </w:p>
        </w:tc>
        <w:tc>
          <w:tcPr>
            <w:tcW w:w="1291" w:type="dxa"/>
            <w:vAlign w:val="center"/>
          </w:tcPr>
          <w:p w:rsidR="00101AD3" w:rsidRDefault="00A1339C">
            <w:pPr>
              <w:jc w:val="right"/>
            </w:pPr>
            <w:r>
              <w:rPr>
                <w:rFonts w:eastAsiaTheme="minorEastAsia"/>
                <w:color w:val="000000" w:themeColor="text1"/>
                <w:szCs w:val="21"/>
              </w:rPr>
              <w:t>1.69%</w:t>
            </w:r>
          </w:p>
        </w:tc>
        <w:tc>
          <w:tcPr>
            <w:tcW w:w="1291" w:type="dxa"/>
            <w:vAlign w:val="center"/>
          </w:tcPr>
          <w:p w:rsidR="00101AD3" w:rsidRDefault="00A1339C">
            <w:pPr>
              <w:jc w:val="right"/>
            </w:pPr>
            <w:r>
              <w:rPr>
                <w:rFonts w:eastAsiaTheme="minorEastAsia"/>
                <w:color w:val="000000" w:themeColor="text1"/>
                <w:szCs w:val="21"/>
              </w:rPr>
              <w:t>-7.25%</w:t>
            </w:r>
          </w:p>
        </w:tc>
        <w:tc>
          <w:tcPr>
            <w:tcW w:w="1291" w:type="dxa"/>
            <w:vAlign w:val="center"/>
          </w:tcPr>
          <w:p w:rsidR="00101AD3" w:rsidRDefault="00A1339C" w:rsidP="009950F2">
            <w:pPr>
              <w:jc w:val="right"/>
            </w:pPr>
            <w:r>
              <w:rPr>
                <w:rFonts w:eastAsiaTheme="minorEastAsia"/>
                <w:color w:val="000000" w:themeColor="text1"/>
                <w:szCs w:val="21"/>
              </w:rPr>
              <w:t>0.</w:t>
            </w:r>
            <w:r w:rsidR="009950F2">
              <w:rPr>
                <w:rFonts w:eastAsiaTheme="minorEastAsia"/>
                <w:color w:val="000000" w:themeColor="text1"/>
                <w:szCs w:val="21"/>
              </w:rPr>
              <w:t>70</w:t>
            </w:r>
            <w:r>
              <w:rPr>
                <w:rFonts w:eastAsiaTheme="minorEastAsia"/>
                <w:color w:val="000000" w:themeColor="text1"/>
                <w:szCs w:val="21"/>
              </w:rPr>
              <w:t>%</w:t>
            </w:r>
          </w:p>
        </w:tc>
        <w:tc>
          <w:tcPr>
            <w:tcW w:w="1291" w:type="dxa"/>
            <w:vAlign w:val="center"/>
          </w:tcPr>
          <w:p w:rsidR="00101AD3" w:rsidRDefault="00A1339C">
            <w:pPr>
              <w:jc w:val="right"/>
            </w:pPr>
            <w:r>
              <w:rPr>
                <w:rFonts w:eastAsiaTheme="minorEastAsia"/>
                <w:color w:val="000000" w:themeColor="text1"/>
                <w:szCs w:val="21"/>
              </w:rPr>
              <w:t>-16.63%</w:t>
            </w:r>
          </w:p>
        </w:tc>
        <w:tc>
          <w:tcPr>
            <w:tcW w:w="1291" w:type="dxa"/>
            <w:vAlign w:val="center"/>
          </w:tcPr>
          <w:p w:rsidR="00101AD3" w:rsidRDefault="00A1339C" w:rsidP="009950F2">
            <w:pPr>
              <w:jc w:val="right"/>
            </w:pPr>
            <w:r>
              <w:rPr>
                <w:rFonts w:eastAsiaTheme="minorEastAsia"/>
                <w:color w:val="000000" w:themeColor="text1"/>
                <w:szCs w:val="21"/>
              </w:rPr>
              <w:t>0.</w:t>
            </w:r>
            <w:r w:rsidR="009950F2">
              <w:rPr>
                <w:rFonts w:eastAsiaTheme="minorEastAsia"/>
                <w:color w:val="000000" w:themeColor="text1"/>
                <w:szCs w:val="21"/>
              </w:rPr>
              <w:t>99</w:t>
            </w:r>
            <w:r>
              <w:rPr>
                <w:rFonts w:eastAsiaTheme="minorEastAsia"/>
                <w:color w:val="000000" w:themeColor="text1"/>
                <w:szCs w:val="21"/>
              </w:rPr>
              <w:t>%</w:t>
            </w:r>
          </w:p>
        </w:tc>
      </w:tr>
      <w:tr w:rsidR="00101AD3">
        <w:tc>
          <w:tcPr>
            <w:tcW w:w="1290" w:type="dxa"/>
            <w:vAlign w:val="center"/>
          </w:tcPr>
          <w:p w:rsidR="00101AD3" w:rsidRDefault="00A1339C">
            <w:pPr>
              <w:jc w:val="left"/>
            </w:pPr>
            <w:r>
              <w:rPr>
                <w:rFonts w:eastAsiaTheme="minorEastAsia"/>
                <w:color w:val="000000" w:themeColor="text1"/>
                <w:szCs w:val="21"/>
              </w:rPr>
              <w:t>过去一年</w:t>
            </w:r>
          </w:p>
        </w:tc>
        <w:tc>
          <w:tcPr>
            <w:tcW w:w="1291" w:type="dxa"/>
            <w:vAlign w:val="center"/>
          </w:tcPr>
          <w:p w:rsidR="00101AD3" w:rsidRDefault="00A1339C">
            <w:pPr>
              <w:jc w:val="right"/>
            </w:pPr>
            <w:r>
              <w:rPr>
                <w:rFonts w:eastAsiaTheme="minorEastAsia"/>
                <w:color w:val="000000" w:themeColor="text1"/>
                <w:szCs w:val="21"/>
              </w:rPr>
              <w:t>-19.39%</w:t>
            </w:r>
          </w:p>
        </w:tc>
        <w:tc>
          <w:tcPr>
            <w:tcW w:w="1291" w:type="dxa"/>
            <w:vAlign w:val="center"/>
          </w:tcPr>
          <w:p w:rsidR="00101AD3" w:rsidRDefault="00A1339C">
            <w:pPr>
              <w:jc w:val="right"/>
            </w:pPr>
            <w:r>
              <w:rPr>
                <w:rFonts w:eastAsiaTheme="minorEastAsia"/>
                <w:color w:val="000000" w:themeColor="text1"/>
                <w:szCs w:val="21"/>
              </w:rPr>
              <w:t>1.73%</w:t>
            </w:r>
          </w:p>
        </w:tc>
        <w:tc>
          <w:tcPr>
            <w:tcW w:w="1291" w:type="dxa"/>
            <w:vAlign w:val="center"/>
          </w:tcPr>
          <w:p w:rsidR="00101AD3" w:rsidRDefault="00A1339C">
            <w:pPr>
              <w:jc w:val="right"/>
            </w:pPr>
            <w:r>
              <w:rPr>
                <w:rFonts w:eastAsiaTheme="minorEastAsia"/>
                <w:color w:val="000000" w:themeColor="text1"/>
                <w:szCs w:val="21"/>
              </w:rPr>
              <w:t>-3.84%</w:t>
            </w:r>
          </w:p>
        </w:tc>
        <w:tc>
          <w:tcPr>
            <w:tcW w:w="1291" w:type="dxa"/>
            <w:vAlign w:val="center"/>
          </w:tcPr>
          <w:p w:rsidR="00101AD3" w:rsidRDefault="00A1339C" w:rsidP="009950F2">
            <w:pPr>
              <w:jc w:val="right"/>
            </w:pPr>
            <w:r>
              <w:rPr>
                <w:rFonts w:eastAsiaTheme="minorEastAsia"/>
                <w:color w:val="000000" w:themeColor="text1"/>
                <w:szCs w:val="21"/>
              </w:rPr>
              <w:t>0.</w:t>
            </w:r>
            <w:r w:rsidR="009950F2">
              <w:rPr>
                <w:rFonts w:eastAsiaTheme="minorEastAsia"/>
                <w:color w:val="000000" w:themeColor="text1"/>
                <w:szCs w:val="21"/>
              </w:rPr>
              <w:t>68</w:t>
            </w:r>
            <w:r>
              <w:rPr>
                <w:rFonts w:eastAsiaTheme="minorEastAsia"/>
                <w:color w:val="000000" w:themeColor="text1"/>
                <w:szCs w:val="21"/>
              </w:rPr>
              <w:t>%</w:t>
            </w:r>
          </w:p>
        </w:tc>
        <w:tc>
          <w:tcPr>
            <w:tcW w:w="1291" w:type="dxa"/>
            <w:vAlign w:val="center"/>
          </w:tcPr>
          <w:p w:rsidR="00101AD3" w:rsidRDefault="00A1339C">
            <w:pPr>
              <w:jc w:val="right"/>
            </w:pPr>
            <w:r>
              <w:rPr>
                <w:rFonts w:eastAsiaTheme="minorEastAsia"/>
                <w:color w:val="000000" w:themeColor="text1"/>
                <w:szCs w:val="21"/>
              </w:rPr>
              <w:t>-15.55%</w:t>
            </w:r>
          </w:p>
        </w:tc>
        <w:tc>
          <w:tcPr>
            <w:tcW w:w="1291" w:type="dxa"/>
            <w:vAlign w:val="center"/>
          </w:tcPr>
          <w:p w:rsidR="00101AD3" w:rsidRDefault="00A1339C" w:rsidP="009950F2">
            <w:pPr>
              <w:jc w:val="right"/>
            </w:pPr>
            <w:r>
              <w:rPr>
                <w:rFonts w:eastAsiaTheme="minorEastAsia"/>
                <w:color w:val="000000" w:themeColor="text1"/>
                <w:szCs w:val="21"/>
              </w:rPr>
              <w:t>1.</w:t>
            </w:r>
            <w:r w:rsidR="009950F2">
              <w:rPr>
                <w:rFonts w:eastAsiaTheme="minorEastAsia"/>
                <w:color w:val="000000" w:themeColor="text1"/>
                <w:szCs w:val="21"/>
              </w:rPr>
              <w:t>05</w:t>
            </w:r>
            <w:r>
              <w:rPr>
                <w:rFonts w:eastAsiaTheme="minorEastAsia"/>
                <w:color w:val="000000" w:themeColor="text1"/>
                <w:szCs w:val="21"/>
              </w:rPr>
              <w:t>%</w:t>
            </w:r>
          </w:p>
        </w:tc>
      </w:tr>
      <w:tr w:rsidR="00101AD3">
        <w:tc>
          <w:tcPr>
            <w:tcW w:w="1290" w:type="dxa"/>
            <w:vAlign w:val="center"/>
          </w:tcPr>
          <w:p w:rsidR="00101AD3" w:rsidRDefault="00A1339C">
            <w:pPr>
              <w:jc w:val="left"/>
            </w:pPr>
            <w:r>
              <w:rPr>
                <w:rFonts w:eastAsiaTheme="minorEastAsia"/>
                <w:color w:val="000000" w:themeColor="text1"/>
                <w:szCs w:val="21"/>
              </w:rPr>
              <w:t>过去三年</w:t>
            </w:r>
          </w:p>
        </w:tc>
        <w:tc>
          <w:tcPr>
            <w:tcW w:w="1291" w:type="dxa"/>
            <w:vAlign w:val="center"/>
          </w:tcPr>
          <w:p w:rsidR="00101AD3" w:rsidRDefault="00A1339C">
            <w:pPr>
              <w:jc w:val="right"/>
            </w:pPr>
            <w:r>
              <w:rPr>
                <w:rFonts w:eastAsiaTheme="minorEastAsia"/>
                <w:color w:val="000000" w:themeColor="text1"/>
                <w:szCs w:val="21"/>
              </w:rPr>
              <w:t>-47.07%</w:t>
            </w:r>
          </w:p>
        </w:tc>
        <w:tc>
          <w:tcPr>
            <w:tcW w:w="1291" w:type="dxa"/>
            <w:vAlign w:val="center"/>
          </w:tcPr>
          <w:p w:rsidR="00101AD3" w:rsidRDefault="00A1339C">
            <w:pPr>
              <w:jc w:val="right"/>
            </w:pPr>
            <w:r>
              <w:rPr>
                <w:rFonts w:eastAsiaTheme="minorEastAsia"/>
                <w:color w:val="000000" w:themeColor="text1"/>
                <w:szCs w:val="21"/>
              </w:rPr>
              <w:t>1.85%</w:t>
            </w:r>
          </w:p>
        </w:tc>
        <w:tc>
          <w:tcPr>
            <w:tcW w:w="1291" w:type="dxa"/>
            <w:vAlign w:val="center"/>
          </w:tcPr>
          <w:p w:rsidR="00101AD3" w:rsidRDefault="00A1339C">
            <w:pPr>
              <w:jc w:val="right"/>
            </w:pPr>
            <w:r>
              <w:rPr>
                <w:rFonts w:eastAsiaTheme="minorEastAsia"/>
                <w:color w:val="000000" w:themeColor="text1"/>
                <w:szCs w:val="21"/>
              </w:rPr>
              <w:t>-10.00%</w:t>
            </w:r>
          </w:p>
        </w:tc>
        <w:tc>
          <w:tcPr>
            <w:tcW w:w="1291" w:type="dxa"/>
            <w:vAlign w:val="center"/>
          </w:tcPr>
          <w:p w:rsidR="00101AD3" w:rsidRDefault="00A1339C">
            <w:pPr>
              <w:jc w:val="right"/>
            </w:pPr>
            <w:r>
              <w:rPr>
                <w:rFonts w:eastAsiaTheme="minorEastAsia"/>
                <w:color w:val="000000" w:themeColor="text1"/>
                <w:szCs w:val="21"/>
              </w:rPr>
              <w:t>0.89%</w:t>
            </w:r>
          </w:p>
        </w:tc>
        <w:tc>
          <w:tcPr>
            <w:tcW w:w="1291" w:type="dxa"/>
            <w:vAlign w:val="center"/>
          </w:tcPr>
          <w:p w:rsidR="00101AD3" w:rsidRDefault="00A1339C">
            <w:pPr>
              <w:jc w:val="right"/>
            </w:pPr>
            <w:r>
              <w:rPr>
                <w:rFonts w:eastAsiaTheme="minorEastAsia"/>
                <w:color w:val="000000" w:themeColor="text1"/>
                <w:szCs w:val="21"/>
              </w:rPr>
              <w:t>-37.07%</w:t>
            </w:r>
          </w:p>
        </w:tc>
        <w:tc>
          <w:tcPr>
            <w:tcW w:w="1291" w:type="dxa"/>
            <w:vAlign w:val="center"/>
          </w:tcPr>
          <w:p w:rsidR="00101AD3" w:rsidRDefault="00A1339C">
            <w:pPr>
              <w:jc w:val="right"/>
            </w:pPr>
            <w:r>
              <w:rPr>
                <w:rFonts w:eastAsiaTheme="minorEastAsia"/>
                <w:color w:val="000000" w:themeColor="text1"/>
                <w:szCs w:val="21"/>
              </w:rPr>
              <w:t>0.96%</w:t>
            </w:r>
          </w:p>
        </w:tc>
      </w:tr>
      <w:tr w:rsidR="00101AD3">
        <w:tc>
          <w:tcPr>
            <w:tcW w:w="1290" w:type="dxa"/>
            <w:vAlign w:val="center"/>
          </w:tcPr>
          <w:p w:rsidR="00101AD3" w:rsidRDefault="00A1339C">
            <w:pPr>
              <w:jc w:val="left"/>
            </w:pPr>
            <w:r>
              <w:rPr>
                <w:rFonts w:eastAsiaTheme="minorEastAsia"/>
                <w:color w:val="000000" w:themeColor="text1"/>
                <w:szCs w:val="21"/>
              </w:rPr>
              <w:t>过去五年</w:t>
            </w:r>
          </w:p>
        </w:tc>
        <w:tc>
          <w:tcPr>
            <w:tcW w:w="1291" w:type="dxa"/>
            <w:vAlign w:val="center"/>
          </w:tcPr>
          <w:p w:rsidR="00101AD3" w:rsidRDefault="00A1339C">
            <w:pPr>
              <w:jc w:val="right"/>
            </w:pPr>
            <w:r>
              <w:rPr>
                <w:rFonts w:eastAsiaTheme="minorEastAsia"/>
                <w:color w:val="000000" w:themeColor="text1"/>
                <w:szCs w:val="21"/>
              </w:rPr>
              <w:t>50.51%</w:t>
            </w:r>
          </w:p>
        </w:tc>
        <w:tc>
          <w:tcPr>
            <w:tcW w:w="1291" w:type="dxa"/>
            <w:vAlign w:val="center"/>
          </w:tcPr>
          <w:p w:rsidR="00101AD3" w:rsidRDefault="00A1339C">
            <w:pPr>
              <w:jc w:val="right"/>
            </w:pPr>
            <w:r>
              <w:rPr>
                <w:rFonts w:eastAsiaTheme="minorEastAsia"/>
                <w:color w:val="000000" w:themeColor="text1"/>
                <w:szCs w:val="21"/>
              </w:rPr>
              <w:t>1.84%</w:t>
            </w:r>
          </w:p>
        </w:tc>
        <w:tc>
          <w:tcPr>
            <w:tcW w:w="1291" w:type="dxa"/>
            <w:vAlign w:val="center"/>
          </w:tcPr>
          <w:p w:rsidR="00101AD3" w:rsidRDefault="00A1339C">
            <w:pPr>
              <w:jc w:val="right"/>
            </w:pPr>
            <w:r>
              <w:rPr>
                <w:rFonts w:eastAsiaTheme="minorEastAsia"/>
                <w:color w:val="000000" w:themeColor="text1"/>
                <w:szCs w:val="21"/>
              </w:rPr>
              <w:t>32.54%</w:t>
            </w:r>
          </w:p>
        </w:tc>
        <w:tc>
          <w:tcPr>
            <w:tcW w:w="1291" w:type="dxa"/>
            <w:vAlign w:val="center"/>
          </w:tcPr>
          <w:p w:rsidR="00101AD3" w:rsidRDefault="00A1339C">
            <w:pPr>
              <w:jc w:val="right"/>
            </w:pPr>
            <w:r>
              <w:rPr>
                <w:rFonts w:eastAsiaTheme="minorEastAsia"/>
                <w:color w:val="000000" w:themeColor="text1"/>
                <w:szCs w:val="21"/>
              </w:rPr>
              <w:t>1.02%</w:t>
            </w:r>
          </w:p>
        </w:tc>
        <w:tc>
          <w:tcPr>
            <w:tcW w:w="1291" w:type="dxa"/>
            <w:vAlign w:val="center"/>
          </w:tcPr>
          <w:p w:rsidR="00101AD3" w:rsidRDefault="00A1339C">
            <w:pPr>
              <w:jc w:val="right"/>
            </w:pPr>
            <w:r>
              <w:rPr>
                <w:rFonts w:eastAsiaTheme="minorEastAsia"/>
                <w:color w:val="000000" w:themeColor="text1"/>
                <w:szCs w:val="21"/>
              </w:rPr>
              <w:t>17.97%</w:t>
            </w:r>
          </w:p>
        </w:tc>
        <w:tc>
          <w:tcPr>
            <w:tcW w:w="1291" w:type="dxa"/>
            <w:vAlign w:val="center"/>
          </w:tcPr>
          <w:p w:rsidR="00101AD3" w:rsidRDefault="00A1339C">
            <w:pPr>
              <w:jc w:val="right"/>
            </w:pPr>
            <w:r>
              <w:rPr>
                <w:rFonts w:eastAsiaTheme="minorEastAsia"/>
                <w:color w:val="000000" w:themeColor="text1"/>
                <w:szCs w:val="21"/>
              </w:rPr>
              <w:t>0.82%</w:t>
            </w:r>
          </w:p>
        </w:tc>
      </w:tr>
      <w:tr w:rsidR="00101AD3">
        <w:tc>
          <w:tcPr>
            <w:tcW w:w="1290" w:type="dxa"/>
            <w:vAlign w:val="center"/>
          </w:tcPr>
          <w:p w:rsidR="00101AD3" w:rsidRDefault="00A1339C">
            <w:pPr>
              <w:jc w:val="left"/>
            </w:pPr>
            <w:r>
              <w:rPr>
                <w:rFonts w:eastAsiaTheme="minorEastAsia"/>
                <w:color w:val="000000" w:themeColor="text1"/>
                <w:szCs w:val="21"/>
              </w:rPr>
              <w:t>自基金合同生效起至今</w:t>
            </w:r>
          </w:p>
        </w:tc>
        <w:tc>
          <w:tcPr>
            <w:tcW w:w="1291" w:type="dxa"/>
            <w:vAlign w:val="center"/>
          </w:tcPr>
          <w:p w:rsidR="00101AD3" w:rsidRDefault="00A1339C">
            <w:pPr>
              <w:jc w:val="right"/>
            </w:pPr>
            <w:r>
              <w:rPr>
                <w:rFonts w:eastAsiaTheme="minorEastAsia"/>
                <w:color w:val="000000" w:themeColor="text1"/>
                <w:szCs w:val="21"/>
              </w:rPr>
              <w:t>117.80%</w:t>
            </w:r>
          </w:p>
        </w:tc>
        <w:tc>
          <w:tcPr>
            <w:tcW w:w="1291" w:type="dxa"/>
            <w:vAlign w:val="center"/>
          </w:tcPr>
          <w:p w:rsidR="00101AD3" w:rsidRDefault="00A1339C">
            <w:pPr>
              <w:jc w:val="right"/>
            </w:pPr>
            <w:r>
              <w:rPr>
                <w:rFonts w:eastAsiaTheme="minorEastAsia"/>
                <w:color w:val="000000" w:themeColor="text1"/>
                <w:szCs w:val="21"/>
              </w:rPr>
              <w:t>1.81%</w:t>
            </w:r>
          </w:p>
        </w:tc>
        <w:tc>
          <w:tcPr>
            <w:tcW w:w="1291" w:type="dxa"/>
            <w:vAlign w:val="center"/>
          </w:tcPr>
          <w:p w:rsidR="00101AD3" w:rsidRDefault="00A1339C">
            <w:pPr>
              <w:jc w:val="right"/>
            </w:pPr>
            <w:r>
              <w:rPr>
                <w:rFonts w:eastAsiaTheme="minorEastAsia"/>
                <w:color w:val="000000" w:themeColor="text1"/>
                <w:szCs w:val="21"/>
              </w:rPr>
              <w:t>115.59%</w:t>
            </w:r>
          </w:p>
        </w:tc>
        <w:tc>
          <w:tcPr>
            <w:tcW w:w="1291" w:type="dxa"/>
            <w:vAlign w:val="center"/>
          </w:tcPr>
          <w:p w:rsidR="00101AD3" w:rsidRDefault="00A1339C">
            <w:pPr>
              <w:jc w:val="right"/>
            </w:pPr>
            <w:r>
              <w:rPr>
                <w:rFonts w:eastAsiaTheme="minorEastAsia"/>
                <w:color w:val="000000" w:themeColor="text1"/>
                <w:szCs w:val="21"/>
              </w:rPr>
              <w:t>1.23%</w:t>
            </w:r>
          </w:p>
        </w:tc>
        <w:tc>
          <w:tcPr>
            <w:tcW w:w="1291" w:type="dxa"/>
            <w:vAlign w:val="center"/>
          </w:tcPr>
          <w:p w:rsidR="00101AD3" w:rsidRDefault="00A1339C">
            <w:pPr>
              <w:jc w:val="right"/>
            </w:pPr>
            <w:r>
              <w:rPr>
                <w:rFonts w:eastAsiaTheme="minorEastAsia"/>
                <w:color w:val="000000" w:themeColor="text1"/>
                <w:szCs w:val="21"/>
              </w:rPr>
              <w:t>2.21%</w:t>
            </w:r>
          </w:p>
        </w:tc>
        <w:tc>
          <w:tcPr>
            <w:tcW w:w="1291" w:type="dxa"/>
            <w:vAlign w:val="center"/>
          </w:tcPr>
          <w:p w:rsidR="00101AD3" w:rsidRDefault="00A1339C">
            <w:pPr>
              <w:jc w:val="right"/>
            </w:pPr>
            <w:r>
              <w:rPr>
                <w:rFonts w:eastAsiaTheme="minorEastAsia"/>
                <w:color w:val="000000" w:themeColor="text1"/>
                <w:szCs w:val="21"/>
              </w:rPr>
              <w:t>0.58%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摩根中小盘混合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01AD3">
        <w:tc>
          <w:tcPr>
            <w:tcW w:w="1290" w:type="dxa"/>
            <w:vAlign w:val="center"/>
          </w:tcPr>
          <w:p w:rsidR="00101AD3" w:rsidRDefault="00A1339C">
            <w:pPr>
              <w:jc w:val="left"/>
            </w:pPr>
            <w:r>
              <w:rPr>
                <w:rFonts w:eastAsiaTheme="minorEastAsia"/>
                <w:color w:val="000000" w:themeColor="text1"/>
                <w:szCs w:val="21"/>
              </w:rPr>
              <w:t>过去三个月</w:t>
            </w:r>
          </w:p>
        </w:tc>
        <w:tc>
          <w:tcPr>
            <w:tcW w:w="1291" w:type="dxa"/>
            <w:vAlign w:val="center"/>
          </w:tcPr>
          <w:p w:rsidR="00101AD3" w:rsidRDefault="00A1339C">
            <w:pPr>
              <w:jc w:val="right"/>
            </w:pPr>
            <w:r>
              <w:rPr>
                <w:rFonts w:eastAsiaTheme="minorEastAsia"/>
                <w:color w:val="000000" w:themeColor="text1"/>
                <w:szCs w:val="21"/>
              </w:rPr>
              <w:t>-5.65%</w:t>
            </w:r>
          </w:p>
        </w:tc>
        <w:tc>
          <w:tcPr>
            <w:tcW w:w="1291" w:type="dxa"/>
            <w:vAlign w:val="center"/>
          </w:tcPr>
          <w:p w:rsidR="00101AD3" w:rsidRDefault="00A1339C">
            <w:pPr>
              <w:jc w:val="right"/>
            </w:pPr>
            <w:r>
              <w:rPr>
                <w:rFonts w:eastAsiaTheme="minorEastAsia"/>
                <w:color w:val="000000" w:themeColor="text1"/>
                <w:szCs w:val="21"/>
              </w:rPr>
              <w:t>1.34%</w:t>
            </w:r>
          </w:p>
        </w:tc>
        <w:tc>
          <w:tcPr>
            <w:tcW w:w="1291" w:type="dxa"/>
            <w:vAlign w:val="center"/>
          </w:tcPr>
          <w:p w:rsidR="00101AD3" w:rsidRDefault="00A1339C">
            <w:pPr>
              <w:jc w:val="right"/>
            </w:pPr>
            <w:r>
              <w:rPr>
                <w:rFonts w:eastAsiaTheme="minorEastAsia"/>
                <w:color w:val="000000" w:themeColor="text1"/>
                <w:szCs w:val="21"/>
              </w:rPr>
              <w:t>-2.47%</w:t>
            </w:r>
          </w:p>
        </w:tc>
        <w:tc>
          <w:tcPr>
            <w:tcW w:w="1291" w:type="dxa"/>
            <w:vAlign w:val="center"/>
          </w:tcPr>
          <w:p w:rsidR="00101AD3" w:rsidRDefault="00A1339C" w:rsidP="009950F2">
            <w:pPr>
              <w:jc w:val="right"/>
            </w:pPr>
            <w:r>
              <w:rPr>
                <w:rFonts w:eastAsiaTheme="minorEastAsia"/>
                <w:color w:val="000000" w:themeColor="text1"/>
                <w:szCs w:val="21"/>
              </w:rPr>
              <w:t>0.</w:t>
            </w:r>
            <w:r w:rsidR="009950F2">
              <w:rPr>
                <w:rFonts w:eastAsiaTheme="minorEastAsia"/>
                <w:color w:val="000000" w:themeColor="text1"/>
                <w:szCs w:val="21"/>
              </w:rPr>
              <w:t>71</w:t>
            </w:r>
            <w:r>
              <w:rPr>
                <w:rFonts w:eastAsiaTheme="minorEastAsia"/>
                <w:color w:val="000000" w:themeColor="text1"/>
                <w:szCs w:val="21"/>
              </w:rPr>
              <w:t>%</w:t>
            </w:r>
          </w:p>
        </w:tc>
        <w:tc>
          <w:tcPr>
            <w:tcW w:w="1291" w:type="dxa"/>
            <w:vAlign w:val="center"/>
          </w:tcPr>
          <w:p w:rsidR="00101AD3" w:rsidRDefault="00A1339C">
            <w:pPr>
              <w:jc w:val="right"/>
            </w:pPr>
            <w:r>
              <w:rPr>
                <w:rFonts w:eastAsiaTheme="minorEastAsia"/>
                <w:color w:val="000000" w:themeColor="text1"/>
                <w:szCs w:val="21"/>
              </w:rPr>
              <w:t>-3.18%</w:t>
            </w:r>
          </w:p>
        </w:tc>
        <w:tc>
          <w:tcPr>
            <w:tcW w:w="1291" w:type="dxa"/>
            <w:vAlign w:val="center"/>
          </w:tcPr>
          <w:p w:rsidR="00101AD3" w:rsidRDefault="00A1339C" w:rsidP="009950F2">
            <w:pPr>
              <w:jc w:val="right"/>
            </w:pPr>
            <w:r>
              <w:rPr>
                <w:rFonts w:eastAsiaTheme="minorEastAsia"/>
                <w:color w:val="000000" w:themeColor="text1"/>
                <w:szCs w:val="21"/>
              </w:rPr>
              <w:t>0.</w:t>
            </w:r>
            <w:r w:rsidR="009950F2">
              <w:rPr>
                <w:rFonts w:eastAsiaTheme="minorEastAsia"/>
                <w:color w:val="000000" w:themeColor="text1"/>
                <w:szCs w:val="21"/>
              </w:rPr>
              <w:t>63</w:t>
            </w:r>
            <w:r>
              <w:rPr>
                <w:rFonts w:eastAsiaTheme="minorEastAsia"/>
                <w:color w:val="000000" w:themeColor="text1"/>
                <w:szCs w:val="21"/>
              </w:rPr>
              <w:t>%</w:t>
            </w:r>
          </w:p>
        </w:tc>
      </w:tr>
      <w:tr w:rsidR="00101AD3">
        <w:tc>
          <w:tcPr>
            <w:tcW w:w="1290" w:type="dxa"/>
            <w:vAlign w:val="center"/>
          </w:tcPr>
          <w:p w:rsidR="00101AD3" w:rsidRDefault="00A1339C">
            <w:pPr>
              <w:jc w:val="left"/>
            </w:pPr>
            <w:r>
              <w:rPr>
                <w:rFonts w:eastAsiaTheme="minorEastAsia"/>
                <w:color w:val="000000" w:themeColor="text1"/>
                <w:szCs w:val="21"/>
              </w:rPr>
              <w:t>过去六个月</w:t>
            </w:r>
          </w:p>
        </w:tc>
        <w:tc>
          <w:tcPr>
            <w:tcW w:w="1291" w:type="dxa"/>
            <w:vAlign w:val="center"/>
          </w:tcPr>
          <w:p w:rsidR="00101AD3" w:rsidRDefault="00A1339C">
            <w:pPr>
              <w:jc w:val="right"/>
            </w:pPr>
            <w:r>
              <w:rPr>
                <w:rFonts w:eastAsiaTheme="minorEastAsia"/>
                <w:color w:val="000000" w:themeColor="text1"/>
                <w:szCs w:val="21"/>
              </w:rPr>
              <w:t>-24.11%</w:t>
            </w:r>
          </w:p>
        </w:tc>
        <w:tc>
          <w:tcPr>
            <w:tcW w:w="1291" w:type="dxa"/>
            <w:vAlign w:val="center"/>
          </w:tcPr>
          <w:p w:rsidR="00101AD3" w:rsidRDefault="00A1339C">
            <w:pPr>
              <w:jc w:val="right"/>
            </w:pPr>
            <w:r>
              <w:rPr>
                <w:rFonts w:eastAsiaTheme="minorEastAsia"/>
                <w:color w:val="000000" w:themeColor="text1"/>
                <w:szCs w:val="21"/>
              </w:rPr>
              <w:t>1.69%</w:t>
            </w:r>
          </w:p>
        </w:tc>
        <w:tc>
          <w:tcPr>
            <w:tcW w:w="1291" w:type="dxa"/>
            <w:vAlign w:val="center"/>
          </w:tcPr>
          <w:p w:rsidR="00101AD3" w:rsidRDefault="00A1339C">
            <w:pPr>
              <w:jc w:val="right"/>
            </w:pPr>
            <w:r>
              <w:rPr>
                <w:rFonts w:eastAsiaTheme="minorEastAsia"/>
                <w:color w:val="000000" w:themeColor="text1"/>
                <w:szCs w:val="21"/>
              </w:rPr>
              <w:t>-7.25%</w:t>
            </w:r>
          </w:p>
        </w:tc>
        <w:tc>
          <w:tcPr>
            <w:tcW w:w="1291" w:type="dxa"/>
            <w:vAlign w:val="center"/>
          </w:tcPr>
          <w:p w:rsidR="00101AD3" w:rsidRDefault="00A1339C" w:rsidP="009950F2">
            <w:pPr>
              <w:jc w:val="right"/>
            </w:pPr>
            <w:r>
              <w:rPr>
                <w:rFonts w:eastAsiaTheme="minorEastAsia"/>
                <w:color w:val="000000" w:themeColor="text1"/>
                <w:szCs w:val="21"/>
              </w:rPr>
              <w:t>0.</w:t>
            </w:r>
            <w:r w:rsidR="009950F2">
              <w:rPr>
                <w:rFonts w:eastAsiaTheme="minorEastAsia"/>
                <w:color w:val="000000" w:themeColor="text1"/>
                <w:szCs w:val="21"/>
              </w:rPr>
              <w:t>70</w:t>
            </w:r>
            <w:r>
              <w:rPr>
                <w:rFonts w:eastAsiaTheme="minorEastAsia"/>
                <w:color w:val="000000" w:themeColor="text1"/>
                <w:szCs w:val="21"/>
              </w:rPr>
              <w:t>%</w:t>
            </w:r>
          </w:p>
        </w:tc>
        <w:tc>
          <w:tcPr>
            <w:tcW w:w="1291" w:type="dxa"/>
            <w:vAlign w:val="center"/>
          </w:tcPr>
          <w:p w:rsidR="00101AD3" w:rsidRDefault="00A1339C">
            <w:pPr>
              <w:jc w:val="right"/>
            </w:pPr>
            <w:r>
              <w:rPr>
                <w:rFonts w:eastAsiaTheme="minorEastAsia"/>
                <w:color w:val="000000" w:themeColor="text1"/>
                <w:szCs w:val="21"/>
              </w:rPr>
              <w:t>-16.86%</w:t>
            </w:r>
          </w:p>
        </w:tc>
        <w:tc>
          <w:tcPr>
            <w:tcW w:w="1291" w:type="dxa"/>
            <w:vAlign w:val="center"/>
          </w:tcPr>
          <w:p w:rsidR="00101AD3" w:rsidRDefault="00A1339C" w:rsidP="009950F2">
            <w:pPr>
              <w:jc w:val="right"/>
            </w:pPr>
            <w:r>
              <w:rPr>
                <w:rFonts w:eastAsiaTheme="minorEastAsia"/>
                <w:color w:val="000000" w:themeColor="text1"/>
                <w:szCs w:val="21"/>
              </w:rPr>
              <w:t>0.</w:t>
            </w:r>
            <w:r w:rsidR="009950F2">
              <w:rPr>
                <w:rFonts w:eastAsiaTheme="minorEastAsia"/>
                <w:color w:val="000000" w:themeColor="text1"/>
                <w:szCs w:val="21"/>
              </w:rPr>
              <w:t>99</w:t>
            </w:r>
            <w:r>
              <w:rPr>
                <w:rFonts w:eastAsiaTheme="minorEastAsia"/>
                <w:color w:val="000000" w:themeColor="text1"/>
                <w:szCs w:val="21"/>
              </w:rPr>
              <w:t>%</w:t>
            </w:r>
          </w:p>
        </w:tc>
      </w:tr>
      <w:tr w:rsidR="00101AD3">
        <w:tc>
          <w:tcPr>
            <w:tcW w:w="1290" w:type="dxa"/>
            <w:vAlign w:val="center"/>
          </w:tcPr>
          <w:p w:rsidR="00101AD3" w:rsidRDefault="00A1339C">
            <w:pPr>
              <w:jc w:val="left"/>
            </w:pPr>
            <w:r>
              <w:rPr>
                <w:rFonts w:eastAsiaTheme="minorEastAsia"/>
                <w:color w:val="000000" w:themeColor="text1"/>
                <w:szCs w:val="21"/>
              </w:rPr>
              <w:t>过去一年</w:t>
            </w:r>
          </w:p>
        </w:tc>
        <w:tc>
          <w:tcPr>
            <w:tcW w:w="1291" w:type="dxa"/>
            <w:vAlign w:val="center"/>
          </w:tcPr>
          <w:p w:rsidR="00101AD3" w:rsidRDefault="00A1339C">
            <w:pPr>
              <w:jc w:val="right"/>
            </w:pPr>
            <w:r>
              <w:rPr>
                <w:rFonts w:eastAsiaTheme="minorEastAsia"/>
                <w:color w:val="000000" w:themeColor="text1"/>
                <w:szCs w:val="21"/>
              </w:rPr>
              <w:t>-19.87%</w:t>
            </w:r>
          </w:p>
        </w:tc>
        <w:tc>
          <w:tcPr>
            <w:tcW w:w="1291" w:type="dxa"/>
            <w:vAlign w:val="center"/>
          </w:tcPr>
          <w:p w:rsidR="00101AD3" w:rsidRDefault="00A1339C">
            <w:pPr>
              <w:jc w:val="right"/>
            </w:pPr>
            <w:r>
              <w:rPr>
                <w:rFonts w:eastAsiaTheme="minorEastAsia"/>
                <w:color w:val="000000" w:themeColor="text1"/>
                <w:szCs w:val="21"/>
              </w:rPr>
              <w:t>1.72%</w:t>
            </w:r>
          </w:p>
        </w:tc>
        <w:tc>
          <w:tcPr>
            <w:tcW w:w="1291" w:type="dxa"/>
            <w:vAlign w:val="center"/>
          </w:tcPr>
          <w:p w:rsidR="00101AD3" w:rsidRDefault="00A1339C">
            <w:pPr>
              <w:jc w:val="right"/>
            </w:pPr>
            <w:r>
              <w:rPr>
                <w:rFonts w:eastAsiaTheme="minorEastAsia"/>
                <w:color w:val="000000" w:themeColor="text1"/>
                <w:szCs w:val="21"/>
              </w:rPr>
              <w:t>-3.84%</w:t>
            </w:r>
          </w:p>
        </w:tc>
        <w:tc>
          <w:tcPr>
            <w:tcW w:w="1291" w:type="dxa"/>
            <w:vAlign w:val="center"/>
          </w:tcPr>
          <w:p w:rsidR="00101AD3" w:rsidRDefault="00A1339C" w:rsidP="009950F2">
            <w:pPr>
              <w:jc w:val="right"/>
            </w:pPr>
            <w:r>
              <w:rPr>
                <w:rFonts w:eastAsiaTheme="minorEastAsia"/>
                <w:color w:val="000000" w:themeColor="text1"/>
                <w:szCs w:val="21"/>
              </w:rPr>
              <w:t>0.</w:t>
            </w:r>
            <w:r w:rsidR="009950F2">
              <w:rPr>
                <w:rFonts w:eastAsiaTheme="minorEastAsia"/>
                <w:color w:val="000000" w:themeColor="text1"/>
                <w:szCs w:val="21"/>
              </w:rPr>
              <w:t>68</w:t>
            </w:r>
            <w:r>
              <w:rPr>
                <w:rFonts w:eastAsiaTheme="minorEastAsia"/>
                <w:color w:val="000000" w:themeColor="text1"/>
                <w:szCs w:val="21"/>
              </w:rPr>
              <w:t>%</w:t>
            </w:r>
          </w:p>
        </w:tc>
        <w:tc>
          <w:tcPr>
            <w:tcW w:w="1291" w:type="dxa"/>
            <w:vAlign w:val="center"/>
          </w:tcPr>
          <w:p w:rsidR="00101AD3" w:rsidRDefault="00A1339C">
            <w:pPr>
              <w:jc w:val="right"/>
            </w:pPr>
            <w:r>
              <w:rPr>
                <w:rFonts w:eastAsiaTheme="minorEastAsia"/>
                <w:color w:val="000000" w:themeColor="text1"/>
                <w:szCs w:val="21"/>
              </w:rPr>
              <w:t>-16.03%</w:t>
            </w:r>
          </w:p>
        </w:tc>
        <w:tc>
          <w:tcPr>
            <w:tcW w:w="1291" w:type="dxa"/>
            <w:vAlign w:val="center"/>
          </w:tcPr>
          <w:p w:rsidR="00101AD3" w:rsidRDefault="00A1339C" w:rsidP="009950F2">
            <w:pPr>
              <w:jc w:val="right"/>
            </w:pPr>
            <w:r>
              <w:rPr>
                <w:rFonts w:eastAsiaTheme="minorEastAsia"/>
                <w:color w:val="000000" w:themeColor="text1"/>
                <w:szCs w:val="21"/>
              </w:rPr>
              <w:t>1.</w:t>
            </w:r>
            <w:r w:rsidR="009950F2">
              <w:rPr>
                <w:rFonts w:eastAsiaTheme="minorEastAsia"/>
                <w:color w:val="000000" w:themeColor="text1"/>
                <w:szCs w:val="21"/>
              </w:rPr>
              <w:t>04</w:t>
            </w:r>
            <w:r>
              <w:rPr>
                <w:rFonts w:eastAsiaTheme="minorEastAsia"/>
                <w:color w:val="000000" w:themeColor="text1"/>
                <w:szCs w:val="21"/>
              </w:rPr>
              <w:t>%</w:t>
            </w:r>
          </w:p>
        </w:tc>
      </w:tr>
      <w:tr w:rsidR="00101AD3">
        <w:tc>
          <w:tcPr>
            <w:tcW w:w="1290" w:type="dxa"/>
            <w:vAlign w:val="center"/>
          </w:tcPr>
          <w:p w:rsidR="00101AD3" w:rsidRDefault="00A1339C">
            <w:pPr>
              <w:jc w:val="left"/>
            </w:pPr>
            <w:r>
              <w:rPr>
                <w:rFonts w:eastAsiaTheme="minorEastAsia"/>
                <w:color w:val="000000" w:themeColor="text1"/>
                <w:szCs w:val="21"/>
              </w:rPr>
              <w:t>过去三年</w:t>
            </w:r>
          </w:p>
        </w:tc>
        <w:tc>
          <w:tcPr>
            <w:tcW w:w="1291" w:type="dxa"/>
            <w:vAlign w:val="center"/>
          </w:tcPr>
          <w:p w:rsidR="00101AD3" w:rsidRDefault="00A1339C">
            <w:pPr>
              <w:jc w:val="right"/>
            </w:pPr>
            <w:r>
              <w:rPr>
                <w:rFonts w:eastAsiaTheme="minorEastAsia"/>
                <w:color w:val="000000" w:themeColor="text1"/>
                <w:szCs w:val="21"/>
              </w:rPr>
              <w:t>-</w:t>
            </w:r>
          </w:p>
        </w:tc>
        <w:tc>
          <w:tcPr>
            <w:tcW w:w="1291" w:type="dxa"/>
            <w:vAlign w:val="center"/>
          </w:tcPr>
          <w:p w:rsidR="00101AD3" w:rsidRDefault="00A1339C">
            <w:pPr>
              <w:jc w:val="right"/>
            </w:pPr>
            <w:r>
              <w:rPr>
                <w:rFonts w:eastAsiaTheme="minorEastAsia"/>
                <w:color w:val="000000" w:themeColor="text1"/>
                <w:szCs w:val="21"/>
              </w:rPr>
              <w:t>-</w:t>
            </w:r>
          </w:p>
        </w:tc>
        <w:tc>
          <w:tcPr>
            <w:tcW w:w="1291" w:type="dxa"/>
            <w:vAlign w:val="center"/>
          </w:tcPr>
          <w:p w:rsidR="00101AD3" w:rsidRDefault="00A1339C">
            <w:pPr>
              <w:jc w:val="right"/>
            </w:pPr>
            <w:r>
              <w:rPr>
                <w:rFonts w:eastAsiaTheme="minorEastAsia"/>
                <w:color w:val="000000" w:themeColor="text1"/>
                <w:szCs w:val="21"/>
              </w:rPr>
              <w:t>-</w:t>
            </w:r>
          </w:p>
        </w:tc>
        <w:tc>
          <w:tcPr>
            <w:tcW w:w="1291" w:type="dxa"/>
            <w:vAlign w:val="center"/>
          </w:tcPr>
          <w:p w:rsidR="00101AD3" w:rsidRDefault="00A1339C">
            <w:pPr>
              <w:jc w:val="right"/>
            </w:pPr>
            <w:r>
              <w:rPr>
                <w:rFonts w:eastAsiaTheme="minorEastAsia"/>
                <w:color w:val="000000" w:themeColor="text1"/>
                <w:szCs w:val="21"/>
              </w:rPr>
              <w:t>-</w:t>
            </w:r>
          </w:p>
        </w:tc>
        <w:tc>
          <w:tcPr>
            <w:tcW w:w="1291" w:type="dxa"/>
            <w:vAlign w:val="center"/>
          </w:tcPr>
          <w:p w:rsidR="00101AD3" w:rsidRDefault="00A1339C">
            <w:pPr>
              <w:jc w:val="right"/>
            </w:pPr>
            <w:r>
              <w:rPr>
                <w:rFonts w:eastAsiaTheme="minorEastAsia"/>
                <w:color w:val="000000" w:themeColor="text1"/>
                <w:szCs w:val="21"/>
              </w:rPr>
              <w:t>-</w:t>
            </w:r>
          </w:p>
        </w:tc>
        <w:tc>
          <w:tcPr>
            <w:tcW w:w="1291" w:type="dxa"/>
            <w:vAlign w:val="center"/>
          </w:tcPr>
          <w:p w:rsidR="00101AD3" w:rsidRDefault="00A1339C">
            <w:pPr>
              <w:jc w:val="right"/>
            </w:pPr>
            <w:r>
              <w:rPr>
                <w:rFonts w:eastAsiaTheme="minorEastAsia"/>
                <w:color w:val="000000" w:themeColor="text1"/>
                <w:szCs w:val="21"/>
              </w:rPr>
              <w:t>-</w:t>
            </w:r>
          </w:p>
        </w:tc>
      </w:tr>
      <w:tr w:rsidR="00101AD3">
        <w:tc>
          <w:tcPr>
            <w:tcW w:w="1290" w:type="dxa"/>
            <w:vAlign w:val="center"/>
          </w:tcPr>
          <w:p w:rsidR="00101AD3" w:rsidRDefault="00A1339C">
            <w:pPr>
              <w:jc w:val="left"/>
            </w:pPr>
            <w:r>
              <w:rPr>
                <w:rFonts w:eastAsiaTheme="minorEastAsia"/>
                <w:color w:val="000000" w:themeColor="text1"/>
                <w:szCs w:val="21"/>
              </w:rPr>
              <w:t>过去五年</w:t>
            </w:r>
          </w:p>
        </w:tc>
        <w:tc>
          <w:tcPr>
            <w:tcW w:w="1291" w:type="dxa"/>
            <w:vAlign w:val="center"/>
          </w:tcPr>
          <w:p w:rsidR="00101AD3" w:rsidRDefault="00A1339C">
            <w:pPr>
              <w:jc w:val="right"/>
            </w:pPr>
            <w:r>
              <w:rPr>
                <w:rFonts w:eastAsiaTheme="minorEastAsia"/>
                <w:color w:val="000000" w:themeColor="text1"/>
                <w:szCs w:val="21"/>
              </w:rPr>
              <w:t>-</w:t>
            </w:r>
          </w:p>
        </w:tc>
        <w:tc>
          <w:tcPr>
            <w:tcW w:w="1291" w:type="dxa"/>
            <w:vAlign w:val="center"/>
          </w:tcPr>
          <w:p w:rsidR="00101AD3" w:rsidRDefault="00A1339C">
            <w:pPr>
              <w:jc w:val="right"/>
            </w:pPr>
            <w:r>
              <w:rPr>
                <w:rFonts w:eastAsiaTheme="minorEastAsia"/>
                <w:color w:val="000000" w:themeColor="text1"/>
                <w:szCs w:val="21"/>
              </w:rPr>
              <w:t>-</w:t>
            </w:r>
          </w:p>
        </w:tc>
        <w:tc>
          <w:tcPr>
            <w:tcW w:w="1291" w:type="dxa"/>
            <w:vAlign w:val="center"/>
          </w:tcPr>
          <w:p w:rsidR="00101AD3" w:rsidRDefault="00A1339C">
            <w:pPr>
              <w:jc w:val="right"/>
            </w:pPr>
            <w:r>
              <w:rPr>
                <w:rFonts w:eastAsiaTheme="minorEastAsia"/>
                <w:color w:val="000000" w:themeColor="text1"/>
                <w:szCs w:val="21"/>
              </w:rPr>
              <w:t>-</w:t>
            </w:r>
          </w:p>
        </w:tc>
        <w:tc>
          <w:tcPr>
            <w:tcW w:w="1291" w:type="dxa"/>
            <w:vAlign w:val="center"/>
          </w:tcPr>
          <w:p w:rsidR="00101AD3" w:rsidRDefault="00A1339C">
            <w:pPr>
              <w:jc w:val="right"/>
            </w:pPr>
            <w:r>
              <w:rPr>
                <w:rFonts w:eastAsiaTheme="minorEastAsia"/>
                <w:color w:val="000000" w:themeColor="text1"/>
                <w:szCs w:val="21"/>
              </w:rPr>
              <w:t>-</w:t>
            </w:r>
          </w:p>
        </w:tc>
        <w:tc>
          <w:tcPr>
            <w:tcW w:w="1291" w:type="dxa"/>
            <w:vAlign w:val="center"/>
          </w:tcPr>
          <w:p w:rsidR="00101AD3" w:rsidRDefault="00A1339C">
            <w:pPr>
              <w:jc w:val="right"/>
            </w:pPr>
            <w:r>
              <w:rPr>
                <w:rFonts w:eastAsiaTheme="minorEastAsia"/>
                <w:color w:val="000000" w:themeColor="text1"/>
                <w:szCs w:val="21"/>
              </w:rPr>
              <w:t>-</w:t>
            </w:r>
          </w:p>
        </w:tc>
        <w:tc>
          <w:tcPr>
            <w:tcW w:w="1291" w:type="dxa"/>
            <w:vAlign w:val="center"/>
          </w:tcPr>
          <w:p w:rsidR="00101AD3" w:rsidRDefault="00A1339C">
            <w:pPr>
              <w:jc w:val="right"/>
            </w:pPr>
            <w:r>
              <w:rPr>
                <w:rFonts w:eastAsiaTheme="minorEastAsia"/>
                <w:color w:val="000000" w:themeColor="text1"/>
                <w:szCs w:val="21"/>
              </w:rPr>
              <w:t>-</w:t>
            </w:r>
          </w:p>
        </w:tc>
      </w:tr>
      <w:tr w:rsidR="00101AD3">
        <w:tc>
          <w:tcPr>
            <w:tcW w:w="1290" w:type="dxa"/>
            <w:vAlign w:val="center"/>
          </w:tcPr>
          <w:p w:rsidR="00101AD3" w:rsidRDefault="00A1339C">
            <w:pPr>
              <w:jc w:val="left"/>
            </w:pPr>
            <w:r>
              <w:rPr>
                <w:rFonts w:eastAsiaTheme="minorEastAsia"/>
                <w:color w:val="000000" w:themeColor="text1"/>
                <w:szCs w:val="21"/>
              </w:rPr>
              <w:t>自基金合同生效起至今</w:t>
            </w:r>
          </w:p>
        </w:tc>
        <w:tc>
          <w:tcPr>
            <w:tcW w:w="1291" w:type="dxa"/>
            <w:vAlign w:val="center"/>
          </w:tcPr>
          <w:p w:rsidR="00101AD3" w:rsidRDefault="00A1339C">
            <w:pPr>
              <w:jc w:val="right"/>
            </w:pPr>
            <w:r>
              <w:rPr>
                <w:rFonts w:eastAsiaTheme="minorEastAsia"/>
                <w:color w:val="000000" w:themeColor="text1"/>
                <w:szCs w:val="21"/>
              </w:rPr>
              <w:t>-22.79%</w:t>
            </w:r>
          </w:p>
        </w:tc>
        <w:tc>
          <w:tcPr>
            <w:tcW w:w="1291" w:type="dxa"/>
            <w:vAlign w:val="center"/>
          </w:tcPr>
          <w:p w:rsidR="00101AD3" w:rsidRDefault="00A1339C">
            <w:pPr>
              <w:jc w:val="right"/>
            </w:pPr>
            <w:r>
              <w:rPr>
                <w:rFonts w:eastAsiaTheme="minorEastAsia"/>
                <w:color w:val="000000" w:themeColor="text1"/>
                <w:szCs w:val="21"/>
              </w:rPr>
              <w:t>1.70%</w:t>
            </w:r>
          </w:p>
        </w:tc>
        <w:tc>
          <w:tcPr>
            <w:tcW w:w="1291" w:type="dxa"/>
            <w:vAlign w:val="center"/>
          </w:tcPr>
          <w:p w:rsidR="00101AD3" w:rsidRDefault="00A1339C">
            <w:pPr>
              <w:jc w:val="right"/>
            </w:pPr>
            <w:r>
              <w:rPr>
                <w:rFonts w:eastAsiaTheme="minorEastAsia"/>
                <w:color w:val="000000" w:themeColor="text1"/>
                <w:szCs w:val="21"/>
              </w:rPr>
              <w:t>-5.59%</w:t>
            </w:r>
          </w:p>
        </w:tc>
        <w:tc>
          <w:tcPr>
            <w:tcW w:w="1291" w:type="dxa"/>
            <w:vAlign w:val="center"/>
          </w:tcPr>
          <w:p w:rsidR="00101AD3" w:rsidRDefault="00A1339C">
            <w:pPr>
              <w:jc w:val="right"/>
            </w:pPr>
            <w:r>
              <w:rPr>
                <w:rFonts w:eastAsiaTheme="minorEastAsia"/>
                <w:color w:val="000000" w:themeColor="text1"/>
                <w:szCs w:val="21"/>
              </w:rPr>
              <w:t>0.68%</w:t>
            </w:r>
          </w:p>
        </w:tc>
        <w:tc>
          <w:tcPr>
            <w:tcW w:w="1291" w:type="dxa"/>
            <w:vAlign w:val="center"/>
          </w:tcPr>
          <w:p w:rsidR="00101AD3" w:rsidRDefault="00A1339C">
            <w:pPr>
              <w:jc w:val="right"/>
            </w:pPr>
            <w:r>
              <w:rPr>
                <w:rFonts w:eastAsiaTheme="minorEastAsia"/>
                <w:color w:val="000000" w:themeColor="text1"/>
                <w:szCs w:val="21"/>
              </w:rPr>
              <w:t>-17.20%</w:t>
            </w:r>
          </w:p>
        </w:tc>
        <w:tc>
          <w:tcPr>
            <w:tcW w:w="1291" w:type="dxa"/>
            <w:vAlign w:val="center"/>
          </w:tcPr>
          <w:p w:rsidR="00101AD3" w:rsidRDefault="00A1339C">
            <w:pPr>
              <w:jc w:val="right"/>
            </w:pPr>
            <w:r>
              <w:rPr>
                <w:rFonts w:eastAsiaTheme="minorEastAsia"/>
                <w:color w:val="000000" w:themeColor="text1"/>
                <w:szCs w:val="21"/>
              </w:rPr>
              <w:t>1.02%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摩根中小盘混合型证券投资基金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．摩根中小盘混合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Default="005E6DF3">
      <w:pPr>
        <w:pStyle w:val="20"/>
        <w:spacing w:line="288" w:lineRule="auto"/>
        <w:ind w:firstLineChars="0" w:firstLine="0"/>
        <w:jc w:val="center"/>
        <w:rPr>
          <w:rFonts w:ascii="Times New Roman" w:eastAsiaTheme="minorEastAsia" w:hAnsi="Times New Roman"/>
          <w:color w:val="000000" w:themeColor="text1"/>
          <w:sz w:val="21"/>
          <w:szCs w:val="21"/>
        </w:rPr>
      </w:pPr>
    </w:p>
    <w:p w:rsidR="00C415D0" w:rsidRPr="00C415D0" w:rsidRDefault="00C415D0">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2BFC0B4E" wp14:editId="7F4A8CFE">
            <wp:extent cx="5591175" cy="32766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．摩根中小盘混合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Default="005E6DF3">
      <w:pPr>
        <w:pStyle w:val="20"/>
        <w:spacing w:line="288" w:lineRule="auto"/>
        <w:ind w:firstLineChars="0" w:firstLine="0"/>
        <w:jc w:val="center"/>
        <w:rPr>
          <w:rFonts w:ascii="Times New Roman" w:eastAsiaTheme="minorEastAsia" w:hAnsi="Times New Roman"/>
          <w:color w:val="000000" w:themeColor="text1"/>
          <w:sz w:val="21"/>
          <w:szCs w:val="21"/>
        </w:rPr>
      </w:pPr>
    </w:p>
    <w:p w:rsidR="00C415D0" w:rsidRPr="00B27A29" w:rsidRDefault="00C415D0">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220B080" wp14:editId="4B1FF7AA">
            <wp:extent cx="5591175" cy="3276600"/>
            <wp:effectExtent l="0" t="0" r="0" b="0"/>
            <wp:docPr id="4" name="图片 4"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01AD3">
        <w:tc>
          <w:tcPr>
            <w:tcW w:w="952" w:type="dxa"/>
            <w:vAlign w:val="center"/>
          </w:tcPr>
          <w:p w:rsidR="00101AD3" w:rsidRDefault="00A1339C">
            <w:pPr>
              <w:jc w:val="center"/>
            </w:pPr>
            <w:r>
              <w:rPr>
                <w:rFonts w:eastAsiaTheme="minorEastAsia"/>
                <w:color w:val="000000" w:themeColor="text1"/>
                <w:szCs w:val="21"/>
              </w:rPr>
              <w:t>郭晨</w:t>
            </w:r>
          </w:p>
        </w:tc>
        <w:tc>
          <w:tcPr>
            <w:tcW w:w="930" w:type="dxa"/>
            <w:vAlign w:val="center"/>
          </w:tcPr>
          <w:p w:rsidR="00101AD3" w:rsidRDefault="00A1339C">
            <w:pPr>
              <w:jc w:val="center"/>
            </w:pPr>
            <w:r>
              <w:rPr>
                <w:rFonts w:eastAsiaTheme="minorEastAsia"/>
                <w:color w:val="000000" w:themeColor="text1"/>
                <w:szCs w:val="21"/>
              </w:rPr>
              <w:t>本基金基金经理</w:t>
            </w:r>
          </w:p>
        </w:tc>
        <w:tc>
          <w:tcPr>
            <w:tcW w:w="1210" w:type="dxa"/>
            <w:vAlign w:val="center"/>
          </w:tcPr>
          <w:p w:rsidR="00101AD3" w:rsidRDefault="00A1339C">
            <w:pPr>
              <w:jc w:val="center"/>
            </w:pPr>
            <w:r>
              <w:rPr>
                <w:rFonts w:eastAsiaTheme="minorEastAsia"/>
                <w:color w:val="000000" w:themeColor="text1"/>
                <w:szCs w:val="21"/>
              </w:rPr>
              <w:t>2015-01-30</w:t>
            </w:r>
          </w:p>
        </w:tc>
        <w:tc>
          <w:tcPr>
            <w:tcW w:w="1309" w:type="dxa"/>
            <w:vAlign w:val="center"/>
          </w:tcPr>
          <w:p w:rsidR="00101AD3" w:rsidRDefault="00A1339C">
            <w:pPr>
              <w:jc w:val="center"/>
            </w:pPr>
            <w:r>
              <w:rPr>
                <w:rFonts w:eastAsiaTheme="minorEastAsia"/>
                <w:color w:val="000000" w:themeColor="text1"/>
                <w:szCs w:val="21"/>
              </w:rPr>
              <w:t>-</w:t>
            </w:r>
          </w:p>
        </w:tc>
        <w:tc>
          <w:tcPr>
            <w:tcW w:w="1254" w:type="dxa"/>
            <w:vAlign w:val="center"/>
          </w:tcPr>
          <w:p w:rsidR="00101AD3" w:rsidRDefault="00A1339C">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101AD3" w:rsidRDefault="00A1339C">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101AD3" w:rsidRDefault="00A1339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7.0%</w:t>
      </w:r>
      <w:r>
        <w:rPr>
          <w:rFonts w:eastAsiaTheme="minorEastAsia"/>
          <w:color w:val="000000" w:themeColor="text1"/>
          <w:szCs w:val="21"/>
        </w:rPr>
        <w:t>，创业板指数下跌</w:t>
      </w:r>
      <w:r>
        <w:rPr>
          <w:rFonts w:eastAsiaTheme="minorEastAsia"/>
          <w:color w:val="000000" w:themeColor="text1"/>
          <w:szCs w:val="21"/>
        </w:rPr>
        <w:t>5.6%</w:t>
      </w:r>
      <w:r>
        <w:rPr>
          <w:rFonts w:eastAsiaTheme="minorEastAsia"/>
          <w:color w:val="000000" w:themeColor="text1"/>
          <w:szCs w:val="21"/>
        </w:rPr>
        <w:t>。本季度市场表现不佳，市场亮点不多，三季度表现较差的科技行业相对强势一些。四季度国内经济比较平稳，前期出台的房地产限购政策效果并不明显，其他没有太多新的刺激政策。美国四季度通胀控制良好，</w:t>
      </w:r>
      <w:r>
        <w:rPr>
          <w:rFonts w:eastAsiaTheme="minorEastAsia"/>
          <w:color w:val="000000" w:themeColor="text1"/>
          <w:szCs w:val="21"/>
        </w:rPr>
        <w:t>2024</w:t>
      </w:r>
      <w:r>
        <w:rPr>
          <w:rFonts w:eastAsiaTheme="minorEastAsia"/>
          <w:color w:val="000000" w:themeColor="text1"/>
          <w:szCs w:val="21"/>
        </w:rPr>
        <w:t>年降息预期增强，人民币表现强势，美债收益率大幅下降，理论上有利于外资的回流。市场目前比较看好的板块集中在两个方向上，一是高股息板块，二是新兴高景气的科技板块。这两个方向对宏观经济较不敏感，有各自的阿尔法逻辑。</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我们始终看好国内权益市场的长期机会，认为市场处于一个长期慢牛的走势之中，以结构性行情为主。四季度本基金依然看好成长行业的投资机会，尤其是人工智能产业链的相关公司，比如人工智能（</w:t>
      </w:r>
      <w:r>
        <w:rPr>
          <w:rFonts w:eastAsiaTheme="minorEastAsia"/>
          <w:color w:val="000000" w:themeColor="text1"/>
          <w:szCs w:val="21"/>
        </w:rPr>
        <w:t>AI</w:t>
      </w:r>
      <w:r>
        <w:rPr>
          <w:rFonts w:eastAsiaTheme="minorEastAsia"/>
          <w:color w:val="000000" w:themeColor="text1"/>
          <w:szCs w:val="21"/>
        </w:rPr>
        <w:t>）的算力和应用、人型机器人、智能驾驶、新能源汽车，家电，医药等，在房地产、金融、上游资源品等传统周期行业配置比例较低。本基金将始终坚持价值投资思路，坚持配置高景气度成长行业，选择高景气行业中相对优秀的龙头公司长期投资。</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一季度，我们并不悲观。目前市场对国内经济信心不足，对政策预期也不高，估值已经跌到了非常低的位置。监管层已经出台了一系列活跃资本市场的政策，目前政策底大概率已经看到，我们继续期待市场底的到来。宏观经济有其自身的规律，经济</w:t>
      </w:r>
      <w:r>
        <w:rPr>
          <w:rFonts w:eastAsiaTheme="minorEastAsia"/>
          <w:color w:val="000000" w:themeColor="text1"/>
          <w:szCs w:val="21"/>
        </w:rPr>
        <w:t>V</w:t>
      </w:r>
      <w:r>
        <w:rPr>
          <w:rFonts w:eastAsiaTheme="minorEastAsia"/>
          <w:color w:val="000000" w:themeColor="text1"/>
          <w:szCs w:val="21"/>
        </w:rPr>
        <w:t>型反转的概率不大，温和复</w:t>
      </w:r>
      <w:r>
        <w:rPr>
          <w:rFonts w:eastAsiaTheme="minorEastAsia"/>
          <w:color w:val="000000" w:themeColor="text1"/>
          <w:szCs w:val="21"/>
        </w:rPr>
        <w:lastRenderedPageBreak/>
        <w:t>苏的可能性更大，维持经济的中速增长是可期的。</w:t>
      </w:r>
      <w:r>
        <w:rPr>
          <w:rFonts w:eastAsiaTheme="minorEastAsia"/>
          <w:color w:val="000000" w:themeColor="text1"/>
          <w:szCs w:val="21"/>
        </w:rPr>
        <w:t>2024</w:t>
      </w:r>
      <w:r>
        <w:rPr>
          <w:rFonts w:eastAsiaTheme="minorEastAsia"/>
          <w:color w:val="000000" w:themeColor="text1"/>
          <w:szCs w:val="21"/>
        </w:rPr>
        <w:t>年美国通胀回落明确，降息周期有望开启，外资流出压力减小。港股在经历调整之后，估值吸引力提升，依然是国内经济变化高弹性的标的。宏观经济对新兴行业成长个股影响较小，重点关注以下几个方向：一是新技术引领的高景气行业，如人工智能、人型机器人、智能驾驶等，二是估值合理，基本面即将迎来反转的成长行业，如医药、半导体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战略看好高科技、先进制造等成长板块和与百姓生活相关的消费、医药行业，致力长期投资高景气度、高成长、低估值的优秀龙头公司。合理的估值，较高的业绩增速，成长的确定性是本基金最看重的。</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本报告期摩根中小盘</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:-5.51%</w:t>
      </w:r>
      <w:r>
        <w:rPr>
          <w:rFonts w:eastAsiaTheme="minorEastAsia"/>
          <w:color w:val="000000" w:themeColor="text1"/>
          <w:szCs w:val="21"/>
        </w:rPr>
        <w:t>，同期业绩比较基准收益率为</w:t>
      </w:r>
      <w:r>
        <w:rPr>
          <w:rFonts w:eastAsiaTheme="minorEastAsia"/>
          <w:color w:val="000000" w:themeColor="text1"/>
          <w:szCs w:val="21"/>
        </w:rPr>
        <w:t>:-2.47%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摩根中小盘</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:-5.65%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:-2.47%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327,787,435.34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90.73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327,787,435.34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90.73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33,226,925.25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249,087.56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361,263,448.15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272,087,566.66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76.69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4,525,250.00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1,062,516.00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43,460,049.91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12.25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1,896,784.70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4,579,656.00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123,903.75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51,708.32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327,787,435.34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92.39</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lastRenderedPageBreak/>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01AD3">
        <w:tc>
          <w:tcPr>
            <w:tcW w:w="817" w:type="dxa"/>
            <w:vAlign w:val="center"/>
          </w:tcPr>
          <w:p w:rsidR="00101AD3" w:rsidRDefault="00A1339C">
            <w:pPr>
              <w:jc w:val="center"/>
            </w:pPr>
            <w:r>
              <w:rPr>
                <w:rFonts w:eastAsiaTheme="minorEastAsia"/>
                <w:kern w:val="0"/>
                <w:szCs w:val="21"/>
              </w:rPr>
              <w:t>1</w:t>
            </w:r>
          </w:p>
        </w:tc>
        <w:tc>
          <w:tcPr>
            <w:tcW w:w="1276" w:type="dxa"/>
            <w:vAlign w:val="center"/>
          </w:tcPr>
          <w:p w:rsidR="00101AD3" w:rsidRDefault="00A1339C">
            <w:pPr>
              <w:jc w:val="center"/>
            </w:pPr>
            <w:r>
              <w:rPr>
                <w:rFonts w:eastAsiaTheme="minorEastAsia"/>
                <w:kern w:val="0"/>
                <w:szCs w:val="21"/>
              </w:rPr>
              <w:t>688169</w:t>
            </w:r>
          </w:p>
        </w:tc>
        <w:tc>
          <w:tcPr>
            <w:tcW w:w="1701" w:type="dxa"/>
            <w:vAlign w:val="center"/>
          </w:tcPr>
          <w:p w:rsidR="00101AD3" w:rsidRDefault="00A1339C">
            <w:pPr>
              <w:jc w:val="center"/>
            </w:pPr>
            <w:r>
              <w:rPr>
                <w:rFonts w:eastAsiaTheme="minorEastAsia"/>
                <w:kern w:val="0"/>
                <w:szCs w:val="21"/>
              </w:rPr>
              <w:t>石头科技</w:t>
            </w:r>
          </w:p>
        </w:tc>
        <w:tc>
          <w:tcPr>
            <w:tcW w:w="1276" w:type="dxa"/>
            <w:vAlign w:val="center"/>
          </w:tcPr>
          <w:p w:rsidR="00101AD3" w:rsidRDefault="00A1339C">
            <w:pPr>
              <w:jc w:val="right"/>
            </w:pPr>
            <w:r>
              <w:rPr>
                <w:rFonts w:eastAsiaTheme="minorEastAsia"/>
                <w:kern w:val="0"/>
                <w:szCs w:val="21"/>
              </w:rPr>
              <w:t>110,519</w:t>
            </w:r>
          </w:p>
        </w:tc>
        <w:tc>
          <w:tcPr>
            <w:tcW w:w="1842" w:type="dxa"/>
            <w:vAlign w:val="center"/>
          </w:tcPr>
          <w:p w:rsidR="00101AD3" w:rsidRDefault="00A1339C">
            <w:pPr>
              <w:jc w:val="right"/>
            </w:pPr>
            <w:r>
              <w:rPr>
                <w:rFonts w:eastAsiaTheme="minorEastAsia"/>
                <w:kern w:val="0"/>
                <w:szCs w:val="21"/>
              </w:rPr>
              <w:t>31,271,351.05</w:t>
            </w:r>
          </w:p>
        </w:tc>
        <w:tc>
          <w:tcPr>
            <w:tcW w:w="1616" w:type="dxa"/>
            <w:vAlign w:val="center"/>
          </w:tcPr>
          <w:p w:rsidR="00101AD3" w:rsidRDefault="00A1339C">
            <w:pPr>
              <w:jc w:val="right"/>
            </w:pPr>
            <w:r>
              <w:rPr>
                <w:rFonts w:eastAsiaTheme="minorEastAsia"/>
                <w:kern w:val="0"/>
                <w:szCs w:val="21"/>
              </w:rPr>
              <w:t>8.81</w:t>
            </w:r>
          </w:p>
        </w:tc>
      </w:tr>
      <w:tr w:rsidR="00101AD3">
        <w:tc>
          <w:tcPr>
            <w:tcW w:w="817" w:type="dxa"/>
            <w:vAlign w:val="center"/>
          </w:tcPr>
          <w:p w:rsidR="00101AD3" w:rsidRDefault="00A1339C">
            <w:pPr>
              <w:jc w:val="center"/>
            </w:pPr>
            <w:r>
              <w:rPr>
                <w:rFonts w:eastAsiaTheme="minorEastAsia"/>
                <w:kern w:val="0"/>
                <w:szCs w:val="21"/>
              </w:rPr>
              <w:t>2</w:t>
            </w:r>
          </w:p>
        </w:tc>
        <w:tc>
          <w:tcPr>
            <w:tcW w:w="1276" w:type="dxa"/>
            <w:vAlign w:val="center"/>
          </w:tcPr>
          <w:p w:rsidR="00101AD3" w:rsidRDefault="00A1339C">
            <w:pPr>
              <w:jc w:val="center"/>
            </w:pPr>
            <w:r>
              <w:rPr>
                <w:rFonts w:eastAsiaTheme="minorEastAsia"/>
                <w:kern w:val="0"/>
                <w:szCs w:val="21"/>
              </w:rPr>
              <w:t>002050</w:t>
            </w:r>
          </w:p>
        </w:tc>
        <w:tc>
          <w:tcPr>
            <w:tcW w:w="1701" w:type="dxa"/>
            <w:vAlign w:val="center"/>
          </w:tcPr>
          <w:p w:rsidR="00101AD3" w:rsidRDefault="00A1339C">
            <w:pPr>
              <w:jc w:val="center"/>
            </w:pPr>
            <w:r>
              <w:rPr>
                <w:rFonts w:eastAsiaTheme="minorEastAsia"/>
                <w:kern w:val="0"/>
                <w:szCs w:val="21"/>
              </w:rPr>
              <w:t>三花智控</w:t>
            </w:r>
          </w:p>
        </w:tc>
        <w:tc>
          <w:tcPr>
            <w:tcW w:w="1276" w:type="dxa"/>
            <w:vAlign w:val="center"/>
          </w:tcPr>
          <w:p w:rsidR="00101AD3" w:rsidRDefault="00A1339C">
            <w:pPr>
              <w:jc w:val="right"/>
            </w:pPr>
            <w:r>
              <w:rPr>
                <w:rFonts w:eastAsiaTheme="minorEastAsia"/>
                <w:kern w:val="0"/>
                <w:szCs w:val="21"/>
              </w:rPr>
              <w:t>969,873</w:t>
            </w:r>
          </w:p>
        </w:tc>
        <w:tc>
          <w:tcPr>
            <w:tcW w:w="1842" w:type="dxa"/>
            <w:vAlign w:val="center"/>
          </w:tcPr>
          <w:p w:rsidR="00101AD3" w:rsidRDefault="00A1339C">
            <w:pPr>
              <w:jc w:val="right"/>
            </w:pPr>
            <w:r>
              <w:rPr>
                <w:rFonts w:eastAsiaTheme="minorEastAsia"/>
                <w:kern w:val="0"/>
                <w:szCs w:val="21"/>
              </w:rPr>
              <w:t>28,514,266.20</w:t>
            </w:r>
          </w:p>
        </w:tc>
        <w:tc>
          <w:tcPr>
            <w:tcW w:w="1616" w:type="dxa"/>
            <w:vAlign w:val="center"/>
          </w:tcPr>
          <w:p w:rsidR="00101AD3" w:rsidRDefault="00A1339C">
            <w:pPr>
              <w:jc w:val="right"/>
            </w:pPr>
            <w:r>
              <w:rPr>
                <w:rFonts w:eastAsiaTheme="minorEastAsia"/>
                <w:kern w:val="0"/>
                <w:szCs w:val="21"/>
              </w:rPr>
              <w:t>8.04</w:t>
            </w:r>
          </w:p>
        </w:tc>
      </w:tr>
      <w:tr w:rsidR="00101AD3">
        <w:tc>
          <w:tcPr>
            <w:tcW w:w="817" w:type="dxa"/>
            <w:vAlign w:val="center"/>
          </w:tcPr>
          <w:p w:rsidR="00101AD3" w:rsidRDefault="00A1339C">
            <w:pPr>
              <w:jc w:val="center"/>
            </w:pPr>
            <w:r>
              <w:rPr>
                <w:rFonts w:eastAsiaTheme="minorEastAsia"/>
                <w:kern w:val="0"/>
                <w:szCs w:val="21"/>
              </w:rPr>
              <w:t>3</w:t>
            </w:r>
          </w:p>
        </w:tc>
        <w:tc>
          <w:tcPr>
            <w:tcW w:w="1276" w:type="dxa"/>
            <w:vAlign w:val="center"/>
          </w:tcPr>
          <w:p w:rsidR="00101AD3" w:rsidRDefault="00A1339C">
            <w:pPr>
              <w:jc w:val="center"/>
            </w:pPr>
            <w:r>
              <w:rPr>
                <w:rFonts w:eastAsiaTheme="minorEastAsia"/>
                <w:kern w:val="0"/>
                <w:szCs w:val="21"/>
              </w:rPr>
              <w:t>300308</w:t>
            </w:r>
          </w:p>
        </w:tc>
        <w:tc>
          <w:tcPr>
            <w:tcW w:w="1701" w:type="dxa"/>
            <w:vAlign w:val="center"/>
          </w:tcPr>
          <w:p w:rsidR="00101AD3" w:rsidRDefault="00A1339C">
            <w:pPr>
              <w:jc w:val="center"/>
            </w:pPr>
            <w:r>
              <w:rPr>
                <w:rFonts w:eastAsiaTheme="minorEastAsia"/>
                <w:kern w:val="0"/>
                <w:szCs w:val="21"/>
              </w:rPr>
              <w:t>中际旭创</w:t>
            </w:r>
          </w:p>
        </w:tc>
        <w:tc>
          <w:tcPr>
            <w:tcW w:w="1276" w:type="dxa"/>
            <w:vAlign w:val="center"/>
          </w:tcPr>
          <w:p w:rsidR="00101AD3" w:rsidRDefault="00A1339C">
            <w:pPr>
              <w:jc w:val="right"/>
            </w:pPr>
            <w:r>
              <w:rPr>
                <w:rFonts w:eastAsiaTheme="minorEastAsia"/>
                <w:kern w:val="0"/>
                <w:szCs w:val="21"/>
              </w:rPr>
              <w:t>219,329</w:t>
            </w:r>
          </w:p>
        </w:tc>
        <w:tc>
          <w:tcPr>
            <w:tcW w:w="1842" w:type="dxa"/>
            <w:vAlign w:val="center"/>
          </w:tcPr>
          <w:p w:rsidR="00101AD3" w:rsidRDefault="00A1339C">
            <w:pPr>
              <w:jc w:val="right"/>
            </w:pPr>
            <w:r>
              <w:rPr>
                <w:rFonts w:eastAsiaTheme="minorEastAsia"/>
                <w:kern w:val="0"/>
                <w:szCs w:val="21"/>
              </w:rPr>
              <w:t>24,764,437.39</w:t>
            </w:r>
          </w:p>
        </w:tc>
        <w:tc>
          <w:tcPr>
            <w:tcW w:w="1616" w:type="dxa"/>
            <w:vAlign w:val="center"/>
          </w:tcPr>
          <w:p w:rsidR="00101AD3" w:rsidRDefault="00A1339C">
            <w:pPr>
              <w:jc w:val="right"/>
            </w:pPr>
            <w:r>
              <w:rPr>
                <w:rFonts w:eastAsiaTheme="minorEastAsia"/>
                <w:kern w:val="0"/>
                <w:szCs w:val="21"/>
              </w:rPr>
              <w:t>6.98</w:t>
            </w:r>
          </w:p>
        </w:tc>
      </w:tr>
      <w:tr w:rsidR="00101AD3">
        <w:tc>
          <w:tcPr>
            <w:tcW w:w="817" w:type="dxa"/>
            <w:vAlign w:val="center"/>
          </w:tcPr>
          <w:p w:rsidR="00101AD3" w:rsidRDefault="00A1339C">
            <w:pPr>
              <w:jc w:val="center"/>
            </w:pPr>
            <w:r>
              <w:rPr>
                <w:rFonts w:eastAsiaTheme="minorEastAsia"/>
                <w:kern w:val="0"/>
                <w:szCs w:val="21"/>
              </w:rPr>
              <w:t>4</w:t>
            </w:r>
          </w:p>
        </w:tc>
        <w:tc>
          <w:tcPr>
            <w:tcW w:w="1276" w:type="dxa"/>
            <w:vAlign w:val="center"/>
          </w:tcPr>
          <w:p w:rsidR="00101AD3" w:rsidRDefault="00A1339C">
            <w:pPr>
              <w:jc w:val="center"/>
            </w:pPr>
            <w:r>
              <w:rPr>
                <w:rFonts w:eastAsiaTheme="minorEastAsia"/>
                <w:kern w:val="0"/>
                <w:szCs w:val="21"/>
              </w:rPr>
              <w:t>300394</w:t>
            </w:r>
          </w:p>
        </w:tc>
        <w:tc>
          <w:tcPr>
            <w:tcW w:w="1701" w:type="dxa"/>
            <w:vAlign w:val="center"/>
          </w:tcPr>
          <w:p w:rsidR="00101AD3" w:rsidRDefault="00A1339C">
            <w:pPr>
              <w:jc w:val="center"/>
            </w:pPr>
            <w:r>
              <w:rPr>
                <w:rFonts w:eastAsiaTheme="minorEastAsia"/>
                <w:kern w:val="0"/>
                <w:szCs w:val="21"/>
              </w:rPr>
              <w:t>天孚通信</w:t>
            </w:r>
          </w:p>
        </w:tc>
        <w:tc>
          <w:tcPr>
            <w:tcW w:w="1276" w:type="dxa"/>
            <w:vAlign w:val="center"/>
          </w:tcPr>
          <w:p w:rsidR="00101AD3" w:rsidRDefault="00A1339C">
            <w:pPr>
              <w:jc w:val="right"/>
            </w:pPr>
            <w:r>
              <w:rPr>
                <w:rFonts w:eastAsiaTheme="minorEastAsia"/>
                <w:kern w:val="0"/>
                <w:szCs w:val="21"/>
              </w:rPr>
              <w:t>213,552</w:t>
            </w:r>
          </w:p>
        </w:tc>
        <w:tc>
          <w:tcPr>
            <w:tcW w:w="1842" w:type="dxa"/>
            <w:vAlign w:val="center"/>
          </w:tcPr>
          <w:p w:rsidR="00101AD3" w:rsidRDefault="00A1339C">
            <w:pPr>
              <w:jc w:val="right"/>
            </w:pPr>
            <w:r>
              <w:rPr>
                <w:rFonts w:eastAsiaTheme="minorEastAsia"/>
                <w:kern w:val="0"/>
                <w:szCs w:val="21"/>
              </w:rPr>
              <w:t>19,544,279.04</w:t>
            </w:r>
          </w:p>
        </w:tc>
        <w:tc>
          <w:tcPr>
            <w:tcW w:w="1616" w:type="dxa"/>
            <w:vAlign w:val="center"/>
          </w:tcPr>
          <w:p w:rsidR="00101AD3" w:rsidRDefault="00A1339C">
            <w:pPr>
              <w:jc w:val="right"/>
            </w:pPr>
            <w:r>
              <w:rPr>
                <w:rFonts w:eastAsiaTheme="minorEastAsia"/>
                <w:kern w:val="0"/>
                <w:szCs w:val="21"/>
              </w:rPr>
              <w:t>5.51</w:t>
            </w:r>
          </w:p>
        </w:tc>
      </w:tr>
      <w:tr w:rsidR="00101AD3">
        <w:tc>
          <w:tcPr>
            <w:tcW w:w="817" w:type="dxa"/>
            <w:vAlign w:val="center"/>
          </w:tcPr>
          <w:p w:rsidR="00101AD3" w:rsidRDefault="00A1339C">
            <w:pPr>
              <w:jc w:val="center"/>
            </w:pPr>
            <w:r>
              <w:rPr>
                <w:rFonts w:eastAsiaTheme="minorEastAsia"/>
                <w:kern w:val="0"/>
                <w:szCs w:val="21"/>
              </w:rPr>
              <w:t>5</w:t>
            </w:r>
          </w:p>
        </w:tc>
        <w:tc>
          <w:tcPr>
            <w:tcW w:w="1276" w:type="dxa"/>
            <w:vAlign w:val="center"/>
          </w:tcPr>
          <w:p w:rsidR="00101AD3" w:rsidRDefault="00A1339C">
            <w:pPr>
              <w:jc w:val="center"/>
            </w:pPr>
            <w:r>
              <w:rPr>
                <w:rFonts w:eastAsiaTheme="minorEastAsia"/>
                <w:kern w:val="0"/>
                <w:szCs w:val="21"/>
              </w:rPr>
              <w:t>300007</w:t>
            </w:r>
          </w:p>
        </w:tc>
        <w:tc>
          <w:tcPr>
            <w:tcW w:w="1701" w:type="dxa"/>
            <w:vAlign w:val="center"/>
          </w:tcPr>
          <w:p w:rsidR="00101AD3" w:rsidRDefault="00A1339C">
            <w:pPr>
              <w:jc w:val="center"/>
            </w:pPr>
            <w:r>
              <w:rPr>
                <w:rFonts w:eastAsiaTheme="minorEastAsia"/>
                <w:kern w:val="0"/>
                <w:szCs w:val="21"/>
              </w:rPr>
              <w:t>汉威科技</w:t>
            </w:r>
          </w:p>
        </w:tc>
        <w:tc>
          <w:tcPr>
            <w:tcW w:w="1276" w:type="dxa"/>
            <w:vAlign w:val="center"/>
          </w:tcPr>
          <w:p w:rsidR="00101AD3" w:rsidRDefault="00A1339C">
            <w:pPr>
              <w:jc w:val="right"/>
            </w:pPr>
            <w:r>
              <w:rPr>
                <w:rFonts w:eastAsiaTheme="minorEastAsia"/>
                <w:kern w:val="0"/>
                <w:szCs w:val="21"/>
              </w:rPr>
              <w:t>501,700</w:t>
            </w:r>
          </w:p>
        </w:tc>
        <w:tc>
          <w:tcPr>
            <w:tcW w:w="1842" w:type="dxa"/>
            <w:vAlign w:val="center"/>
          </w:tcPr>
          <w:p w:rsidR="00101AD3" w:rsidRDefault="00A1339C">
            <w:pPr>
              <w:jc w:val="right"/>
            </w:pPr>
            <w:r>
              <w:rPr>
                <w:rFonts w:eastAsiaTheme="minorEastAsia"/>
                <w:kern w:val="0"/>
                <w:szCs w:val="21"/>
              </w:rPr>
              <w:t>10,425,326.00</w:t>
            </w:r>
          </w:p>
        </w:tc>
        <w:tc>
          <w:tcPr>
            <w:tcW w:w="1616" w:type="dxa"/>
            <w:vAlign w:val="center"/>
          </w:tcPr>
          <w:p w:rsidR="00101AD3" w:rsidRDefault="00A1339C">
            <w:pPr>
              <w:jc w:val="right"/>
            </w:pPr>
            <w:r>
              <w:rPr>
                <w:rFonts w:eastAsiaTheme="minorEastAsia"/>
                <w:kern w:val="0"/>
                <w:szCs w:val="21"/>
              </w:rPr>
              <w:t>2.94</w:t>
            </w:r>
          </w:p>
        </w:tc>
      </w:tr>
      <w:tr w:rsidR="00101AD3">
        <w:tc>
          <w:tcPr>
            <w:tcW w:w="817" w:type="dxa"/>
            <w:vAlign w:val="center"/>
          </w:tcPr>
          <w:p w:rsidR="00101AD3" w:rsidRDefault="00A1339C">
            <w:pPr>
              <w:jc w:val="center"/>
            </w:pPr>
            <w:r>
              <w:rPr>
                <w:rFonts w:eastAsiaTheme="minorEastAsia"/>
                <w:kern w:val="0"/>
                <w:szCs w:val="21"/>
              </w:rPr>
              <w:t>6</w:t>
            </w:r>
          </w:p>
        </w:tc>
        <w:tc>
          <w:tcPr>
            <w:tcW w:w="1276" w:type="dxa"/>
            <w:vAlign w:val="center"/>
          </w:tcPr>
          <w:p w:rsidR="00101AD3" w:rsidRDefault="00A1339C">
            <w:pPr>
              <w:jc w:val="center"/>
            </w:pPr>
            <w:r>
              <w:rPr>
                <w:rFonts w:eastAsiaTheme="minorEastAsia"/>
                <w:kern w:val="0"/>
                <w:szCs w:val="21"/>
              </w:rPr>
              <w:t>300418</w:t>
            </w:r>
          </w:p>
        </w:tc>
        <w:tc>
          <w:tcPr>
            <w:tcW w:w="1701" w:type="dxa"/>
            <w:vAlign w:val="center"/>
          </w:tcPr>
          <w:p w:rsidR="00101AD3" w:rsidRDefault="00A1339C">
            <w:pPr>
              <w:jc w:val="center"/>
            </w:pPr>
            <w:r>
              <w:rPr>
                <w:rFonts w:eastAsiaTheme="minorEastAsia"/>
                <w:kern w:val="0"/>
                <w:szCs w:val="21"/>
              </w:rPr>
              <w:t>昆仑万维</w:t>
            </w:r>
          </w:p>
        </w:tc>
        <w:tc>
          <w:tcPr>
            <w:tcW w:w="1276" w:type="dxa"/>
            <w:vAlign w:val="center"/>
          </w:tcPr>
          <w:p w:rsidR="00101AD3" w:rsidRDefault="00A1339C">
            <w:pPr>
              <w:jc w:val="right"/>
            </w:pPr>
            <w:r>
              <w:rPr>
                <w:rFonts w:eastAsiaTheme="minorEastAsia"/>
                <w:kern w:val="0"/>
                <w:szCs w:val="21"/>
              </w:rPr>
              <w:t>274,300</w:t>
            </w:r>
          </w:p>
        </w:tc>
        <w:tc>
          <w:tcPr>
            <w:tcW w:w="1842" w:type="dxa"/>
            <w:vAlign w:val="center"/>
          </w:tcPr>
          <w:p w:rsidR="00101AD3" w:rsidRDefault="00A1339C">
            <w:pPr>
              <w:jc w:val="right"/>
            </w:pPr>
            <w:r>
              <w:rPr>
                <w:rFonts w:eastAsiaTheme="minorEastAsia"/>
                <w:kern w:val="0"/>
                <w:szCs w:val="21"/>
              </w:rPr>
              <w:t>10,258,820.00</w:t>
            </w:r>
          </w:p>
        </w:tc>
        <w:tc>
          <w:tcPr>
            <w:tcW w:w="1616" w:type="dxa"/>
            <w:vAlign w:val="center"/>
          </w:tcPr>
          <w:p w:rsidR="00101AD3" w:rsidRDefault="00A1339C">
            <w:pPr>
              <w:jc w:val="right"/>
            </w:pPr>
            <w:r>
              <w:rPr>
                <w:rFonts w:eastAsiaTheme="minorEastAsia"/>
                <w:kern w:val="0"/>
                <w:szCs w:val="21"/>
              </w:rPr>
              <w:t>2.89</w:t>
            </w:r>
          </w:p>
        </w:tc>
      </w:tr>
      <w:tr w:rsidR="00101AD3">
        <w:tc>
          <w:tcPr>
            <w:tcW w:w="817" w:type="dxa"/>
            <w:vAlign w:val="center"/>
          </w:tcPr>
          <w:p w:rsidR="00101AD3" w:rsidRDefault="00A1339C">
            <w:pPr>
              <w:jc w:val="center"/>
            </w:pPr>
            <w:r>
              <w:rPr>
                <w:rFonts w:eastAsiaTheme="minorEastAsia"/>
                <w:kern w:val="0"/>
                <w:szCs w:val="21"/>
              </w:rPr>
              <w:t>7</w:t>
            </w:r>
          </w:p>
        </w:tc>
        <w:tc>
          <w:tcPr>
            <w:tcW w:w="1276" w:type="dxa"/>
            <w:vAlign w:val="center"/>
          </w:tcPr>
          <w:p w:rsidR="00101AD3" w:rsidRDefault="00A1339C">
            <w:pPr>
              <w:jc w:val="center"/>
            </w:pPr>
            <w:r>
              <w:rPr>
                <w:rFonts w:eastAsiaTheme="minorEastAsia"/>
                <w:kern w:val="0"/>
                <w:szCs w:val="21"/>
              </w:rPr>
              <w:t>000625</w:t>
            </w:r>
          </w:p>
        </w:tc>
        <w:tc>
          <w:tcPr>
            <w:tcW w:w="1701" w:type="dxa"/>
            <w:vAlign w:val="center"/>
          </w:tcPr>
          <w:p w:rsidR="00101AD3" w:rsidRDefault="00A1339C">
            <w:pPr>
              <w:jc w:val="center"/>
            </w:pPr>
            <w:r>
              <w:rPr>
                <w:rFonts w:eastAsiaTheme="minorEastAsia"/>
                <w:kern w:val="0"/>
                <w:szCs w:val="21"/>
              </w:rPr>
              <w:t>长安汽车</w:t>
            </w:r>
          </w:p>
        </w:tc>
        <w:tc>
          <w:tcPr>
            <w:tcW w:w="1276" w:type="dxa"/>
            <w:vAlign w:val="center"/>
          </w:tcPr>
          <w:p w:rsidR="00101AD3" w:rsidRDefault="00A1339C">
            <w:pPr>
              <w:jc w:val="right"/>
            </w:pPr>
            <w:r>
              <w:rPr>
                <w:rFonts w:eastAsiaTheme="minorEastAsia"/>
                <w:kern w:val="0"/>
                <w:szCs w:val="21"/>
              </w:rPr>
              <w:t>586,300</w:t>
            </w:r>
          </w:p>
        </w:tc>
        <w:tc>
          <w:tcPr>
            <w:tcW w:w="1842" w:type="dxa"/>
            <w:vAlign w:val="center"/>
          </w:tcPr>
          <w:p w:rsidR="00101AD3" w:rsidRDefault="00A1339C">
            <w:pPr>
              <w:jc w:val="right"/>
            </w:pPr>
            <w:r>
              <w:rPr>
                <w:rFonts w:eastAsiaTheme="minorEastAsia"/>
                <w:kern w:val="0"/>
                <w:szCs w:val="21"/>
              </w:rPr>
              <w:t>9,867,429.00</w:t>
            </w:r>
          </w:p>
        </w:tc>
        <w:tc>
          <w:tcPr>
            <w:tcW w:w="1616" w:type="dxa"/>
            <w:vAlign w:val="center"/>
          </w:tcPr>
          <w:p w:rsidR="00101AD3" w:rsidRDefault="00A1339C">
            <w:pPr>
              <w:jc w:val="right"/>
            </w:pPr>
            <w:r>
              <w:rPr>
                <w:rFonts w:eastAsiaTheme="minorEastAsia"/>
                <w:kern w:val="0"/>
                <w:szCs w:val="21"/>
              </w:rPr>
              <w:t>2.78</w:t>
            </w:r>
          </w:p>
        </w:tc>
      </w:tr>
      <w:tr w:rsidR="00101AD3">
        <w:tc>
          <w:tcPr>
            <w:tcW w:w="817" w:type="dxa"/>
            <w:vAlign w:val="center"/>
          </w:tcPr>
          <w:p w:rsidR="00101AD3" w:rsidRDefault="00A1339C">
            <w:pPr>
              <w:jc w:val="center"/>
            </w:pPr>
            <w:r>
              <w:rPr>
                <w:rFonts w:eastAsiaTheme="minorEastAsia"/>
                <w:kern w:val="0"/>
                <w:szCs w:val="21"/>
              </w:rPr>
              <w:t>8</w:t>
            </w:r>
          </w:p>
        </w:tc>
        <w:tc>
          <w:tcPr>
            <w:tcW w:w="1276" w:type="dxa"/>
            <w:vAlign w:val="center"/>
          </w:tcPr>
          <w:p w:rsidR="00101AD3" w:rsidRDefault="00A1339C">
            <w:pPr>
              <w:jc w:val="center"/>
            </w:pPr>
            <w:r>
              <w:rPr>
                <w:rFonts w:eastAsiaTheme="minorEastAsia"/>
                <w:kern w:val="0"/>
                <w:szCs w:val="21"/>
              </w:rPr>
              <w:t>603728</w:t>
            </w:r>
          </w:p>
        </w:tc>
        <w:tc>
          <w:tcPr>
            <w:tcW w:w="1701" w:type="dxa"/>
            <w:vAlign w:val="center"/>
          </w:tcPr>
          <w:p w:rsidR="00101AD3" w:rsidRDefault="00A1339C">
            <w:pPr>
              <w:jc w:val="center"/>
            </w:pPr>
            <w:r>
              <w:rPr>
                <w:rFonts w:eastAsiaTheme="minorEastAsia"/>
                <w:kern w:val="0"/>
                <w:szCs w:val="21"/>
              </w:rPr>
              <w:t>鸣志电器</w:t>
            </w:r>
          </w:p>
        </w:tc>
        <w:tc>
          <w:tcPr>
            <w:tcW w:w="1276" w:type="dxa"/>
            <w:vAlign w:val="center"/>
          </w:tcPr>
          <w:p w:rsidR="00101AD3" w:rsidRDefault="00A1339C">
            <w:pPr>
              <w:jc w:val="right"/>
            </w:pPr>
            <w:r>
              <w:rPr>
                <w:rFonts w:eastAsiaTheme="minorEastAsia"/>
                <w:kern w:val="0"/>
                <w:szCs w:val="21"/>
              </w:rPr>
              <w:t>138,400</w:t>
            </w:r>
          </w:p>
        </w:tc>
        <w:tc>
          <w:tcPr>
            <w:tcW w:w="1842" w:type="dxa"/>
            <w:vAlign w:val="center"/>
          </w:tcPr>
          <w:p w:rsidR="00101AD3" w:rsidRDefault="00A1339C">
            <w:pPr>
              <w:jc w:val="right"/>
            </w:pPr>
            <w:r>
              <w:rPr>
                <w:rFonts w:eastAsiaTheme="minorEastAsia"/>
                <w:kern w:val="0"/>
                <w:szCs w:val="21"/>
              </w:rPr>
              <w:t>9,113,640.00</w:t>
            </w:r>
          </w:p>
        </w:tc>
        <w:tc>
          <w:tcPr>
            <w:tcW w:w="1616" w:type="dxa"/>
            <w:vAlign w:val="center"/>
          </w:tcPr>
          <w:p w:rsidR="00101AD3" w:rsidRDefault="00A1339C">
            <w:pPr>
              <w:jc w:val="right"/>
            </w:pPr>
            <w:r>
              <w:rPr>
                <w:rFonts w:eastAsiaTheme="minorEastAsia"/>
                <w:kern w:val="0"/>
                <w:szCs w:val="21"/>
              </w:rPr>
              <w:t>2.57</w:t>
            </w:r>
          </w:p>
        </w:tc>
      </w:tr>
      <w:tr w:rsidR="00101AD3">
        <w:tc>
          <w:tcPr>
            <w:tcW w:w="817" w:type="dxa"/>
            <w:vAlign w:val="center"/>
          </w:tcPr>
          <w:p w:rsidR="00101AD3" w:rsidRDefault="00A1339C">
            <w:pPr>
              <w:jc w:val="center"/>
            </w:pPr>
            <w:r>
              <w:rPr>
                <w:rFonts w:eastAsiaTheme="minorEastAsia"/>
                <w:kern w:val="0"/>
                <w:szCs w:val="21"/>
              </w:rPr>
              <w:t>9</w:t>
            </w:r>
          </w:p>
        </w:tc>
        <w:tc>
          <w:tcPr>
            <w:tcW w:w="1276" w:type="dxa"/>
            <w:vAlign w:val="center"/>
          </w:tcPr>
          <w:p w:rsidR="00101AD3" w:rsidRDefault="00A1339C">
            <w:pPr>
              <w:jc w:val="center"/>
            </w:pPr>
            <w:r>
              <w:rPr>
                <w:rFonts w:eastAsiaTheme="minorEastAsia"/>
                <w:kern w:val="0"/>
                <w:szCs w:val="21"/>
              </w:rPr>
              <w:t>300809</w:t>
            </w:r>
          </w:p>
        </w:tc>
        <w:tc>
          <w:tcPr>
            <w:tcW w:w="1701" w:type="dxa"/>
            <w:vAlign w:val="center"/>
          </w:tcPr>
          <w:p w:rsidR="00101AD3" w:rsidRDefault="00A1339C">
            <w:pPr>
              <w:jc w:val="center"/>
            </w:pPr>
            <w:r>
              <w:rPr>
                <w:rFonts w:eastAsiaTheme="minorEastAsia"/>
                <w:kern w:val="0"/>
                <w:szCs w:val="21"/>
              </w:rPr>
              <w:t>华辰装备</w:t>
            </w:r>
          </w:p>
        </w:tc>
        <w:tc>
          <w:tcPr>
            <w:tcW w:w="1276" w:type="dxa"/>
            <w:vAlign w:val="center"/>
          </w:tcPr>
          <w:p w:rsidR="00101AD3" w:rsidRDefault="00A1339C">
            <w:pPr>
              <w:jc w:val="right"/>
            </w:pPr>
            <w:r>
              <w:rPr>
                <w:rFonts w:eastAsiaTheme="minorEastAsia"/>
                <w:kern w:val="0"/>
                <w:szCs w:val="21"/>
              </w:rPr>
              <w:t>290,200</w:t>
            </w:r>
          </w:p>
        </w:tc>
        <w:tc>
          <w:tcPr>
            <w:tcW w:w="1842" w:type="dxa"/>
            <w:vAlign w:val="center"/>
          </w:tcPr>
          <w:p w:rsidR="00101AD3" w:rsidRDefault="00A1339C">
            <w:pPr>
              <w:jc w:val="right"/>
            </w:pPr>
            <w:r>
              <w:rPr>
                <w:rFonts w:eastAsiaTheme="minorEastAsia"/>
                <w:kern w:val="0"/>
                <w:szCs w:val="21"/>
              </w:rPr>
              <w:t>8,488,350.00</w:t>
            </w:r>
          </w:p>
        </w:tc>
        <w:tc>
          <w:tcPr>
            <w:tcW w:w="1616" w:type="dxa"/>
            <w:vAlign w:val="center"/>
          </w:tcPr>
          <w:p w:rsidR="00101AD3" w:rsidRDefault="00A1339C">
            <w:pPr>
              <w:jc w:val="right"/>
            </w:pPr>
            <w:r>
              <w:rPr>
                <w:rFonts w:eastAsiaTheme="minorEastAsia"/>
                <w:kern w:val="0"/>
                <w:szCs w:val="21"/>
              </w:rPr>
              <w:t>2.39</w:t>
            </w:r>
          </w:p>
        </w:tc>
      </w:tr>
      <w:tr w:rsidR="00101AD3">
        <w:tc>
          <w:tcPr>
            <w:tcW w:w="817" w:type="dxa"/>
            <w:vAlign w:val="center"/>
          </w:tcPr>
          <w:p w:rsidR="00101AD3" w:rsidRDefault="00A1339C">
            <w:pPr>
              <w:jc w:val="center"/>
            </w:pPr>
            <w:r>
              <w:rPr>
                <w:rFonts w:eastAsiaTheme="minorEastAsia"/>
                <w:kern w:val="0"/>
                <w:szCs w:val="21"/>
              </w:rPr>
              <w:t>10</w:t>
            </w:r>
          </w:p>
        </w:tc>
        <w:tc>
          <w:tcPr>
            <w:tcW w:w="1276" w:type="dxa"/>
            <w:vAlign w:val="center"/>
          </w:tcPr>
          <w:p w:rsidR="00101AD3" w:rsidRDefault="00A1339C">
            <w:pPr>
              <w:jc w:val="center"/>
            </w:pPr>
            <w:r>
              <w:rPr>
                <w:rFonts w:eastAsiaTheme="minorEastAsia"/>
                <w:kern w:val="0"/>
                <w:szCs w:val="21"/>
              </w:rPr>
              <w:t>688017</w:t>
            </w:r>
          </w:p>
        </w:tc>
        <w:tc>
          <w:tcPr>
            <w:tcW w:w="1701" w:type="dxa"/>
            <w:vAlign w:val="center"/>
          </w:tcPr>
          <w:p w:rsidR="00101AD3" w:rsidRDefault="00A1339C">
            <w:pPr>
              <w:jc w:val="center"/>
            </w:pPr>
            <w:r>
              <w:rPr>
                <w:rFonts w:eastAsiaTheme="minorEastAsia"/>
                <w:kern w:val="0"/>
                <w:szCs w:val="21"/>
              </w:rPr>
              <w:t>绿的谐波</w:t>
            </w:r>
          </w:p>
        </w:tc>
        <w:tc>
          <w:tcPr>
            <w:tcW w:w="1276" w:type="dxa"/>
            <w:vAlign w:val="center"/>
          </w:tcPr>
          <w:p w:rsidR="00101AD3" w:rsidRDefault="00A1339C">
            <w:pPr>
              <w:jc w:val="right"/>
            </w:pPr>
            <w:r>
              <w:rPr>
                <w:rFonts w:eastAsiaTheme="minorEastAsia"/>
                <w:kern w:val="0"/>
                <w:szCs w:val="21"/>
              </w:rPr>
              <w:t>55,065</w:t>
            </w:r>
          </w:p>
        </w:tc>
        <w:tc>
          <w:tcPr>
            <w:tcW w:w="1842" w:type="dxa"/>
            <w:vAlign w:val="center"/>
          </w:tcPr>
          <w:p w:rsidR="00101AD3" w:rsidRDefault="00A1339C">
            <w:pPr>
              <w:jc w:val="right"/>
            </w:pPr>
            <w:r>
              <w:rPr>
                <w:rFonts w:eastAsiaTheme="minorEastAsia"/>
                <w:kern w:val="0"/>
                <w:szCs w:val="21"/>
              </w:rPr>
              <w:t>8,452,477.50</w:t>
            </w:r>
          </w:p>
        </w:tc>
        <w:tc>
          <w:tcPr>
            <w:tcW w:w="1616" w:type="dxa"/>
            <w:vAlign w:val="center"/>
          </w:tcPr>
          <w:p w:rsidR="00101AD3" w:rsidRDefault="00A1339C">
            <w:pPr>
              <w:jc w:val="right"/>
            </w:pPr>
            <w:r>
              <w:rPr>
                <w:rFonts w:eastAsiaTheme="minorEastAsia"/>
                <w:kern w:val="0"/>
                <w:szCs w:val="21"/>
              </w:rPr>
              <w:t>2.38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w:t>
      </w:r>
      <w:r w:rsidRPr="00B27A29">
        <w:rPr>
          <w:rFonts w:eastAsiaTheme="minorEastAsia"/>
          <w:b/>
          <w:color w:val="000000" w:themeColor="text1"/>
          <w:kern w:val="0"/>
          <w:szCs w:val="21"/>
        </w:rPr>
        <w:t>投资组合报告附注</w:t>
      </w:r>
    </w:p>
    <w:p w:rsidR="00A1339C" w:rsidRDefault="005C671B" w:rsidP="00A1339C">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00806B57" w:rsidRPr="00806B57">
        <w:rPr>
          <w:rFonts w:eastAsiaTheme="minorEastAsia" w:hint="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rsidP="00A1339C">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141,673.85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107,413.71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249,087.56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175,512,193.37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189,595.30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3,152,832.80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28,729.84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2,798,798.88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34,338.71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175,866,227.29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183,986.43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摩根中小盘混合型证券投资基金基金合同</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摩根中小盘混合型证券投资基金托管协议</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101AD3" w:rsidRDefault="00A1339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C035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C0352">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C0352">
      <w:rPr>
        <w:rStyle w:val="af6"/>
        <w:noProof/>
      </w:rPr>
      <w:t>13</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摩根中小盘混合型证券投资基金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1AD3"/>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0352"/>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6B57"/>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0F2"/>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339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5D0"/>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58ED60-E258-4D98-AFDC-F1BFBB38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31</TotalTime>
  <Pages>13</Pages>
  <Words>1155</Words>
  <Characters>6590</Characters>
  <Application>Microsoft Office Word</Application>
  <DocSecurity>0</DocSecurity>
  <Lines>54</Lines>
  <Paragraphs>15</Paragraphs>
  <ScaleCrop>false</ScaleCrop>
  <Company>TRT. Ltd. Co.</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224</cp:revision>
  <cp:lastPrinted>2007-07-19T00:46:00Z</cp:lastPrinted>
  <dcterms:created xsi:type="dcterms:W3CDTF">2013-06-21T06:56:00Z</dcterms:created>
  <dcterms:modified xsi:type="dcterms:W3CDTF">2024-01-19T05:57:00Z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