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29CF"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p>
    <w:p w14:paraId="114CB36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68B620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C3C06F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55E552C8"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摩根标普港股通低波红利交易型开放式指数证券投资基金</w:t>
      </w:r>
    </w:p>
    <w:p w14:paraId="59A59D18"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14:paraId="418884C6"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2D5A7EB7" w14:textId="77777777" w:rsidR="00881A82" w:rsidRPr="00473486" w:rsidRDefault="00881A82">
      <w:pPr>
        <w:spacing w:line="360" w:lineRule="auto"/>
        <w:jc w:val="center"/>
        <w:rPr>
          <w:rFonts w:eastAsiaTheme="minorEastAsia"/>
          <w:b/>
          <w:color w:val="000000" w:themeColor="text1"/>
          <w:sz w:val="24"/>
        </w:rPr>
      </w:pPr>
    </w:p>
    <w:p w14:paraId="03BC03B5" w14:textId="77777777" w:rsidR="00881A82" w:rsidRPr="00473486" w:rsidRDefault="00881A82">
      <w:pPr>
        <w:spacing w:line="360" w:lineRule="auto"/>
        <w:jc w:val="center"/>
        <w:rPr>
          <w:rFonts w:eastAsiaTheme="minorEastAsia"/>
          <w:b/>
          <w:color w:val="000000" w:themeColor="text1"/>
          <w:sz w:val="24"/>
        </w:rPr>
      </w:pPr>
    </w:p>
    <w:p w14:paraId="5EE6E655" w14:textId="77777777" w:rsidR="00881A82" w:rsidRPr="00473486" w:rsidRDefault="00881A82">
      <w:pPr>
        <w:spacing w:line="360" w:lineRule="auto"/>
        <w:jc w:val="center"/>
        <w:rPr>
          <w:rFonts w:eastAsiaTheme="minorEastAsia"/>
          <w:b/>
          <w:color w:val="000000" w:themeColor="text1"/>
          <w:sz w:val="24"/>
        </w:rPr>
      </w:pPr>
    </w:p>
    <w:p w14:paraId="5B1F31D4" w14:textId="77777777" w:rsidR="00881A82" w:rsidRPr="00473486" w:rsidRDefault="00881A82">
      <w:pPr>
        <w:spacing w:line="360" w:lineRule="auto"/>
        <w:jc w:val="center"/>
        <w:rPr>
          <w:rFonts w:eastAsiaTheme="minorEastAsia"/>
          <w:b/>
          <w:color w:val="000000" w:themeColor="text1"/>
          <w:sz w:val="24"/>
        </w:rPr>
      </w:pPr>
    </w:p>
    <w:p w14:paraId="56C781E2" w14:textId="77777777" w:rsidR="00881A82" w:rsidRPr="00473486" w:rsidRDefault="00881A82">
      <w:pPr>
        <w:spacing w:line="360" w:lineRule="auto"/>
        <w:jc w:val="center"/>
        <w:rPr>
          <w:rFonts w:eastAsiaTheme="minorEastAsia"/>
          <w:b/>
          <w:color w:val="000000" w:themeColor="text1"/>
          <w:sz w:val="24"/>
        </w:rPr>
      </w:pPr>
    </w:p>
    <w:p w14:paraId="3ECE9C36" w14:textId="77777777" w:rsidR="00881A82" w:rsidRPr="00473486" w:rsidRDefault="00881A82">
      <w:pPr>
        <w:spacing w:line="360" w:lineRule="auto"/>
        <w:jc w:val="center"/>
        <w:rPr>
          <w:rFonts w:eastAsiaTheme="minorEastAsia"/>
          <w:b/>
          <w:color w:val="000000" w:themeColor="text1"/>
          <w:sz w:val="24"/>
        </w:rPr>
      </w:pPr>
    </w:p>
    <w:p w14:paraId="174B86AE" w14:textId="77777777" w:rsidR="00881A82" w:rsidRPr="00473486" w:rsidRDefault="00881A82">
      <w:pPr>
        <w:spacing w:line="360" w:lineRule="auto"/>
        <w:jc w:val="center"/>
        <w:rPr>
          <w:rFonts w:eastAsiaTheme="minorEastAsia"/>
          <w:b/>
          <w:color w:val="000000" w:themeColor="text1"/>
          <w:sz w:val="24"/>
        </w:rPr>
      </w:pPr>
    </w:p>
    <w:p w14:paraId="477A8A7E" w14:textId="77777777" w:rsidR="00881A82" w:rsidRPr="00473486" w:rsidRDefault="00881A82">
      <w:pPr>
        <w:spacing w:line="360" w:lineRule="auto"/>
        <w:jc w:val="center"/>
        <w:rPr>
          <w:rFonts w:eastAsiaTheme="minorEastAsia"/>
          <w:b/>
          <w:color w:val="000000" w:themeColor="text1"/>
          <w:sz w:val="24"/>
        </w:rPr>
      </w:pPr>
    </w:p>
    <w:p w14:paraId="431FCFFA" w14:textId="77777777" w:rsidR="00881A82" w:rsidRPr="00473486" w:rsidRDefault="00881A82">
      <w:pPr>
        <w:spacing w:line="360" w:lineRule="auto"/>
        <w:jc w:val="center"/>
        <w:rPr>
          <w:rFonts w:eastAsiaTheme="minorEastAsia"/>
          <w:b/>
          <w:color w:val="000000" w:themeColor="text1"/>
          <w:sz w:val="24"/>
        </w:rPr>
      </w:pPr>
    </w:p>
    <w:p w14:paraId="367A793F" w14:textId="77777777" w:rsidR="00881A82" w:rsidRPr="00473486" w:rsidRDefault="00881A82">
      <w:pPr>
        <w:spacing w:line="360" w:lineRule="auto"/>
        <w:jc w:val="center"/>
        <w:rPr>
          <w:rFonts w:eastAsiaTheme="minorEastAsia"/>
          <w:b/>
          <w:color w:val="000000" w:themeColor="text1"/>
          <w:sz w:val="24"/>
        </w:rPr>
      </w:pPr>
    </w:p>
    <w:p w14:paraId="138A2E0C" w14:textId="77777777" w:rsidR="00881A82" w:rsidRPr="00473486" w:rsidRDefault="00881A82">
      <w:pPr>
        <w:spacing w:line="360" w:lineRule="auto"/>
        <w:jc w:val="center"/>
        <w:rPr>
          <w:rFonts w:eastAsiaTheme="minorEastAsia"/>
          <w:b/>
          <w:color w:val="000000" w:themeColor="text1"/>
          <w:sz w:val="24"/>
        </w:rPr>
      </w:pPr>
    </w:p>
    <w:p w14:paraId="371532C4" w14:textId="77777777" w:rsidR="00881A82" w:rsidRPr="00473486" w:rsidRDefault="00881A82">
      <w:pPr>
        <w:spacing w:line="360" w:lineRule="auto"/>
        <w:jc w:val="center"/>
        <w:rPr>
          <w:rFonts w:eastAsiaTheme="minorEastAsia"/>
          <w:b/>
          <w:color w:val="000000" w:themeColor="text1"/>
          <w:sz w:val="24"/>
        </w:rPr>
      </w:pPr>
    </w:p>
    <w:p w14:paraId="434949B7" w14:textId="77777777" w:rsidR="00881A82" w:rsidRPr="00473486" w:rsidRDefault="00881A82">
      <w:pPr>
        <w:spacing w:line="360" w:lineRule="auto"/>
        <w:jc w:val="center"/>
        <w:rPr>
          <w:rFonts w:eastAsiaTheme="minorEastAsia"/>
          <w:b/>
          <w:color w:val="000000" w:themeColor="text1"/>
          <w:sz w:val="24"/>
        </w:rPr>
      </w:pPr>
    </w:p>
    <w:p w14:paraId="6D9DDA61" w14:textId="77777777" w:rsidR="00881A82" w:rsidRPr="00473486" w:rsidRDefault="00881A82">
      <w:pPr>
        <w:spacing w:line="360" w:lineRule="auto"/>
        <w:jc w:val="center"/>
        <w:rPr>
          <w:rFonts w:eastAsiaTheme="minorEastAsia"/>
          <w:b/>
          <w:color w:val="000000" w:themeColor="text1"/>
          <w:sz w:val="24"/>
        </w:rPr>
      </w:pPr>
    </w:p>
    <w:p w14:paraId="5BCFA077" w14:textId="77777777" w:rsidR="00881A82" w:rsidRPr="00473486" w:rsidRDefault="00881A82">
      <w:pPr>
        <w:spacing w:line="360" w:lineRule="auto"/>
        <w:rPr>
          <w:rFonts w:eastAsiaTheme="minorEastAsia"/>
          <w:b/>
          <w:color w:val="000000" w:themeColor="text1"/>
          <w:sz w:val="24"/>
        </w:rPr>
      </w:pPr>
    </w:p>
    <w:p w14:paraId="474BDE5B"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449E1CD4"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基金托管人：广发证券股份有限公司</w:t>
      </w:r>
    </w:p>
    <w:p w14:paraId="00C4CDB5"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14:paraId="19144052"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38F439AC"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C553D16"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基金托管人广发证券股份有限公司根据本基金合同规定，于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D153CA0"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2C39279"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3D72FAE"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14D0CA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03EAAEAC"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469CF87B" w14:textId="77777777">
        <w:tc>
          <w:tcPr>
            <w:tcW w:w="2835" w:type="dxa"/>
            <w:vAlign w:val="center"/>
          </w:tcPr>
          <w:p w14:paraId="5D3BADB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5584116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摩根标普港股通低波红利</w:t>
            </w:r>
            <w:r w:rsidRPr="00473486">
              <w:rPr>
                <w:rFonts w:eastAsiaTheme="minorEastAsia"/>
                <w:color w:val="000000" w:themeColor="text1"/>
                <w:kern w:val="0"/>
                <w:szCs w:val="21"/>
              </w:rPr>
              <w:t>ETF</w:t>
            </w:r>
          </w:p>
        </w:tc>
      </w:tr>
      <w:tr w:rsidR="00881A82" w:rsidRPr="00473486" w14:paraId="681D9B4C" w14:textId="77777777">
        <w:tc>
          <w:tcPr>
            <w:tcW w:w="2835" w:type="dxa"/>
            <w:tcBorders>
              <w:top w:val="single" w:sz="4" w:space="0" w:color="auto"/>
              <w:left w:val="single" w:sz="4" w:space="0" w:color="auto"/>
              <w:bottom w:val="single" w:sz="4" w:space="0" w:color="auto"/>
              <w:right w:val="single" w:sz="4" w:space="0" w:color="auto"/>
            </w:tcBorders>
            <w:vAlign w:val="center"/>
          </w:tcPr>
          <w:p w14:paraId="0EF572E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794506A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513630</w:t>
            </w:r>
          </w:p>
        </w:tc>
      </w:tr>
      <w:tr w:rsidR="00881A82" w:rsidRPr="00473486" w14:paraId="30E794EB" w14:textId="77777777">
        <w:tc>
          <w:tcPr>
            <w:tcW w:w="2835" w:type="dxa"/>
            <w:tcBorders>
              <w:top w:val="single" w:sz="4" w:space="0" w:color="auto"/>
              <w:left w:val="single" w:sz="4" w:space="0" w:color="auto"/>
              <w:bottom w:val="single" w:sz="4" w:space="0" w:color="auto"/>
              <w:right w:val="single" w:sz="4" w:space="0" w:color="auto"/>
            </w:tcBorders>
            <w:vAlign w:val="center"/>
          </w:tcPr>
          <w:p w14:paraId="52DB900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4C31E33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513630</w:t>
            </w:r>
          </w:p>
        </w:tc>
      </w:tr>
      <w:tr w:rsidR="00881A82" w:rsidRPr="00473486" w14:paraId="0A17FAFB" w14:textId="77777777">
        <w:tc>
          <w:tcPr>
            <w:tcW w:w="2835" w:type="dxa"/>
            <w:vAlign w:val="center"/>
          </w:tcPr>
          <w:p w14:paraId="3F48DB9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691C9F4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1B05370C" w14:textId="77777777">
        <w:tc>
          <w:tcPr>
            <w:tcW w:w="2835" w:type="dxa"/>
            <w:vAlign w:val="center"/>
          </w:tcPr>
          <w:p w14:paraId="550436E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1DBA9C2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23</w:t>
            </w:r>
            <w:r w:rsidRPr="00473486">
              <w:rPr>
                <w:rFonts w:eastAsiaTheme="minorEastAsia"/>
                <w:color w:val="000000" w:themeColor="text1"/>
                <w:kern w:val="0"/>
                <w:szCs w:val="21"/>
              </w:rPr>
              <w:t>日</w:t>
            </w:r>
          </w:p>
        </w:tc>
      </w:tr>
      <w:tr w:rsidR="00881A82" w:rsidRPr="00473486" w14:paraId="6F5CB833" w14:textId="77777777">
        <w:tc>
          <w:tcPr>
            <w:tcW w:w="2835" w:type="dxa"/>
            <w:vAlign w:val="center"/>
          </w:tcPr>
          <w:p w14:paraId="321D87A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31E9BF4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1,908,359,000.00</w:t>
            </w:r>
            <w:r w:rsidRPr="00473486">
              <w:rPr>
                <w:rFonts w:eastAsiaTheme="minorEastAsia"/>
                <w:color w:val="000000" w:themeColor="text1"/>
                <w:kern w:val="0"/>
                <w:szCs w:val="21"/>
              </w:rPr>
              <w:t>份</w:t>
            </w:r>
          </w:p>
        </w:tc>
      </w:tr>
      <w:tr w:rsidR="00881A82" w:rsidRPr="00473486" w14:paraId="18A165FF" w14:textId="77777777">
        <w:tc>
          <w:tcPr>
            <w:tcW w:w="2835" w:type="dxa"/>
            <w:vAlign w:val="center"/>
          </w:tcPr>
          <w:p w14:paraId="5313647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2A018D9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14:paraId="736BFD6E" w14:textId="77777777">
        <w:tc>
          <w:tcPr>
            <w:tcW w:w="2835" w:type="dxa"/>
            <w:vAlign w:val="center"/>
          </w:tcPr>
          <w:p w14:paraId="02D2AB7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67081D03"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D4DEBD0"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715C4E5F"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D377B1C"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）投资组合构建</w:t>
            </w:r>
          </w:p>
          <w:p w14:paraId="547AD0E4"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06AC8E14"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24D3412D"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57781FC2"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36672919"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2EA072D5"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5C622B8C"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3D2D6F5A"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本基金将根据申购和赎回情况对股票投资组合进行调整，保证基金正常运行，从而有效跟踪标的指数。</w:t>
            </w:r>
          </w:p>
          <w:p w14:paraId="1315B334"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3</w:t>
            </w: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42888DC2" w14:textId="77777777" w:rsidR="00B84778" w:rsidRDefault="00806E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）港股通标的股票投资策略</w:t>
            </w:r>
          </w:p>
          <w:p w14:paraId="0BB32A5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6851BA8C" w14:textId="77777777">
        <w:tc>
          <w:tcPr>
            <w:tcW w:w="2835" w:type="dxa"/>
            <w:vAlign w:val="center"/>
          </w:tcPr>
          <w:p w14:paraId="10E65D2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70903BC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本基金的业绩比较基准为标的指数，即标普港股通低波红利指数收益率。本基金标的指数变更的，相应更换基金名称和业绩比较基准，并在履行适当程序后及时公告。</w:t>
            </w:r>
          </w:p>
        </w:tc>
      </w:tr>
      <w:tr w:rsidR="00881A82" w:rsidRPr="00473486" w14:paraId="3B4D51AE" w14:textId="77777777">
        <w:tc>
          <w:tcPr>
            <w:tcW w:w="2835" w:type="dxa"/>
            <w:vAlign w:val="center"/>
          </w:tcPr>
          <w:p w14:paraId="226E7FE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042C874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17DE4D49" w14:textId="77777777">
        <w:tc>
          <w:tcPr>
            <w:tcW w:w="2835" w:type="dxa"/>
            <w:vAlign w:val="center"/>
          </w:tcPr>
          <w:p w14:paraId="2043593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52C2D7D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1748FF12" w14:textId="77777777">
        <w:tc>
          <w:tcPr>
            <w:tcW w:w="2835" w:type="dxa"/>
            <w:vAlign w:val="center"/>
          </w:tcPr>
          <w:p w14:paraId="4647B3A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47C2CD4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广发证券股份有限公司</w:t>
            </w:r>
          </w:p>
        </w:tc>
      </w:tr>
    </w:tbl>
    <w:p w14:paraId="666E21D0"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2A14255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61E87ED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06E16" w:rsidRPr="00473486" w14:paraId="6903BC47" w14:textId="77777777" w:rsidTr="00806E16">
        <w:tc>
          <w:tcPr>
            <w:tcW w:w="3402" w:type="dxa"/>
            <w:vAlign w:val="center"/>
          </w:tcPr>
          <w:p w14:paraId="2F563BCC"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1A40BE1B"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40C9BFBD"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806E16" w:rsidRPr="00473486" w14:paraId="06C010F3" w14:textId="77777777" w:rsidTr="00806E16">
        <w:tc>
          <w:tcPr>
            <w:tcW w:w="3402" w:type="dxa"/>
            <w:vAlign w:val="center"/>
          </w:tcPr>
          <w:p w14:paraId="4F5AEF0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6E907CFD"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61,215,913.44</w:t>
            </w:r>
          </w:p>
        </w:tc>
      </w:tr>
      <w:tr w:rsidR="00806E16" w:rsidRPr="00473486" w14:paraId="7329C652" w14:textId="77777777" w:rsidTr="00806E16">
        <w:tc>
          <w:tcPr>
            <w:tcW w:w="3402" w:type="dxa"/>
            <w:vAlign w:val="center"/>
          </w:tcPr>
          <w:p w14:paraId="1156E71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4DEC024B"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166,916,933.09</w:t>
            </w:r>
          </w:p>
        </w:tc>
      </w:tr>
      <w:tr w:rsidR="00806E16" w:rsidRPr="00473486" w14:paraId="3C0FD92D" w14:textId="77777777" w:rsidTr="00806E16">
        <w:tc>
          <w:tcPr>
            <w:tcW w:w="3402" w:type="dxa"/>
            <w:vAlign w:val="center"/>
          </w:tcPr>
          <w:p w14:paraId="24AA308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301369F4"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0.1059</w:t>
            </w:r>
          </w:p>
        </w:tc>
      </w:tr>
      <w:tr w:rsidR="00806E16" w:rsidRPr="00473486" w14:paraId="3C6FAB4A" w14:textId="77777777" w:rsidTr="00806E16">
        <w:tc>
          <w:tcPr>
            <w:tcW w:w="3402" w:type="dxa"/>
            <w:vAlign w:val="center"/>
          </w:tcPr>
          <w:p w14:paraId="470B667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1B65E7C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2,175,866,679.32</w:t>
            </w:r>
          </w:p>
        </w:tc>
      </w:tr>
      <w:tr w:rsidR="00806E16" w:rsidRPr="00473486" w14:paraId="190F2757" w14:textId="77777777" w:rsidTr="00806E16">
        <w:trPr>
          <w:trHeight w:val="158"/>
        </w:trPr>
        <w:tc>
          <w:tcPr>
            <w:tcW w:w="3402" w:type="dxa"/>
            <w:vAlign w:val="center"/>
          </w:tcPr>
          <w:p w14:paraId="230B0BA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14:paraId="79CBC4DC"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1.1402</w:t>
            </w:r>
          </w:p>
        </w:tc>
      </w:tr>
    </w:tbl>
    <w:p w14:paraId="756505AD" w14:textId="77777777" w:rsidR="00B84778" w:rsidRDefault="00806E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F97AC3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8B6A940"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5287CBF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3EA8F37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6449F4A1" w14:textId="77777777">
        <w:tc>
          <w:tcPr>
            <w:tcW w:w="1395" w:type="dxa"/>
            <w:vAlign w:val="center"/>
          </w:tcPr>
          <w:p w14:paraId="7291C8B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5DCD16A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1FEBC5B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330DA3C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2D51B58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32ADF5E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56BE798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B84778" w14:paraId="16D0BFE6" w14:textId="77777777">
        <w:tc>
          <w:tcPr>
            <w:tcW w:w="1395" w:type="dxa"/>
            <w:vAlign w:val="center"/>
          </w:tcPr>
          <w:p w14:paraId="043ABF99" w14:textId="77777777" w:rsidR="00B84778" w:rsidRDefault="00806E16">
            <w:pPr>
              <w:jc w:val="left"/>
            </w:pPr>
            <w:r>
              <w:rPr>
                <w:rFonts w:eastAsiaTheme="minorEastAsia"/>
                <w:color w:val="000000" w:themeColor="text1"/>
                <w:szCs w:val="21"/>
              </w:rPr>
              <w:t>过去三个月</w:t>
            </w:r>
          </w:p>
        </w:tc>
        <w:tc>
          <w:tcPr>
            <w:tcW w:w="1092" w:type="dxa"/>
            <w:vAlign w:val="center"/>
          </w:tcPr>
          <w:p w14:paraId="5CD514C4" w14:textId="77777777" w:rsidR="00B84778" w:rsidRDefault="00806E16">
            <w:pPr>
              <w:jc w:val="center"/>
            </w:pPr>
            <w:r>
              <w:rPr>
                <w:rFonts w:eastAsiaTheme="minorEastAsia"/>
                <w:color w:val="000000" w:themeColor="text1"/>
                <w:szCs w:val="21"/>
              </w:rPr>
              <w:t>11.81%</w:t>
            </w:r>
          </w:p>
        </w:tc>
        <w:tc>
          <w:tcPr>
            <w:tcW w:w="1161" w:type="dxa"/>
            <w:vAlign w:val="center"/>
          </w:tcPr>
          <w:p w14:paraId="758A8847" w14:textId="77777777" w:rsidR="00B84778" w:rsidRDefault="00806E16">
            <w:pPr>
              <w:jc w:val="center"/>
            </w:pPr>
            <w:r>
              <w:rPr>
                <w:rFonts w:eastAsiaTheme="minorEastAsia"/>
                <w:color w:val="000000" w:themeColor="text1"/>
                <w:szCs w:val="21"/>
              </w:rPr>
              <w:t>1.09%</w:t>
            </w:r>
          </w:p>
        </w:tc>
        <w:tc>
          <w:tcPr>
            <w:tcW w:w="1181" w:type="dxa"/>
            <w:vAlign w:val="center"/>
          </w:tcPr>
          <w:p w14:paraId="5E9B0D44" w14:textId="77777777" w:rsidR="00B84778" w:rsidRDefault="00806E16">
            <w:pPr>
              <w:jc w:val="center"/>
            </w:pPr>
            <w:r>
              <w:rPr>
                <w:rFonts w:eastAsiaTheme="minorEastAsia"/>
                <w:color w:val="000000" w:themeColor="text1"/>
                <w:szCs w:val="21"/>
              </w:rPr>
              <w:t>9.96%</w:t>
            </w:r>
          </w:p>
        </w:tc>
        <w:tc>
          <w:tcPr>
            <w:tcW w:w="1188" w:type="dxa"/>
            <w:vAlign w:val="center"/>
          </w:tcPr>
          <w:p w14:paraId="7D58E51B" w14:textId="77777777" w:rsidR="00B84778" w:rsidRDefault="00806E16">
            <w:pPr>
              <w:jc w:val="center"/>
            </w:pPr>
            <w:r>
              <w:rPr>
                <w:rFonts w:eastAsiaTheme="minorEastAsia"/>
                <w:color w:val="000000" w:themeColor="text1"/>
                <w:szCs w:val="21"/>
              </w:rPr>
              <w:t>1.11%</w:t>
            </w:r>
          </w:p>
        </w:tc>
        <w:tc>
          <w:tcPr>
            <w:tcW w:w="1199" w:type="dxa"/>
            <w:vAlign w:val="center"/>
          </w:tcPr>
          <w:p w14:paraId="565A433B" w14:textId="77777777" w:rsidR="00B84778" w:rsidRDefault="00806E16">
            <w:pPr>
              <w:jc w:val="center"/>
            </w:pPr>
            <w:r>
              <w:rPr>
                <w:rFonts w:eastAsiaTheme="minorEastAsia"/>
                <w:color w:val="000000" w:themeColor="text1"/>
                <w:szCs w:val="21"/>
              </w:rPr>
              <w:t>1.85%</w:t>
            </w:r>
          </w:p>
        </w:tc>
        <w:tc>
          <w:tcPr>
            <w:tcW w:w="1204" w:type="dxa"/>
            <w:vAlign w:val="center"/>
          </w:tcPr>
          <w:p w14:paraId="5FD2032D" w14:textId="77777777" w:rsidR="00B84778" w:rsidRDefault="00806E16">
            <w:pPr>
              <w:jc w:val="center"/>
            </w:pPr>
            <w:r>
              <w:rPr>
                <w:rFonts w:eastAsiaTheme="minorEastAsia"/>
                <w:color w:val="000000" w:themeColor="text1"/>
                <w:szCs w:val="21"/>
              </w:rPr>
              <w:t>-0.02%</w:t>
            </w:r>
          </w:p>
        </w:tc>
      </w:tr>
      <w:tr w:rsidR="00B84778" w14:paraId="39FC086B" w14:textId="77777777">
        <w:tc>
          <w:tcPr>
            <w:tcW w:w="1395" w:type="dxa"/>
            <w:vAlign w:val="center"/>
          </w:tcPr>
          <w:p w14:paraId="615E9945" w14:textId="77777777" w:rsidR="00B84778" w:rsidRDefault="00806E16">
            <w:pPr>
              <w:jc w:val="left"/>
            </w:pPr>
            <w:r>
              <w:rPr>
                <w:rFonts w:eastAsiaTheme="minorEastAsia"/>
                <w:color w:val="000000" w:themeColor="text1"/>
                <w:szCs w:val="21"/>
              </w:rPr>
              <w:t>过去六个月</w:t>
            </w:r>
          </w:p>
        </w:tc>
        <w:tc>
          <w:tcPr>
            <w:tcW w:w="1092" w:type="dxa"/>
            <w:vAlign w:val="center"/>
          </w:tcPr>
          <w:p w14:paraId="052AC72F" w14:textId="77777777" w:rsidR="00B84778" w:rsidRDefault="00806E16">
            <w:pPr>
              <w:jc w:val="center"/>
            </w:pPr>
            <w:r>
              <w:rPr>
                <w:rFonts w:eastAsiaTheme="minorEastAsia"/>
                <w:color w:val="000000" w:themeColor="text1"/>
                <w:szCs w:val="21"/>
              </w:rPr>
              <w:t>11.37%</w:t>
            </w:r>
          </w:p>
        </w:tc>
        <w:tc>
          <w:tcPr>
            <w:tcW w:w="1161" w:type="dxa"/>
            <w:vAlign w:val="center"/>
          </w:tcPr>
          <w:p w14:paraId="552804C1" w14:textId="77777777" w:rsidR="00B84778" w:rsidRDefault="00806E16">
            <w:pPr>
              <w:jc w:val="center"/>
            </w:pPr>
            <w:r>
              <w:rPr>
                <w:rFonts w:eastAsiaTheme="minorEastAsia"/>
                <w:color w:val="000000" w:themeColor="text1"/>
                <w:szCs w:val="21"/>
              </w:rPr>
              <w:t>1.11%</w:t>
            </w:r>
          </w:p>
        </w:tc>
        <w:tc>
          <w:tcPr>
            <w:tcW w:w="1181" w:type="dxa"/>
            <w:vAlign w:val="center"/>
          </w:tcPr>
          <w:p w14:paraId="7B4B402B" w14:textId="77777777" w:rsidR="00B84778" w:rsidRDefault="00806E16">
            <w:pPr>
              <w:jc w:val="center"/>
            </w:pPr>
            <w:r>
              <w:rPr>
                <w:rFonts w:eastAsiaTheme="minorEastAsia"/>
                <w:color w:val="000000" w:themeColor="text1"/>
                <w:szCs w:val="21"/>
              </w:rPr>
              <w:t>13.03%</w:t>
            </w:r>
          </w:p>
        </w:tc>
        <w:tc>
          <w:tcPr>
            <w:tcW w:w="1188" w:type="dxa"/>
            <w:vAlign w:val="center"/>
          </w:tcPr>
          <w:p w14:paraId="10E9AC95" w14:textId="77777777" w:rsidR="00B84778" w:rsidRDefault="00806E16">
            <w:pPr>
              <w:jc w:val="center"/>
            </w:pPr>
            <w:r>
              <w:rPr>
                <w:rFonts w:eastAsiaTheme="minorEastAsia"/>
                <w:color w:val="000000" w:themeColor="text1"/>
                <w:szCs w:val="21"/>
              </w:rPr>
              <w:t>1.12%</w:t>
            </w:r>
          </w:p>
        </w:tc>
        <w:tc>
          <w:tcPr>
            <w:tcW w:w="1199" w:type="dxa"/>
            <w:vAlign w:val="center"/>
          </w:tcPr>
          <w:p w14:paraId="6F8E8673" w14:textId="77777777" w:rsidR="00B84778" w:rsidRDefault="00806E16">
            <w:pPr>
              <w:jc w:val="center"/>
            </w:pPr>
            <w:r>
              <w:rPr>
                <w:rFonts w:eastAsiaTheme="minorEastAsia"/>
                <w:color w:val="000000" w:themeColor="text1"/>
                <w:szCs w:val="21"/>
              </w:rPr>
              <w:t>-1.66%</w:t>
            </w:r>
          </w:p>
        </w:tc>
        <w:tc>
          <w:tcPr>
            <w:tcW w:w="1204" w:type="dxa"/>
            <w:vAlign w:val="center"/>
          </w:tcPr>
          <w:p w14:paraId="49C8DE11" w14:textId="77777777" w:rsidR="00B84778" w:rsidRDefault="00806E16">
            <w:pPr>
              <w:jc w:val="center"/>
            </w:pPr>
            <w:r>
              <w:rPr>
                <w:rFonts w:eastAsiaTheme="minorEastAsia"/>
                <w:color w:val="000000" w:themeColor="text1"/>
                <w:szCs w:val="21"/>
              </w:rPr>
              <w:t>-0.01%</w:t>
            </w:r>
          </w:p>
        </w:tc>
      </w:tr>
      <w:tr w:rsidR="00B84778" w14:paraId="27AA9CA5" w14:textId="77777777">
        <w:tc>
          <w:tcPr>
            <w:tcW w:w="1395" w:type="dxa"/>
            <w:vAlign w:val="center"/>
          </w:tcPr>
          <w:p w14:paraId="14DBCD56" w14:textId="77777777" w:rsidR="00B84778" w:rsidRDefault="00806E16">
            <w:pPr>
              <w:jc w:val="left"/>
            </w:pPr>
            <w:r>
              <w:rPr>
                <w:rFonts w:eastAsiaTheme="minorEastAsia"/>
                <w:color w:val="000000" w:themeColor="text1"/>
                <w:szCs w:val="21"/>
              </w:rPr>
              <w:t>过去一年</w:t>
            </w:r>
          </w:p>
        </w:tc>
        <w:tc>
          <w:tcPr>
            <w:tcW w:w="1092" w:type="dxa"/>
            <w:vAlign w:val="center"/>
          </w:tcPr>
          <w:p w14:paraId="4F611543" w14:textId="77777777" w:rsidR="00B84778" w:rsidRDefault="00806E16">
            <w:pPr>
              <w:jc w:val="center"/>
            </w:pPr>
            <w:r>
              <w:rPr>
                <w:rFonts w:eastAsiaTheme="minorEastAsia"/>
                <w:color w:val="000000" w:themeColor="text1"/>
                <w:szCs w:val="21"/>
              </w:rPr>
              <w:t>-</w:t>
            </w:r>
          </w:p>
        </w:tc>
        <w:tc>
          <w:tcPr>
            <w:tcW w:w="1161" w:type="dxa"/>
            <w:vAlign w:val="center"/>
          </w:tcPr>
          <w:p w14:paraId="5A798DF2" w14:textId="77777777" w:rsidR="00B84778" w:rsidRDefault="00806E16">
            <w:pPr>
              <w:jc w:val="center"/>
            </w:pPr>
            <w:r>
              <w:rPr>
                <w:rFonts w:eastAsiaTheme="minorEastAsia"/>
                <w:color w:val="000000" w:themeColor="text1"/>
                <w:szCs w:val="21"/>
              </w:rPr>
              <w:t>-</w:t>
            </w:r>
          </w:p>
        </w:tc>
        <w:tc>
          <w:tcPr>
            <w:tcW w:w="1181" w:type="dxa"/>
            <w:vAlign w:val="center"/>
          </w:tcPr>
          <w:p w14:paraId="04475841" w14:textId="77777777" w:rsidR="00B84778" w:rsidRDefault="00806E16">
            <w:pPr>
              <w:jc w:val="center"/>
            </w:pPr>
            <w:r>
              <w:rPr>
                <w:rFonts w:eastAsiaTheme="minorEastAsia"/>
                <w:color w:val="000000" w:themeColor="text1"/>
                <w:szCs w:val="21"/>
              </w:rPr>
              <w:t>-</w:t>
            </w:r>
          </w:p>
        </w:tc>
        <w:tc>
          <w:tcPr>
            <w:tcW w:w="1188" w:type="dxa"/>
            <w:vAlign w:val="center"/>
          </w:tcPr>
          <w:p w14:paraId="40117933" w14:textId="77777777" w:rsidR="00B84778" w:rsidRDefault="00806E16">
            <w:pPr>
              <w:jc w:val="center"/>
            </w:pPr>
            <w:r>
              <w:rPr>
                <w:rFonts w:eastAsiaTheme="minorEastAsia"/>
                <w:color w:val="000000" w:themeColor="text1"/>
                <w:szCs w:val="21"/>
              </w:rPr>
              <w:t>-</w:t>
            </w:r>
          </w:p>
        </w:tc>
        <w:tc>
          <w:tcPr>
            <w:tcW w:w="1199" w:type="dxa"/>
            <w:vAlign w:val="center"/>
          </w:tcPr>
          <w:p w14:paraId="79636D38" w14:textId="77777777" w:rsidR="00B84778" w:rsidRDefault="00806E16">
            <w:pPr>
              <w:jc w:val="center"/>
            </w:pPr>
            <w:r>
              <w:rPr>
                <w:rFonts w:eastAsiaTheme="minorEastAsia"/>
                <w:color w:val="000000" w:themeColor="text1"/>
                <w:szCs w:val="21"/>
              </w:rPr>
              <w:t>-</w:t>
            </w:r>
          </w:p>
        </w:tc>
        <w:tc>
          <w:tcPr>
            <w:tcW w:w="1204" w:type="dxa"/>
            <w:vAlign w:val="center"/>
          </w:tcPr>
          <w:p w14:paraId="7661F96C" w14:textId="77777777" w:rsidR="00B84778" w:rsidRDefault="00806E16">
            <w:pPr>
              <w:jc w:val="center"/>
            </w:pPr>
            <w:r>
              <w:rPr>
                <w:rFonts w:eastAsiaTheme="minorEastAsia"/>
                <w:color w:val="000000" w:themeColor="text1"/>
                <w:szCs w:val="21"/>
              </w:rPr>
              <w:t>-</w:t>
            </w:r>
          </w:p>
        </w:tc>
      </w:tr>
      <w:tr w:rsidR="00B84778" w14:paraId="7B5D00CF" w14:textId="77777777">
        <w:tc>
          <w:tcPr>
            <w:tcW w:w="1395" w:type="dxa"/>
            <w:vAlign w:val="center"/>
          </w:tcPr>
          <w:p w14:paraId="57483BE2" w14:textId="77777777" w:rsidR="00B84778" w:rsidRDefault="00806E16">
            <w:pPr>
              <w:jc w:val="left"/>
            </w:pPr>
            <w:r>
              <w:rPr>
                <w:rFonts w:eastAsiaTheme="minorEastAsia"/>
                <w:color w:val="000000" w:themeColor="text1"/>
                <w:szCs w:val="21"/>
              </w:rPr>
              <w:t>过去三年</w:t>
            </w:r>
          </w:p>
        </w:tc>
        <w:tc>
          <w:tcPr>
            <w:tcW w:w="1092" w:type="dxa"/>
            <w:vAlign w:val="center"/>
          </w:tcPr>
          <w:p w14:paraId="092E340F" w14:textId="77777777" w:rsidR="00B84778" w:rsidRDefault="00806E16">
            <w:pPr>
              <w:jc w:val="center"/>
            </w:pPr>
            <w:r>
              <w:rPr>
                <w:rFonts w:eastAsiaTheme="minorEastAsia"/>
                <w:color w:val="000000" w:themeColor="text1"/>
                <w:szCs w:val="21"/>
              </w:rPr>
              <w:t>-</w:t>
            </w:r>
          </w:p>
        </w:tc>
        <w:tc>
          <w:tcPr>
            <w:tcW w:w="1161" w:type="dxa"/>
            <w:vAlign w:val="center"/>
          </w:tcPr>
          <w:p w14:paraId="4C8FC697" w14:textId="77777777" w:rsidR="00B84778" w:rsidRDefault="00806E16">
            <w:pPr>
              <w:jc w:val="center"/>
            </w:pPr>
            <w:r>
              <w:rPr>
                <w:rFonts w:eastAsiaTheme="minorEastAsia"/>
                <w:color w:val="000000" w:themeColor="text1"/>
                <w:szCs w:val="21"/>
              </w:rPr>
              <w:t>-</w:t>
            </w:r>
          </w:p>
        </w:tc>
        <w:tc>
          <w:tcPr>
            <w:tcW w:w="1181" w:type="dxa"/>
            <w:vAlign w:val="center"/>
          </w:tcPr>
          <w:p w14:paraId="42C26FF6" w14:textId="77777777" w:rsidR="00B84778" w:rsidRDefault="00806E16">
            <w:pPr>
              <w:jc w:val="center"/>
            </w:pPr>
            <w:r>
              <w:rPr>
                <w:rFonts w:eastAsiaTheme="minorEastAsia"/>
                <w:color w:val="000000" w:themeColor="text1"/>
                <w:szCs w:val="21"/>
              </w:rPr>
              <w:t>-</w:t>
            </w:r>
          </w:p>
        </w:tc>
        <w:tc>
          <w:tcPr>
            <w:tcW w:w="1188" w:type="dxa"/>
            <w:vAlign w:val="center"/>
          </w:tcPr>
          <w:p w14:paraId="384E19CB" w14:textId="77777777" w:rsidR="00B84778" w:rsidRDefault="00806E16">
            <w:pPr>
              <w:jc w:val="center"/>
            </w:pPr>
            <w:r>
              <w:rPr>
                <w:rFonts w:eastAsiaTheme="minorEastAsia"/>
                <w:color w:val="000000" w:themeColor="text1"/>
                <w:szCs w:val="21"/>
              </w:rPr>
              <w:t>-</w:t>
            </w:r>
          </w:p>
        </w:tc>
        <w:tc>
          <w:tcPr>
            <w:tcW w:w="1199" w:type="dxa"/>
            <w:vAlign w:val="center"/>
          </w:tcPr>
          <w:p w14:paraId="27404A07" w14:textId="77777777" w:rsidR="00B84778" w:rsidRDefault="00806E16">
            <w:pPr>
              <w:jc w:val="center"/>
            </w:pPr>
            <w:r>
              <w:rPr>
                <w:rFonts w:eastAsiaTheme="minorEastAsia"/>
                <w:color w:val="000000" w:themeColor="text1"/>
                <w:szCs w:val="21"/>
              </w:rPr>
              <w:t>-</w:t>
            </w:r>
          </w:p>
        </w:tc>
        <w:tc>
          <w:tcPr>
            <w:tcW w:w="1204" w:type="dxa"/>
            <w:vAlign w:val="center"/>
          </w:tcPr>
          <w:p w14:paraId="6864BABE" w14:textId="77777777" w:rsidR="00B84778" w:rsidRDefault="00806E16">
            <w:pPr>
              <w:jc w:val="center"/>
            </w:pPr>
            <w:r>
              <w:rPr>
                <w:rFonts w:eastAsiaTheme="minorEastAsia"/>
                <w:color w:val="000000" w:themeColor="text1"/>
                <w:szCs w:val="21"/>
              </w:rPr>
              <w:t>-</w:t>
            </w:r>
          </w:p>
        </w:tc>
      </w:tr>
      <w:tr w:rsidR="00B84778" w14:paraId="32D89E07" w14:textId="77777777">
        <w:tc>
          <w:tcPr>
            <w:tcW w:w="1395" w:type="dxa"/>
            <w:vAlign w:val="center"/>
          </w:tcPr>
          <w:p w14:paraId="39F4F3B8" w14:textId="77777777" w:rsidR="00B84778" w:rsidRDefault="00806E16">
            <w:pPr>
              <w:jc w:val="left"/>
            </w:pPr>
            <w:r>
              <w:rPr>
                <w:rFonts w:eastAsiaTheme="minorEastAsia"/>
                <w:color w:val="000000" w:themeColor="text1"/>
                <w:szCs w:val="21"/>
              </w:rPr>
              <w:t>过去五年</w:t>
            </w:r>
          </w:p>
        </w:tc>
        <w:tc>
          <w:tcPr>
            <w:tcW w:w="1092" w:type="dxa"/>
            <w:vAlign w:val="center"/>
          </w:tcPr>
          <w:p w14:paraId="0536B0B1" w14:textId="77777777" w:rsidR="00B84778" w:rsidRDefault="00806E16">
            <w:pPr>
              <w:jc w:val="center"/>
            </w:pPr>
            <w:r>
              <w:rPr>
                <w:rFonts w:eastAsiaTheme="minorEastAsia"/>
                <w:color w:val="000000" w:themeColor="text1"/>
                <w:szCs w:val="21"/>
              </w:rPr>
              <w:t>-</w:t>
            </w:r>
          </w:p>
        </w:tc>
        <w:tc>
          <w:tcPr>
            <w:tcW w:w="1161" w:type="dxa"/>
            <w:vAlign w:val="center"/>
          </w:tcPr>
          <w:p w14:paraId="1E25176C" w14:textId="77777777" w:rsidR="00B84778" w:rsidRDefault="00806E16">
            <w:pPr>
              <w:jc w:val="center"/>
            </w:pPr>
            <w:r>
              <w:rPr>
                <w:rFonts w:eastAsiaTheme="minorEastAsia"/>
                <w:color w:val="000000" w:themeColor="text1"/>
                <w:szCs w:val="21"/>
              </w:rPr>
              <w:t>-</w:t>
            </w:r>
          </w:p>
        </w:tc>
        <w:tc>
          <w:tcPr>
            <w:tcW w:w="1181" w:type="dxa"/>
            <w:vAlign w:val="center"/>
          </w:tcPr>
          <w:p w14:paraId="100048A7" w14:textId="77777777" w:rsidR="00B84778" w:rsidRDefault="00806E16">
            <w:pPr>
              <w:jc w:val="center"/>
            </w:pPr>
            <w:r>
              <w:rPr>
                <w:rFonts w:eastAsiaTheme="minorEastAsia"/>
                <w:color w:val="000000" w:themeColor="text1"/>
                <w:szCs w:val="21"/>
              </w:rPr>
              <w:t>-</w:t>
            </w:r>
          </w:p>
        </w:tc>
        <w:tc>
          <w:tcPr>
            <w:tcW w:w="1188" w:type="dxa"/>
            <w:vAlign w:val="center"/>
          </w:tcPr>
          <w:p w14:paraId="75EFEDE8" w14:textId="77777777" w:rsidR="00B84778" w:rsidRDefault="00806E16">
            <w:pPr>
              <w:jc w:val="center"/>
            </w:pPr>
            <w:r>
              <w:rPr>
                <w:rFonts w:eastAsiaTheme="minorEastAsia"/>
                <w:color w:val="000000" w:themeColor="text1"/>
                <w:szCs w:val="21"/>
              </w:rPr>
              <w:t>-</w:t>
            </w:r>
          </w:p>
        </w:tc>
        <w:tc>
          <w:tcPr>
            <w:tcW w:w="1199" w:type="dxa"/>
            <w:vAlign w:val="center"/>
          </w:tcPr>
          <w:p w14:paraId="1086C2D0" w14:textId="77777777" w:rsidR="00B84778" w:rsidRDefault="00806E16">
            <w:pPr>
              <w:jc w:val="center"/>
            </w:pPr>
            <w:r>
              <w:rPr>
                <w:rFonts w:eastAsiaTheme="minorEastAsia"/>
                <w:color w:val="000000" w:themeColor="text1"/>
                <w:szCs w:val="21"/>
              </w:rPr>
              <w:t>-</w:t>
            </w:r>
          </w:p>
        </w:tc>
        <w:tc>
          <w:tcPr>
            <w:tcW w:w="1204" w:type="dxa"/>
            <w:vAlign w:val="center"/>
          </w:tcPr>
          <w:p w14:paraId="1CEC5DD6" w14:textId="77777777" w:rsidR="00B84778" w:rsidRDefault="00806E16">
            <w:pPr>
              <w:jc w:val="center"/>
            </w:pPr>
            <w:r>
              <w:rPr>
                <w:rFonts w:eastAsiaTheme="minorEastAsia"/>
                <w:color w:val="000000" w:themeColor="text1"/>
                <w:szCs w:val="21"/>
              </w:rPr>
              <w:t>-</w:t>
            </w:r>
          </w:p>
        </w:tc>
      </w:tr>
      <w:tr w:rsidR="00B84778" w14:paraId="6E44DCFB" w14:textId="77777777">
        <w:tc>
          <w:tcPr>
            <w:tcW w:w="1395" w:type="dxa"/>
            <w:vAlign w:val="center"/>
          </w:tcPr>
          <w:p w14:paraId="3B3350BA" w14:textId="77777777" w:rsidR="00B84778" w:rsidRDefault="00806E16">
            <w:pPr>
              <w:jc w:val="left"/>
            </w:pPr>
            <w:r>
              <w:rPr>
                <w:rFonts w:eastAsiaTheme="minorEastAsia"/>
                <w:color w:val="000000" w:themeColor="text1"/>
                <w:szCs w:val="21"/>
              </w:rPr>
              <w:t>自基金合同生效起至今</w:t>
            </w:r>
          </w:p>
        </w:tc>
        <w:tc>
          <w:tcPr>
            <w:tcW w:w="1092" w:type="dxa"/>
            <w:vAlign w:val="center"/>
          </w:tcPr>
          <w:p w14:paraId="3AACD5C6" w14:textId="77777777" w:rsidR="00B84778" w:rsidRDefault="00806E16">
            <w:pPr>
              <w:jc w:val="center"/>
            </w:pPr>
            <w:r>
              <w:rPr>
                <w:rFonts w:eastAsiaTheme="minorEastAsia"/>
                <w:color w:val="000000" w:themeColor="text1"/>
                <w:szCs w:val="21"/>
              </w:rPr>
              <w:t>14.02%</w:t>
            </w:r>
          </w:p>
        </w:tc>
        <w:tc>
          <w:tcPr>
            <w:tcW w:w="1161" w:type="dxa"/>
            <w:vAlign w:val="center"/>
          </w:tcPr>
          <w:p w14:paraId="1391DD7B" w14:textId="77777777" w:rsidR="00B84778" w:rsidRDefault="00806E16">
            <w:pPr>
              <w:jc w:val="center"/>
            </w:pPr>
            <w:r>
              <w:rPr>
                <w:rFonts w:eastAsiaTheme="minorEastAsia"/>
                <w:color w:val="000000" w:themeColor="text1"/>
                <w:szCs w:val="21"/>
              </w:rPr>
              <w:t>1.04%</w:t>
            </w:r>
          </w:p>
        </w:tc>
        <w:tc>
          <w:tcPr>
            <w:tcW w:w="1181" w:type="dxa"/>
            <w:vAlign w:val="center"/>
          </w:tcPr>
          <w:p w14:paraId="5DEA7546" w14:textId="77777777" w:rsidR="00B84778" w:rsidRDefault="00806E16">
            <w:pPr>
              <w:jc w:val="center"/>
            </w:pPr>
            <w:r>
              <w:rPr>
                <w:rFonts w:eastAsiaTheme="minorEastAsia"/>
                <w:color w:val="000000" w:themeColor="text1"/>
                <w:szCs w:val="21"/>
              </w:rPr>
              <w:t>13.80%</w:t>
            </w:r>
          </w:p>
        </w:tc>
        <w:tc>
          <w:tcPr>
            <w:tcW w:w="1188" w:type="dxa"/>
            <w:vAlign w:val="center"/>
          </w:tcPr>
          <w:p w14:paraId="06A1E41C" w14:textId="77777777" w:rsidR="00B84778" w:rsidRDefault="00806E16">
            <w:pPr>
              <w:jc w:val="center"/>
            </w:pPr>
            <w:r>
              <w:rPr>
                <w:rFonts w:eastAsiaTheme="minorEastAsia"/>
                <w:color w:val="000000" w:themeColor="text1"/>
                <w:szCs w:val="21"/>
              </w:rPr>
              <w:t>1.06%</w:t>
            </w:r>
          </w:p>
        </w:tc>
        <w:tc>
          <w:tcPr>
            <w:tcW w:w="1199" w:type="dxa"/>
            <w:vAlign w:val="center"/>
          </w:tcPr>
          <w:p w14:paraId="0BB8CC4F" w14:textId="77777777" w:rsidR="00B84778" w:rsidRDefault="00806E16">
            <w:pPr>
              <w:jc w:val="center"/>
            </w:pPr>
            <w:r>
              <w:rPr>
                <w:rFonts w:eastAsiaTheme="minorEastAsia"/>
                <w:color w:val="000000" w:themeColor="text1"/>
                <w:szCs w:val="21"/>
              </w:rPr>
              <w:t>0.22%</w:t>
            </w:r>
          </w:p>
        </w:tc>
        <w:tc>
          <w:tcPr>
            <w:tcW w:w="1204" w:type="dxa"/>
            <w:vAlign w:val="center"/>
          </w:tcPr>
          <w:p w14:paraId="4B82A6C6" w14:textId="77777777" w:rsidR="00B84778" w:rsidRDefault="00806E16">
            <w:pPr>
              <w:jc w:val="center"/>
            </w:pPr>
            <w:r>
              <w:rPr>
                <w:rFonts w:eastAsiaTheme="minorEastAsia"/>
                <w:color w:val="000000" w:themeColor="text1"/>
                <w:szCs w:val="21"/>
              </w:rPr>
              <w:t>-0.02%</w:t>
            </w:r>
          </w:p>
        </w:tc>
      </w:tr>
    </w:tbl>
    <w:p w14:paraId="62DE8E5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F07242E"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2003AF43"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摩根标普港股通低波红利交易型开放式指数证券投资基金</w:t>
      </w:r>
    </w:p>
    <w:p w14:paraId="486759CF"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3FED2414"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078DF0DB"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3AB54F39" wp14:editId="58AD12E6">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6B5DB003" w14:textId="77777777" w:rsidR="00B84778" w:rsidRDefault="00806E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日，截至本报告期末本基金合同生效未满一年。</w:t>
      </w:r>
    </w:p>
    <w:p w14:paraId="0436549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14:paraId="33589F58"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69E5AF0F" w14:textId="77777777" w:rsidR="00881A82" w:rsidRPr="00473486" w:rsidRDefault="00881A82">
      <w:pPr>
        <w:tabs>
          <w:tab w:val="left" w:pos="1800"/>
        </w:tabs>
        <w:spacing w:line="288" w:lineRule="auto"/>
        <w:rPr>
          <w:rFonts w:eastAsiaTheme="minorEastAsia"/>
          <w:color w:val="000000" w:themeColor="text1"/>
          <w:szCs w:val="21"/>
        </w:rPr>
      </w:pPr>
    </w:p>
    <w:p w14:paraId="2B79C63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79B5F7C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6FE6B43C" w14:textId="77777777">
        <w:trPr>
          <w:cantSplit/>
          <w:trHeight w:val="292"/>
        </w:trPr>
        <w:tc>
          <w:tcPr>
            <w:tcW w:w="851" w:type="dxa"/>
            <w:vMerge w:val="restart"/>
            <w:vAlign w:val="center"/>
          </w:tcPr>
          <w:p w14:paraId="54F09325"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2C49CF47"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26A1B2A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244FA50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1E7B011F"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4B48F352" w14:textId="77777777">
        <w:trPr>
          <w:cantSplit/>
        </w:trPr>
        <w:tc>
          <w:tcPr>
            <w:tcW w:w="851" w:type="dxa"/>
            <w:vMerge/>
            <w:vAlign w:val="center"/>
          </w:tcPr>
          <w:p w14:paraId="009D67EC"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31A8819B"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2880EBF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74E9C4E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4733A367"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2310819C" w14:textId="77777777" w:rsidR="00881A82" w:rsidRPr="00473486" w:rsidRDefault="00881A82">
            <w:pPr>
              <w:widowControl/>
              <w:spacing w:line="360" w:lineRule="auto"/>
              <w:jc w:val="left"/>
              <w:rPr>
                <w:rFonts w:eastAsiaTheme="minorEastAsia"/>
                <w:color w:val="000000" w:themeColor="text1"/>
                <w:kern w:val="0"/>
                <w:szCs w:val="21"/>
              </w:rPr>
            </w:pPr>
          </w:p>
        </w:tc>
      </w:tr>
      <w:tr w:rsidR="00B84778" w14:paraId="3669967F" w14:textId="77777777">
        <w:tc>
          <w:tcPr>
            <w:tcW w:w="851" w:type="dxa"/>
            <w:vAlign w:val="center"/>
          </w:tcPr>
          <w:p w14:paraId="48AB6CBA" w14:textId="77777777" w:rsidR="00B84778" w:rsidRDefault="00806E16">
            <w:pPr>
              <w:jc w:val="center"/>
            </w:pPr>
            <w:r>
              <w:rPr>
                <w:rFonts w:eastAsiaTheme="minorEastAsia"/>
                <w:color w:val="000000" w:themeColor="text1"/>
                <w:szCs w:val="21"/>
              </w:rPr>
              <w:t>胡迪</w:t>
            </w:r>
          </w:p>
        </w:tc>
        <w:tc>
          <w:tcPr>
            <w:tcW w:w="850" w:type="dxa"/>
            <w:vAlign w:val="center"/>
          </w:tcPr>
          <w:p w14:paraId="7376F089" w14:textId="77777777" w:rsidR="00B84778" w:rsidRDefault="00806E16">
            <w:pPr>
              <w:jc w:val="center"/>
            </w:pPr>
            <w:r>
              <w:rPr>
                <w:rFonts w:eastAsiaTheme="minorEastAsia"/>
                <w:color w:val="000000" w:themeColor="text1"/>
                <w:szCs w:val="21"/>
              </w:rPr>
              <w:t>本基金基金经理、指数及量化投资部总监</w:t>
            </w:r>
          </w:p>
        </w:tc>
        <w:tc>
          <w:tcPr>
            <w:tcW w:w="1560" w:type="dxa"/>
            <w:vAlign w:val="center"/>
          </w:tcPr>
          <w:p w14:paraId="34F6B739" w14:textId="77777777" w:rsidR="00B84778" w:rsidRDefault="00806E16">
            <w:pPr>
              <w:jc w:val="center"/>
            </w:pPr>
            <w:r>
              <w:rPr>
                <w:rFonts w:eastAsiaTheme="minorEastAsia"/>
                <w:color w:val="000000" w:themeColor="text1"/>
                <w:szCs w:val="21"/>
              </w:rPr>
              <w:t>2023-11-23</w:t>
            </w:r>
          </w:p>
        </w:tc>
        <w:tc>
          <w:tcPr>
            <w:tcW w:w="1559" w:type="dxa"/>
            <w:vAlign w:val="center"/>
          </w:tcPr>
          <w:p w14:paraId="77DFDE7E" w14:textId="77777777" w:rsidR="00B84778" w:rsidRDefault="00806E16">
            <w:pPr>
              <w:jc w:val="center"/>
            </w:pPr>
            <w:r>
              <w:rPr>
                <w:rFonts w:eastAsiaTheme="minorEastAsia"/>
                <w:color w:val="000000" w:themeColor="text1"/>
                <w:szCs w:val="21"/>
              </w:rPr>
              <w:t>-</w:t>
            </w:r>
          </w:p>
        </w:tc>
        <w:tc>
          <w:tcPr>
            <w:tcW w:w="1417" w:type="dxa"/>
            <w:vAlign w:val="center"/>
          </w:tcPr>
          <w:p w14:paraId="62679157" w14:textId="77777777" w:rsidR="00B84778" w:rsidRDefault="00806E16">
            <w:pPr>
              <w:jc w:val="center"/>
            </w:pPr>
            <w:r>
              <w:rPr>
                <w:rFonts w:eastAsiaTheme="minorEastAsia"/>
                <w:color w:val="000000" w:themeColor="text1"/>
                <w:szCs w:val="21"/>
              </w:rPr>
              <w:t>16</w:t>
            </w:r>
            <w:r>
              <w:rPr>
                <w:rFonts w:eastAsiaTheme="minorEastAsia"/>
                <w:color w:val="000000" w:themeColor="text1"/>
                <w:szCs w:val="21"/>
              </w:rPr>
              <w:t>年</w:t>
            </w:r>
          </w:p>
        </w:tc>
        <w:tc>
          <w:tcPr>
            <w:tcW w:w="2694" w:type="dxa"/>
            <w:vAlign w:val="center"/>
          </w:tcPr>
          <w:p w14:paraId="3A3FA354" w14:textId="77777777" w:rsidR="00B84778" w:rsidRDefault="00806E16">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B84778" w14:paraId="32F9012C" w14:textId="77777777">
        <w:tc>
          <w:tcPr>
            <w:tcW w:w="851" w:type="dxa"/>
            <w:vAlign w:val="center"/>
          </w:tcPr>
          <w:p w14:paraId="0BBF5CD5" w14:textId="77777777" w:rsidR="00B84778" w:rsidRDefault="00806E16">
            <w:pPr>
              <w:jc w:val="center"/>
            </w:pPr>
            <w:r>
              <w:rPr>
                <w:rFonts w:eastAsiaTheme="minorEastAsia"/>
                <w:color w:val="000000" w:themeColor="text1"/>
                <w:szCs w:val="21"/>
              </w:rPr>
              <w:t>何智豪</w:t>
            </w:r>
          </w:p>
        </w:tc>
        <w:tc>
          <w:tcPr>
            <w:tcW w:w="850" w:type="dxa"/>
            <w:vAlign w:val="center"/>
          </w:tcPr>
          <w:p w14:paraId="475910EC" w14:textId="77777777" w:rsidR="00B84778" w:rsidRDefault="00806E16">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560" w:type="dxa"/>
            <w:vAlign w:val="center"/>
          </w:tcPr>
          <w:p w14:paraId="3EEB1AC1" w14:textId="77777777" w:rsidR="00B84778" w:rsidRDefault="00806E16">
            <w:pPr>
              <w:jc w:val="center"/>
            </w:pPr>
            <w:r>
              <w:rPr>
                <w:rFonts w:eastAsiaTheme="minorEastAsia"/>
                <w:color w:val="000000" w:themeColor="text1"/>
                <w:szCs w:val="21"/>
              </w:rPr>
              <w:lastRenderedPageBreak/>
              <w:t>2023-11-23</w:t>
            </w:r>
          </w:p>
        </w:tc>
        <w:tc>
          <w:tcPr>
            <w:tcW w:w="1559" w:type="dxa"/>
            <w:vAlign w:val="center"/>
          </w:tcPr>
          <w:p w14:paraId="5C6E42F7" w14:textId="77777777" w:rsidR="00B84778" w:rsidRDefault="00806E16">
            <w:pPr>
              <w:jc w:val="center"/>
            </w:pPr>
            <w:r>
              <w:rPr>
                <w:rFonts w:eastAsiaTheme="minorEastAsia"/>
                <w:color w:val="000000" w:themeColor="text1"/>
                <w:szCs w:val="21"/>
              </w:rPr>
              <w:t>-</w:t>
            </w:r>
          </w:p>
        </w:tc>
        <w:tc>
          <w:tcPr>
            <w:tcW w:w="1417" w:type="dxa"/>
            <w:vAlign w:val="center"/>
          </w:tcPr>
          <w:p w14:paraId="0D0BEA4E" w14:textId="77777777" w:rsidR="00B84778" w:rsidRDefault="00806E16">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1D286D62" w14:textId="77777777" w:rsidR="00B84778" w:rsidRDefault="00806E16">
            <w:r>
              <w:rPr>
                <w:rFonts w:eastAsiaTheme="minorEastAsia"/>
                <w:color w:val="000000" w:themeColor="text1"/>
                <w:szCs w:val="21"/>
              </w:rPr>
              <w:t>何智豪先生曾任中国国际金融股份有限公司组合与</w:t>
            </w:r>
            <w:r>
              <w:rPr>
                <w:rFonts w:eastAsiaTheme="minorEastAsia"/>
                <w:color w:val="000000" w:themeColor="text1"/>
                <w:szCs w:val="21"/>
              </w:rPr>
              <w:lastRenderedPageBreak/>
              <w:t>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14:paraId="15AED425" w14:textId="77777777" w:rsidR="00B84778" w:rsidRDefault="00806E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F0D5D24" w14:textId="77777777" w:rsidR="00B84778" w:rsidRDefault="00806E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胡迪女士、何智豪先生为本基金首任基金经理，其任职日期指本基金基金合同生效之日。</w:t>
      </w:r>
      <w:r>
        <w:rPr>
          <w:rFonts w:eastAsiaTheme="minorEastAsia"/>
          <w:color w:val="000000" w:themeColor="text1"/>
          <w:szCs w:val="21"/>
        </w:rPr>
        <w:t xml:space="preserve"> </w:t>
      </w:r>
    </w:p>
    <w:p w14:paraId="6EBB15C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14:paraId="1A3F5C1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0BBDC93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ADDD09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A975FB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1C3F8776"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4C3C7223"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5F3925D"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C42D7F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B642B4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lastRenderedPageBreak/>
        <w:t xml:space="preserve">4.3.2 </w:t>
      </w:r>
      <w:r w:rsidRPr="00473486">
        <w:rPr>
          <w:rFonts w:eastAsiaTheme="minorEastAsia"/>
          <w:color w:val="000000" w:themeColor="text1"/>
          <w:szCs w:val="21"/>
        </w:rPr>
        <w:t>异常交易行为的专项说明</w:t>
      </w:r>
    </w:p>
    <w:p w14:paraId="6CDDD328"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4FA897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6A793FDF" w14:textId="77777777" w:rsidR="00881A82" w:rsidRPr="00473486" w:rsidRDefault="00881A82">
      <w:pPr>
        <w:spacing w:line="360" w:lineRule="auto"/>
        <w:ind w:firstLineChars="200" w:firstLine="480"/>
        <w:rPr>
          <w:rFonts w:eastAsiaTheme="minorEastAsia"/>
          <w:color w:val="000000" w:themeColor="text1"/>
          <w:sz w:val="24"/>
        </w:rPr>
      </w:pPr>
    </w:p>
    <w:p w14:paraId="4894487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7BAC0F9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12DFB77B"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回顾二季度，在基本面、政策面和资金面等多重因素的催化下，港股自</w:t>
      </w:r>
      <w:r>
        <w:rPr>
          <w:rFonts w:eastAsiaTheme="minorEastAsia"/>
          <w:color w:val="000000" w:themeColor="text1"/>
          <w:szCs w:val="21"/>
        </w:rPr>
        <w:t>4</w:t>
      </w:r>
      <w:r>
        <w:rPr>
          <w:rFonts w:eastAsiaTheme="minorEastAsia"/>
          <w:color w:val="000000" w:themeColor="text1"/>
          <w:szCs w:val="21"/>
        </w:rPr>
        <w:t>月中下旬以来经历了一轮快速反弹。港股短期快速反弹后面临一定获利回吐压力</w:t>
      </w:r>
      <w:r>
        <w:rPr>
          <w:rFonts w:eastAsiaTheme="minorEastAsia"/>
          <w:color w:val="000000" w:themeColor="text1"/>
          <w:szCs w:val="21"/>
        </w:rPr>
        <w:t>,</w:t>
      </w:r>
      <w:r>
        <w:rPr>
          <w:rFonts w:eastAsiaTheme="minorEastAsia"/>
          <w:color w:val="000000" w:themeColor="text1"/>
          <w:szCs w:val="21"/>
        </w:rPr>
        <w:t>随后从</w:t>
      </w:r>
      <w:r>
        <w:rPr>
          <w:rFonts w:eastAsiaTheme="minorEastAsia"/>
          <w:color w:val="000000" w:themeColor="text1"/>
          <w:szCs w:val="21"/>
        </w:rPr>
        <w:t>5</w:t>
      </w:r>
      <w:r>
        <w:rPr>
          <w:rFonts w:eastAsiaTheme="minorEastAsia"/>
          <w:color w:val="000000" w:themeColor="text1"/>
          <w:szCs w:val="21"/>
        </w:rPr>
        <w:t>月高点回调转为震荡阶段。从结构上来看，港股高股息资产在二季度表现亮眼，本基金跟踪的标普港股通低波红利指数</w:t>
      </w:r>
      <w:r>
        <w:rPr>
          <w:rFonts w:eastAsiaTheme="minorEastAsia"/>
          <w:color w:val="000000" w:themeColor="text1"/>
          <w:szCs w:val="21"/>
        </w:rPr>
        <w:t>(</w:t>
      </w:r>
      <w:r>
        <w:rPr>
          <w:rFonts w:eastAsiaTheme="minorEastAsia"/>
          <w:color w:val="000000" w:themeColor="text1"/>
          <w:szCs w:val="21"/>
        </w:rPr>
        <w:t>人民币</w:t>
      </w:r>
      <w:r>
        <w:rPr>
          <w:rFonts w:eastAsiaTheme="minorEastAsia"/>
          <w:color w:val="000000" w:themeColor="text1"/>
          <w:szCs w:val="21"/>
        </w:rPr>
        <w:t>)</w:t>
      </w:r>
      <w:r>
        <w:rPr>
          <w:rFonts w:eastAsiaTheme="minorEastAsia"/>
          <w:color w:val="000000" w:themeColor="text1"/>
          <w:szCs w:val="21"/>
        </w:rPr>
        <w:t>二季度上涨了</w:t>
      </w:r>
      <w:r>
        <w:rPr>
          <w:rFonts w:eastAsiaTheme="minorEastAsia"/>
          <w:color w:val="000000" w:themeColor="text1"/>
          <w:szCs w:val="21"/>
        </w:rPr>
        <w:t>9.96%</w:t>
      </w:r>
      <w:r>
        <w:rPr>
          <w:rFonts w:eastAsiaTheme="minorEastAsia"/>
          <w:color w:val="000000" w:themeColor="text1"/>
          <w:szCs w:val="21"/>
        </w:rPr>
        <w:t>，超越恒生指数的上涨</w:t>
      </w:r>
      <w:r>
        <w:rPr>
          <w:rFonts w:eastAsiaTheme="minorEastAsia"/>
          <w:color w:val="000000" w:themeColor="text1"/>
          <w:szCs w:val="21"/>
        </w:rPr>
        <w:t>7.12%</w:t>
      </w:r>
      <w:r>
        <w:rPr>
          <w:rFonts w:eastAsiaTheme="minorEastAsia"/>
          <w:color w:val="000000" w:themeColor="text1"/>
          <w:szCs w:val="21"/>
        </w:rPr>
        <w:t>。</w:t>
      </w:r>
    </w:p>
    <w:p w14:paraId="2B8E9B1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展望未来，长端利率下行和</w:t>
      </w:r>
      <w:r w:rsidRPr="00473486">
        <w:rPr>
          <w:rFonts w:eastAsiaTheme="minorEastAsia"/>
          <w:color w:val="000000" w:themeColor="text1"/>
          <w:szCs w:val="21"/>
        </w:rPr>
        <w:t>“</w:t>
      </w:r>
      <w:r w:rsidRPr="00473486">
        <w:rPr>
          <w:rFonts w:eastAsiaTheme="minorEastAsia"/>
          <w:color w:val="000000" w:themeColor="text1"/>
          <w:szCs w:val="21"/>
        </w:rPr>
        <w:t>资产荒</w:t>
      </w:r>
      <w:r w:rsidRPr="00473486">
        <w:rPr>
          <w:rFonts w:eastAsiaTheme="minorEastAsia"/>
          <w:color w:val="000000" w:themeColor="text1"/>
          <w:szCs w:val="21"/>
        </w:rPr>
        <w:t>”</w:t>
      </w:r>
      <w:r w:rsidRPr="00473486">
        <w:rPr>
          <w:rFonts w:eastAsiaTheme="minorEastAsia"/>
          <w:color w:val="000000" w:themeColor="text1"/>
          <w:szCs w:val="21"/>
        </w:rPr>
        <w:t>背景下，类债券属性的高股息资产具备吸引力。具有稳定分红能力和更高分红潜力的央国企或能帮助有效对冲市场波动，从而有望作为相对稳健的防御策略。本基金所跟踪的标普港股通低波红利指数用于衡量标普港股通指数内</w:t>
      </w:r>
      <w:r w:rsidRPr="00473486">
        <w:rPr>
          <w:rFonts w:eastAsiaTheme="minorEastAsia"/>
          <w:color w:val="000000" w:themeColor="text1"/>
          <w:szCs w:val="21"/>
        </w:rPr>
        <w:t>50</w:t>
      </w:r>
      <w:r w:rsidRPr="00473486">
        <w:rPr>
          <w:rFonts w:eastAsiaTheme="minorEastAsia"/>
          <w:color w:val="000000" w:themeColor="text1"/>
          <w:szCs w:val="21"/>
        </w:rPr>
        <w:t>只波幅最小、股息率高的股票的表现。整体指数以低估值行业为主要持仓特征，在安全边际上有望为投资者组合提供较好的保护。本基金继续采用完全复制的方法跟踪标的指数，争取跟踪误差保持在合理范围内。</w:t>
      </w:r>
    </w:p>
    <w:p w14:paraId="18DF833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51B8A22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本报告期摩根标普港股通低波红利</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:11.81%</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:9.96%</w:t>
      </w:r>
      <w:r w:rsidRPr="00473486">
        <w:rPr>
          <w:rFonts w:eastAsiaTheme="minorEastAsia"/>
          <w:color w:val="000000" w:themeColor="text1"/>
          <w:szCs w:val="21"/>
        </w:rPr>
        <w:t>。</w:t>
      </w:r>
    </w:p>
    <w:p w14:paraId="33308FB9" w14:textId="77777777" w:rsidR="00881A82" w:rsidRPr="00473486" w:rsidRDefault="00881A82">
      <w:pPr>
        <w:spacing w:line="360" w:lineRule="auto"/>
        <w:ind w:firstLineChars="200" w:firstLine="480"/>
        <w:rPr>
          <w:rFonts w:eastAsiaTheme="minorEastAsia"/>
          <w:color w:val="000000" w:themeColor="text1"/>
          <w:sz w:val="24"/>
        </w:rPr>
      </w:pPr>
    </w:p>
    <w:p w14:paraId="69068DD6"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3B7C3E9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2879ACE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5EEBCEE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702B6CE3" w14:textId="77777777">
        <w:trPr>
          <w:jc w:val="center"/>
        </w:trPr>
        <w:tc>
          <w:tcPr>
            <w:tcW w:w="720" w:type="dxa"/>
            <w:vAlign w:val="center"/>
          </w:tcPr>
          <w:p w14:paraId="176E10D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748A0C6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6F09EF7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6B35207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6CAA8D14" w14:textId="77777777">
        <w:trPr>
          <w:jc w:val="center"/>
        </w:trPr>
        <w:tc>
          <w:tcPr>
            <w:tcW w:w="720" w:type="dxa"/>
            <w:vAlign w:val="center"/>
          </w:tcPr>
          <w:p w14:paraId="4CFD43D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1</w:t>
            </w:r>
          </w:p>
        </w:tc>
        <w:tc>
          <w:tcPr>
            <w:tcW w:w="3357" w:type="dxa"/>
            <w:vAlign w:val="center"/>
          </w:tcPr>
          <w:p w14:paraId="2B1F6C7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6F8FD16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2,125,334,588.80</w:t>
            </w:r>
          </w:p>
        </w:tc>
        <w:tc>
          <w:tcPr>
            <w:tcW w:w="1843" w:type="dxa"/>
            <w:vAlign w:val="center"/>
          </w:tcPr>
          <w:p w14:paraId="7B61A95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96.94</w:t>
            </w:r>
          </w:p>
        </w:tc>
      </w:tr>
      <w:tr w:rsidR="00881A82" w:rsidRPr="00473486" w14:paraId="4B854C6A" w14:textId="77777777">
        <w:trPr>
          <w:jc w:val="center"/>
        </w:trPr>
        <w:tc>
          <w:tcPr>
            <w:tcW w:w="720" w:type="dxa"/>
            <w:vAlign w:val="center"/>
          </w:tcPr>
          <w:p w14:paraId="65F318B2"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A075C2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4767F95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2,125,334,588.80</w:t>
            </w:r>
          </w:p>
        </w:tc>
        <w:tc>
          <w:tcPr>
            <w:tcW w:w="1843" w:type="dxa"/>
            <w:vAlign w:val="center"/>
          </w:tcPr>
          <w:p w14:paraId="7AD4A9D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96.94</w:t>
            </w:r>
          </w:p>
        </w:tc>
      </w:tr>
      <w:tr w:rsidR="00881A82" w:rsidRPr="00473486" w14:paraId="12E2637F" w14:textId="77777777">
        <w:trPr>
          <w:jc w:val="center"/>
        </w:trPr>
        <w:tc>
          <w:tcPr>
            <w:tcW w:w="720" w:type="dxa"/>
            <w:vAlign w:val="center"/>
          </w:tcPr>
          <w:p w14:paraId="53D1632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22D50D6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626F300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E919A8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3016034" w14:textId="77777777">
        <w:trPr>
          <w:jc w:val="center"/>
        </w:trPr>
        <w:tc>
          <w:tcPr>
            <w:tcW w:w="720" w:type="dxa"/>
            <w:vAlign w:val="center"/>
          </w:tcPr>
          <w:p w14:paraId="120FBDEE"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0F60F2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7AB128A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970AF4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FD20931" w14:textId="77777777">
        <w:trPr>
          <w:jc w:val="center"/>
        </w:trPr>
        <w:tc>
          <w:tcPr>
            <w:tcW w:w="720" w:type="dxa"/>
            <w:vAlign w:val="center"/>
          </w:tcPr>
          <w:p w14:paraId="16D49F42"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5EE5DE5"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54951FD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7F43CE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4D6D105" w14:textId="77777777">
        <w:trPr>
          <w:jc w:val="center"/>
        </w:trPr>
        <w:tc>
          <w:tcPr>
            <w:tcW w:w="720" w:type="dxa"/>
          </w:tcPr>
          <w:p w14:paraId="67B7868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06B0A7E9"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4226585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41781A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392DD57" w14:textId="77777777">
        <w:trPr>
          <w:jc w:val="center"/>
        </w:trPr>
        <w:tc>
          <w:tcPr>
            <w:tcW w:w="720" w:type="dxa"/>
            <w:vAlign w:val="center"/>
          </w:tcPr>
          <w:p w14:paraId="601D7A5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65EC41E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33A978B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788BBA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AE5D6D0" w14:textId="77777777">
        <w:trPr>
          <w:jc w:val="center"/>
        </w:trPr>
        <w:tc>
          <w:tcPr>
            <w:tcW w:w="720" w:type="dxa"/>
            <w:vAlign w:val="center"/>
          </w:tcPr>
          <w:p w14:paraId="544221E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081A955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7EDF49C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71EFD3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58E5C37" w14:textId="77777777">
        <w:trPr>
          <w:jc w:val="center"/>
        </w:trPr>
        <w:tc>
          <w:tcPr>
            <w:tcW w:w="720" w:type="dxa"/>
            <w:vAlign w:val="center"/>
          </w:tcPr>
          <w:p w14:paraId="3E6ED89B"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D78937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55BF12C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E412DF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9E7C76" w14:textId="77777777">
        <w:trPr>
          <w:jc w:val="center"/>
        </w:trPr>
        <w:tc>
          <w:tcPr>
            <w:tcW w:w="720" w:type="dxa"/>
            <w:vAlign w:val="center"/>
          </w:tcPr>
          <w:p w14:paraId="017475E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6BDB390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5427271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31,978,249.68</w:t>
            </w:r>
          </w:p>
        </w:tc>
        <w:tc>
          <w:tcPr>
            <w:tcW w:w="1843" w:type="dxa"/>
            <w:vAlign w:val="center"/>
          </w:tcPr>
          <w:p w14:paraId="7D13A49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1.46</w:t>
            </w:r>
          </w:p>
        </w:tc>
      </w:tr>
      <w:tr w:rsidR="00881A82" w:rsidRPr="00473486" w14:paraId="56F77A02" w14:textId="77777777">
        <w:trPr>
          <w:jc w:val="center"/>
        </w:trPr>
        <w:tc>
          <w:tcPr>
            <w:tcW w:w="720" w:type="dxa"/>
            <w:vAlign w:val="center"/>
          </w:tcPr>
          <w:p w14:paraId="5C19B6D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61897A87"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722E6DF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35,133,773.02</w:t>
            </w:r>
          </w:p>
        </w:tc>
        <w:tc>
          <w:tcPr>
            <w:tcW w:w="1843" w:type="dxa"/>
            <w:vAlign w:val="center"/>
          </w:tcPr>
          <w:p w14:paraId="7A3ED17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1.60</w:t>
            </w:r>
          </w:p>
        </w:tc>
      </w:tr>
      <w:tr w:rsidR="00881A82" w:rsidRPr="00473486" w14:paraId="5656A1EA" w14:textId="77777777">
        <w:trPr>
          <w:jc w:val="center"/>
        </w:trPr>
        <w:tc>
          <w:tcPr>
            <w:tcW w:w="720" w:type="dxa"/>
            <w:vAlign w:val="center"/>
          </w:tcPr>
          <w:p w14:paraId="6F10713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64D47105"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4500BA7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2,192,446,611.50</w:t>
            </w:r>
          </w:p>
        </w:tc>
        <w:tc>
          <w:tcPr>
            <w:tcW w:w="1843" w:type="dxa"/>
            <w:vAlign w:val="center"/>
          </w:tcPr>
          <w:p w14:paraId="47FD2A9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548E726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注：本基金本报告期末通过港股通交易机制投资的港股公允价值为人民币</w:t>
      </w:r>
      <w:r w:rsidRPr="00473486">
        <w:rPr>
          <w:rFonts w:eastAsiaTheme="minorEastAsia"/>
          <w:color w:val="000000" w:themeColor="text1"/>
          <w:szCs w:val="21"/>
        </w:rPr>
        <w:t>2,125,334,588.80</w:t>
      </w:r>
      <w:r w:rsidRPr="00473486">
        <w:rPr>
          <w:rFonts w:eastAsiaTheme="minorEastAsia"/>
          <w:color w:val="000000" w:themeColor="text1"/>
          <w:szCs w:val="21"/>
        </w:rPr>
        <w:t>元</w:t>
      </w:r>
      <w:r w:rsidRPr="00473486">
        <w:rPr>
          <w:rFonts w:eastAsiaTheme="minorEastAsia"/>
          <w:color w:val="000000" w:themeColor="text1"/>
          <w:szCs w:val="21"/>
        </w:rPr>
        <w:t>,</w:t>
      </w:r>
      <w:r w:rsidRPr="00473486">
        <w:rPr>
          <w:rFonts w:eastAsiaTheme="minorEastAsia"/>
          <w:color w:val="000000" w:themeColor="text1"/>
          <w:szCs w:val="21"/>
        </w:rPr>
        <w:t>占期末净值比例为</w:t>
      </w:r>
      <w:r w:rsidRPr="00473486">
        <w:rPr>
          <w:rFonts w:eastAsiaTheme="minorEastAsia"/>
          <w:color w:val="000000" w:themeColor="text1"/>
          <w:szCs w:val="21"/>
        </w:rPr>
        <w:t>97.68%</w:t>
      </w:r>
      <w:r w:rsidRPr="00473486">
        <w:rPr>
          <w:rFonts w:eastAsiaTheme="minorEastAsia"/>
          <w:color w:val="000000" w:themeColor="text1"/>
          <w:szCs w:val="21"/>
        </w:rPr>
        <w:t>。</w:t>
      </w:r>
    </w:p>
    <w:p w14:paraId="77C80F4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0FE9DD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52F9F79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5A9BC4A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52DEF29F" w14:textId="540FFAE0" w:rsidR="00881A82" w:rsidRPr="00473486" w:rsidRDefault="007D1E3A">
      <w:pPr>
        <w:jc w:val="left"/>
        <w:rPr>
          <w:rFonts w:eastAsiaTheme="minorEastAsia"/>
          <w:color w:val="000000" w:themeColor="text1"/>
          <w:sz w:val="24"/>
        </w:rPr>
      </w:pPr>
      <w:r w:rsidRPr="00473486">
        <w:rPr>
          <w:rFonts w:eastAsiaTheme="minorEastAsia"/>
          <w:b/>
          <w:color w:val="000000" w:themeColor="text1"/>
          <w:kern w:val="0"/>
          <w:sz w:val="24"/>
        </w:rPr>
        <w:t>5.2.</w:t>
      </w:r>
      <w:r w:rsidR="00806E16">
        <w:rPr>
          <w:rFonts w:eastAsiaTheme="minorEastAsia"/>
          <w:b/>
          <w:color w:val="000000" w:themeColor="text1"/>
          <w:kern w:val="0"/>
          <w:sz w:val="24"/>
        </w:rPr>
        <w:t>2</w:t>
      </w:r>
      <w:r w:rsidRPr="00473486">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81A82" w:rsidRPr="00473486" w14:paraId="2CDE3D8E" w14:textId="77777777">
        <w:trPr>
          <w:jc w:val="center"/>
        </w:trPr>
        <w:tc>
          <w:tcPr>
            <w:tcW w:w="2397" w:type="dxa"/>
            <w:vAlign w:val="center"/>
          </w:tcPr>
          <w:p w14:paraId="4E0E961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行业类别</w:t>
            </w:r>
          </w:p>
        </w:tc>
        <w:tc>
          <w:tcPr>
            <w:tcW w:w="3119" w:type="dxa"/>
            <w:vAlign w:val="center"/>
          </w:tcPr>
          <w:p w14:paraId="20A1433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公允价值（人民币）</w:t>
            </w:r>
          </w:p>
        </w:tc>
        <w:tc>
          <w:tcPr>
            <w:tcW w:w="3118" w:type="dxa"/>
            <w:vAlign w:val="center"/>
          </w:tcPr>
          <w:p w14:paraId="659C00F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p>
        </w:tc>
      </w:tr>
      <w:tr w:rsidR="00B84778" w14:paraId="5BB1A093" w14:textId="77777777">
        <w:trPr>
          <w:jc w:val="center"/>
        </w:trPr>
        <w:tc>
          <w:tcPr>
            <w:tcW w:w="2397" w:type="dxa"/>
            <w:vAlign w:val="center"/>
          </w:tcPr>
          <w:p w14:paraId="64EC360B" w14:textId="77777777" w:rsidR="00B84778" w:rsidRDefault="00806E1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4E22C72" w14:textId="77777777" w:rsidR="00B84778" w:rsidRDefault="00806E16">
            <w:pPr>
              <w:jc w:val="center"/>
            </w:pPr>
            <w:r>
              <w:rPr>
                <w:rFonts w:eastAsiaTheme="minorEastAsia"/>
                <w:color w:val="000000" w:themeColor="text1"/>
                <w:szCs w:val="21"/>
              </w:rPr>
              <w:t>96,754,940.89</w:t>
            </w:r>
          </w:p>
        </w:tc>
        <w:tc>
          <w:tcPr>
            <w:tcW w:w="3118" w:type="dxa"/>
            <w:vAlign w:val="center"/>
          </w:tcPr>
          <w:p w14:paraId="03CFF333" w14:textId="77777777" w:rsidR="00B84778" w:rsidRDefault="00806E16">
            <w:pPr>
              <w:jc w:val="center"/>
            </w:pPr>
            <w:r>
              <w:rPr>
                <w:rFonts w:eastAsiaTheme="minorEastAsia"/>
                <w:color w:val="000000" w:themeColor="text1"/>
                <w:szCs w:val="21"/>
              </w:rPr>
              <w:t>4.45</w:t>
            </w:r>
          </w:p>
        </w:tc>
      </w:tr>
      <w:tr w:rsidR="00B84778" w14:paraId="77223043" w14:textId="77777777">
        <w:trPr>
          <w:jc w:val="center"/>
        </w:trPr>
        <w:tc>
          <w:tcPr>
            <w:tcW w:w="2397" w:type="dxa"/>
            <w:vAlign w:val="center"/>
          </w:tcPr>
          <w:p w14:paraId="486A1852" w14:textId="77777777" w:rsidR="00B84778" w:rsidRDefault="00806E1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2933D15D" w14:textId="77777777" w:rsidR="00B84778" w:rsidRDefault="00806E16">
            <w:pPr>
              <w:jc w:val="center"/>
            </w:pPr>
            <w:r>
              <w:rPr>
                <w:rFonts w:eastAsiaTheme="minorEastAsia"/>
                <w:color w:val="000000" w:themeColor="text1"/>
                <w:szCs w:val="21"/>
              </w:rPr>
              <w:t>55,911,406.55</w:t>
            </w:r>
          </w:p>
        </w:tc>
        <w:tc>
          <w:tcPr>
            <w:tcW w:w="3118" w:type="dxa"/>
            <w:vAlign w:val="center"/>
          </w:tcPr>
          <w:p w14:paraId="43F3B2E1" w14:textId="77777777" w:rsidR="00B84778" w:rsidRDefault="00806E16">
            <w:pPr>
              <w:jc w:val="center"/>
            </w:pPr>
            <w:r>
              <w:rPr>
                <w:rFonts w:eastAsiaTheme="minorEastAsia"/>
                <w:color w:val="000000" w:themeColor="text1"/>
                <w:szCs w:val="21"/>
              </w:rPr>
              <w:t>2.57</w:t>
            </w:r>
          </w:p>
        </w:tc>
      </w:tr>
      <w:tr w:rsidR="00B84778" w14:paraId="4B29BFA5" w14:textId="77777777">
        <w:trPr>
          <w:jc w:val="center"/>
        </w:trPr>
        <w:tc>
          <w:tcPr>
            <w:tcW w:w="2397" w:type="dxa"/>
            <w:vAlign w:val="center"/>
          </w:tcPr>
          <w:p w14:paraId="75A261F6" w14:textId="77777777" w:rsidR="00B84778" w:rsidRDefault="00806E1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719522A9" w14:textId="77777777" w:rsidR="00B84778" w:rsidRDefault="00806E16">
            <w:pPr>
              <w:jc w:val="center"/>
            </w:pPr>
            <w:r>
              <w:rPr>
                <w:rFonts w:eastAsiaTheme="minorEastAsia"/>
                <w:color w:val="000000" w:themeColor="text1"/>
                <w:szCs w:val="21"/>
              </w:rPr>
              <w:t>79,413,327.26</w:t>
            </w:r>
          </w:p>
        </w:tc>
        <w:tc>
          <w:tcPr>
            <w:tcW w:w="3118" w:type="dxa"/>
            <w:vAlign w:val="center"/>
          </w:tcPr>
          <w:p w14:paraId="015F96D3" w14:textId="77777777" w:rsidR="00B84778" w:rsidRDefault="00806E16">
            <w:pPr>
              <w:jc w:val="center"/>
            </w:pPr>
            <w:r>
              <w:rPr>
                <w:rFonts w:eastAsiaTheme="minorEastAsia"/>
                <w:color w:val="000000" w:themeColor="text1"/>
                <w:szCs w:val="21"/>
              </w:rPr>
              <w:t>3.65</w:t>
            </w:r>
          </w:p>
        </w:tc>
      </w:tr>
      <w:tr w:rsidR="00B84778" w14:paraId="32B0B4BC" w14:textId="77777777">
        <w:trPr>
          <w:jc w:val="center"/>
        </w:trPr>
        <w:tc>
          <w:tcPr>
            <w:tcW w:w="2397" w:type="dxa"/>
            <w:vAlign w:val="center"/>
          </w:tcPr>
          <w:p w14:paraId="1BA9F01E" w14:textId="77777777" w:rsidR="00B84778" w:rsidRDefault="00806E1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616D5F4D" w14:textId="77777777" w:rsidR="00B84778" w:rsidRDefault="00806E16">
            <w:pPr>
              <w:jc w:val="center"/>
            </w:pPr>
            <w:r>
              <w:rPr>
                <w:rFonts w:eastAsiaTheme="minorEastAsia"/>
                <w:color w:val="000000" w:themeColor="text1"/>
                <w:szCs w:val="21"/>
              </w:rPr>
              <w:t>301,875,166.42</w:t>
            </w:r>
          </w:p>
        </w:tc>
        <w:tc>
          <w:tcPr>
            <w:tcW w:w="3118" w:type="dxa"/>
            <w:vAlign w:val="center"/>
          </w:tcPr>
          <w:p w14:paraId="3BEDF3DA" w14:textId="77777777" w:rsidR="00B84778" w:rsidRDefault="00806E16">
            <w:pPr>
              <w:jc w:val="center"/>
            </w:pPr>
            <w:r>
              <w:rPr>
                <w:rFonts w:eastAsiaTheme="minorEastAsia"/>
                <w:color w:val="000000" w:themeColor="text1"/>
                <w:szCs w:val="21"/>
              </w:rPr>
              <w:t>13.87</w:t>
            </w:r>
          </w:p>
        </w:tc>
      </w:tr>
      <w:tr w:rsidR="00B84778" w14:paraId="74FCDD49" w14:textId="77777777">
        <w:trPr>
          <w:jc w:val="center"/>
        </w:trPr>
        <w:tc>
          <w:tcPr>
            <w:tcW w:w="2397" w:type="dxa"/>
            <w:vAlign w:val="center"/>
          </w:tcPr>
          <w:p w14:paraId="40124F29" w14:textId="77777777" w:rsidR="00B84778" w:rsidRDefault="00806E1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1973C0F2" w14:textId="77777777" w:rsidR="00B84778" w:rsidRDefault="00806E16">
            <w:pPr>
              <w:jc w:val="center"/>
            </w:pPr>
            <w:r>
              <w:rPr>
                <w:rFonts w:eastAsiaTheme="minorEastAsia"/>
                <w:color w:val="000000" w:themeColor="text1"/>
                <w:szCs w:val="21"/>
              </w:rPr>
              <w:t>689,005,894.54</w:t>
            </w:r>
          </w:p>
        </w:tc>
        <w:tc>
          <w:tcPr>
            <w:tcW w:w="3118" w:type="dxa"/>
            <w:vAlign w:val="center"/>
          </w:tcPr>
          <w:p w14:paraId="08BDD0B8" w14:textId="77777777" w:rsidR="00B84778" w:rsidRDefault="00806E16">
            <w:pPr>
              <w:jc w:val="center"/>
            </w:pPr>
            <w:r>
              <w:rPr>
                <w:rFonts w:eastAsiaTheme="minorEastAsia"/>
                <w:color w:val="000000" w:themeColor="text1"/>
                <w:szCs w:val="21"/>
              </w:rPr>
              <w:t>31.67</w:t>
            </w:r>
          </w:p>
        </w:tc>
      </w:tr>
      <w:tr w:rsidR="00B84778" w14:paraId="56EEED00" w14:textId="77777777">
        <w:trPr>
          <w:jc w:val="center"/>
        </w:trPr>
        <w:tc>
          <w:tcPr>
            <w:tcW w:w="2397" w:type="dxa"/>
            <w:vAlign w:val="center"/>
          </w:tcPr>
          <w:p w14:paraId="23C22D70" w14:textId="77777777" w:rsidR="00B84778" w:rsidRDefault="00806E1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B55D529" w14:textId="77777777" w:rsidR="00B84778" w:rsidRDefault="00806E16">
            <w:pPr>
              <w:jc w:val="center"/>
            </w:pPr>
            <w:r>
              <w:rPr>
                <w:rFonts w:eastAsiaTheme="minorEastAsia"/>
                <w:color w:val="000000" w:themeColor="text1"/>
                <w:szCs w:val="21"/>
              </w:rPr>
              <w:t>26,513,354.00</w:t>
            </w:r>
          </w:p>
        </w:tc>
        <w:tc>
          <w:tcPr>
            <w:tcW w:w="3118" w:type="dxa"/>
            <w:vAlign w:val="center"/>
          </w:tcPr>
          <w:p w14:paraId="56DF7DEE" w14:textId="77777777" w:rsidR="00B84778" w:rsidRDefault="00806E16">
            <w:pPr>
              <w:jc w:val="center"/>
            </w:pPr>
            <w:r>
              <w:rPr>
                <w:rFonts w:eastAsiaTheme="minorEastAsia"/>
                <w:color w:val="000000" w:themeColor="text1"/>
                <w:szCs w:val="21"/>
              </w:rPr>
              <w:t>1.22</w:t>
            </w:r>
          </w:p>
        </w:tc>
      </w:tr>
      <w:tr w:rsidR="00B84778" w14:paraId="287AA816" w14:textId="77777777">
        <w:trPr>
          <w:jc w:val="center"/>
        </w:trPr>
        <w:tc>
          <w:tcPr>
            <w:tcW w:w="2397" w:type="dxa"/>
            <w:vAlign w:val="center"/>
          </w:tcPr>
          <w:p w14:paraId="2706F52A" w14:textId="77777777" w:rsidR="00B84778" w:rsidRDefault="00806E1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50F80FC4" w14:textId="77777777" w:rsidR="00B84778" w:rsidRDefault="00806E16">
            <w:pPr>
              <w:jc w:val="center"/>
            </w:pPr>
            <w:r>
              <w:rPr>
                <w:rFonts w:eastAsiaTheme="minorEastAsia"/>
                <w:color w:val="000000" w:themeColor="text1"/>
                <w:szCs w:val="21"/>
              </w:rPr>
              <w:t>293,621,007.15</w:t>
            </w:r>
          </w:p>
        </w:tc>
        <w:tc>
          <w:tcPr>
            <w:tcW w:w="3118" w:type="dxa"/>
            <w:vAlign w:val="center"/>
          </w:tcPr>
          <w:p w14:paraId="5781C54B" w14:textId="77777777" w:rsidR="00B84778" w:rsidRDefault="00806E16">
            <w:pPr>
              <w:jc w:val="center"/>
            </w:pPr>
            <w:r>
              <w:rPr>
                <w:rFonts w:eastAsiaTheme="minorEastAsia"/>
                <w:color w:val="000000" w:themeColor="text1"/>
                <w:szCs w:val="21"/>
              </w:rPr>
              <w:t>13.49</w:t>
            </w:r>
          </w:p>
        </w:tc>
      </w:tr>
      <w:tr w:rsidR="00B84778" w14:paraId="23D862AA" w14:textId="77777777">
        <w:trPr>
          <w:jc w:val="center"/>
        </w:trPr>
        <w:tc>
          <w:tcPr>
            <w:tcW w:w="2397" w:type="dxa"/>
            <w:vAlign w:val="center"/>
          </w:tcPr>
          <w:p w14:paraId="048F25AB" w14:textId="77777777" w:rsidR="00B84778" w:rsidRDefault="00806E1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02A4C427" w14:textId="77777777" w:rsidR="00B84778" w:rsidRDefault="00806E16">
            <w:pPr>
              <w:jc w:val="center"/>
            </w:pPr>
            <w:r>
              <w:rPr>
                <w:rFonts w:eastAsiaTheme="minorEastAsia"/>
                <w:color w:val="000000" w:themeColor="text1"/>
                <w:szCs w:val="21"/>
              </w:rPr>
              <w:t>-</w:t>
            </w:r>
          </w:p>
        </w:tc>
        <w:tc>
          <w:tcPr>
            <w:tcW w:w="3118" w:type="dxa"/>
            <w:vAlign w:val="center"/>
          </w:tcPr>
          <w:p w14:paraId="0605B409" w14:textId="77777777" w:rsidR="00B84778" w:rsidRDefault="00806E16">
            <w:pPr>
              <w:jc w:val="center"/>
            </w:pPr>
            <w:r>
              <w:rPr>
                <w:rFonts w:eastAsiaTheme="minorEastAsia"/>
                <w:color w:val="000000" w:themeColor="text1"/>
                <w:szCs w:val="21"/>
              </w:rPr>
              <w:t>-</w:t>
            </w:r>
          </w:p>
        </w:tc>
      </w:tr>
      <w:tr w:rsidR="00B84778" w14:paraId="2C8BEBA8" w14:textId="77777777">
        <w:trPr>
          <w:jc w:val="center"/>
        </w:trPr>
        <w:tc>
          <w:tcPr>
            <w:tcW w:w="2397" w:type="dxa"/>
            <w:vAlign w:val="center"/>
          </w:tcPr>
          <w:p w14:paraId="3F4DD05E" w14:textId="77777777" w:rsidR="00B84778" w:rsidRDefault="00806E1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73F6EB8" w14:textId="77777777" w:rsidR="00B84778" w:rsidRDefault="00806E16">
            <w:pPr>
              <w:jc w:val="center"/>
            </w:pPr>
            <w:r>
              <w:rPr>
                <w:rFonts w:eastAsiaTheme="minorEastAsia"/>
                <w:color w:val="000000" w:themeColor="text1"/>
                <w:szCs w:val="21"/>
              </w:rPr>
              <w:t>186,046,824.40</w:t>
            </w:r>
          </w:p>
        </w:tc>
        <w:tc>
          <w:tcPr>
            <w:tcW w:w="3118" w:type="dxa"/>
            <w:vAlign w:val="center"/>
          </w:tcPr>
          <w:p w14:paraId="47874C6E" w14:textId="77777777" w:rsidR="00B84778" w:rsidRDefault="00806E16">
            <w:pPr>
              <w:jc w:val="center"/>
            </w:pPr>
            <w:r>
              <w:rPr>
                <w:rFonts w:eastAsiaTheme="minorEastAsia"/>
                <w:color w:val="000000" w:themeColor="text1"/>
                <w:szCs w:val="21"/>
              </w:rPr>
              <w:t>8.55</w:t>
            </w:r>
          </w:p>
        </w:tc>
      </w:tr>
      <w:tr w:rsidR="00B84778" w14:paraId="057935CF" w14:textId="77777777">
        <w:trPr>
          <w:jc w:val="center"/>
        </w:trPr>
        <w:tc>
          <w:tcPr>
            <w:tcW w:w="2397" w:type="dxa"/>
            <w:vAlign w:val="center"/>
          </w:tcPr>
          <w:p w14:paraId="0EDC61C1" w14:textId="77777777" w:rsidR="00B84778" w:rsidRDefault="00806E1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79ED4CC" w14:textId="77777777" w:rsidR="00B84778" w:rsidRDefault="00806E16">
            <w:pPr>
              <w:jc w:val="center"/>
            </w:pPr>
            <w:r>
              <w:rPr>
                <w:rFonts w:eastAsiaTheme="minorEastAsia"/>
                <w:color w:val="000000" w:themeColor="text1"/>
                <w:szCs w:val="21"/>
              </w:rPr>
              <w:t>245,884,872.37</w:t>
            </w:r>
          </w:p>
        </w:tc>
        <w:tc>
          <w:tcPr>
            <w:tcW w:w="3118" w:type="dxa"/>
            <w:vAlign w:val="center"/>
          </w:tcPr>
          <w:p w14:paraId="63566BFA" w14:textId="77777777" w:rsidR="00B84778" w:rsidRDefault="00806E16">
            <w:pPr>
              <w:jc w:val="center"/>
            </w:pPr>
            <w:r>
              <w:rPr>
                <w:rFonts w:eastAsiaTheme="minorEastAsia"/>
                <w:color w:val="000000" w:themeColor="text1"/>
                <w:szCs w:val="21"/>
              </w:rPr>
              <w:t>11.30</w:t>
            </w:r>
          </w:p>
        </w:tc>
      </w:tr>
      <w:tr w:rsidR="00B84778" w14:paraId="1B9632EE" w14:textId="77777777">
        <w:trPr>
          <w:jc w:val="center"/>
        </w:trPr>
        <w:tc>
          <w:tcPr>
            <w:tcW w:w="2397" w:type="dxa"/>
            <w:vAlign w:val="center"/>
          </w:tcPr>
          <w:p w14:paraId="1611ED77" w14:textId="77777777" w:rsidR="00B84778" w:rsidRDefault="00806E1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48CFA899" w14:textId="77777777" w:rsidR="00B84778" w:rsidRDefault="00806E16">
            <w:pPr>
              <w:jc w:val="center"/>
            </w:pPr>
            <w:r>
              <w:rPr>
                <w:rFonts w:eastAsiaTheme="minorEastAsia"/>
                <w:color w:val="000000" w:themeColor="text1"/>
                <w:szCs w:val="21"/>
              </w:rPr>
              <w:t>150,307,795.22</w:t>
            </w:r>
          </w:p>
        </w:tc>
        <w:tc>
          <w:tcPr>
            <w:tcW w:w="3118" w:type="dxa"/>
            <w:vAlign w:val="center"/>
          </w:tcPr>
          <w:p w14:paraId="6183E287" w14:textId="77777777" w:rsidR="00B84778" w:rsidRDefault="00806E16">
            <w:pPr>
              <w:jc w:val="center"/>
            </w:pPr>
            <w:r>
              <w:rPr>
                <w:rFonts w:eastAsiaTheme="minorEastAsia"/>
                <w:color w:val="000000" w:themeColor="text1"/>
                <w:szCs w:val="21"/>
              </w:rPr>
              <w:t>6.91</w:t>
            </w:r>
          </w:p>
        </w:tc>
      </w:tr>
      <w:tr w:rsidR="00881A82" w:rsidRPr="00473486" w14:paraId="75FDD100" w14:textId="77777777">
        <w:trPr>
          <w:jc w:val="center"/>
        </w:trPr>
        <w:tc>
          <w:tcPr>
            <w:tcW w:w="2397" w:type="dxa"/>
            <w:vAlign w:val="center"/>
          </w:tcPr>
          <w:p w14:paraId="6C2C9EC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合计</w:t>
            </w:r>
          </w:p>
        </w:tc>
        <w:tc>
          <w:tcPr>
            <w:tcW w:w="3119" w:type="dxa"/>
            <w:vAlign w:val="center"/>
          </w:tcPr>
          <w:p w14:paraId="06D48C6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2,125,334,588.80</w:t>
            </w:r>
          </w:p>
        </w:tc>
        <w:tc>
          <w:tcPr>
            <w:tcW w:w="3118" w:type="dxa"/>
            <w:vAlign w:val="center"/>
          </w:tcPr>
          <w:p w14:paraId="231BA10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97.68</w:t>
            </w:r>
          </w:p>
        </w:tc>
      </w:tr>
    </w:tbl>
    <w:p w14:paraId="2547DB12"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50AC14E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74ABF507"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559"/>
        <w:gridCol w:w="1418"/>
        <w:gridCol w:w="1842"/>
        <w:gridCol w:w="1616"/>
      </w:tblGrid>
      <w:tr w:rsidR="00881A82" w:rsidRPr="00473486" w14:paraId="3E4BE4B9" w14:textId="77777777" w:rsidTr="00B107E8">
        <w:tc>
          <w:tcPr>
            <w:tcW w:w="817" w:type="dxa"/>
            <w:vAlign w:val="center"/>
          </w:tcPr>
          <w:p w14:paraId="03E4167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603D9B2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559" w:type="dxa"/>
            <w:vAlign w:val="center"/>
          </w:tcPr>
          <w:p w14:paraId="3675360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418" w:type="dxa"/>
            <w:vAlign w:val="center"/>
          </w:tcPr>
          <w:p w14:paraId="49A679B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129947A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1D5E1B5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B84778" w14:paraId="0E6C2058" w14:textId="77777777" w:rsidTr="00B107E8">
        <w:tc>
          <w:tcPr>
            <w:tcW w:w="817" w:type="dxa"/>
            <w:vAlign w:val="center"/>
          </w:tcPr>
          <w:p w14:paraId="00925A50" w14:textId="77777777" w:rsidR="00B84778" w:rsidRDefault="00806E16">
            <w:pPr>
              <w:jc w:val="center"/>
            </w:pPr>
            <w:r>
              <w:rPr>
                <w:rFonts w:eastAsiaTheme="minorEastAsia"/>
                <w:color w:val="000000" w:themeColor="text1"/>
                <w:szCs w:val="21"/>
              </w:rPr>
              <w:t>1</w:t>
            </w:r>
          </w:p>
        </w:tc>
        <w:tc>
          <w:tcPr>
            <w:tcW w:w="1276" w:type="dxa"/>
            <w:vAlign w:val="center"/>
          </w:tcPr>
          <w:p w14:paraId="099F5F05" w14:textId="77777777" w:rsidR="00B84778" w:rsidRDefault="00806E16">
            <w:pPr>
              <w:jc w:val="center"/>
            </w:pPr>
            <w:r>
              <w:rPr>
                <w:rFonts w:eastAsiaTheme="minorEastAsia"/>
                <w:color w:val="000000" w:themeColor="text1"/>
                <w:szCs w:val="21"/>
              </w:rPr>
              <w:t>00883</w:t>
            </w:r>
          </w:p>
        </w:tc>
        <w:tc>
          <w:tcPr>
            <w:tcW w:w="1559" w:type="dxa"/>
            <w:vAlign w:val="center"/>
          </w:tcPr>
          <w:p w14:paraId="420CFFE2" w14:textId="77777777" w:rsidR="00B84778" w:rsidRDefault="00806E16">
            <w:pPr>
              <w:jc w:val="center"/>
            </w:pPr>
            <w:r>
              <w:rPr>
                <w:rFonts w:eastAsiaTheme="minorEastAsia"/>
                <w:color w:val="000000" w:themeColor="text1"/>
                <w:szCs w:val="21"/>
              </w:rPr>
              <w:t>中国海洋石油</w:t>
            </w:r>
          </w:p>
        </w:tc>
        <w:tc>
          <w:tcPr>
            <w:tcW w:w="1418" w:type="dxa"/>
            <w:vAlign w:val="center"/>
          </w:tcPr>
          <w:p w14:paraId="07C167DF" w14:textId="77777777" w:rsidR="00B84778" w:rsidRDefault="00806E16">
            <w:pPr>
              <w:jc w:val="right"/>
            </w:pPr>
            <w:r>
              <w:rPr>
                <w:rFonts w:eastAsiaTheme="minorEastAsia"/>
                <w:color w:val="000000" w:themeColor="text1"/>
                <w:szCs w:val="21"/>
              </w:rPr>
              <w:t>4,158,000.00</w:t>
            </w:r>
          </w:p>
        </w:tc>
        <w:tc>
          <w:tcPr>
            <w:tcW w:w="1842" w:type="dxa"/>
            <w:vAlign w:val="center"/>
          </w:tcPr>
          <w:p w14:paraId="21BA7AE1" w14:textId="77777777" w:rsidR="00B84778" w:rsidRDefault="00806E16">
            <w:pPr>
              <w:jc w:val="right"/>
            </w:pPr>
            <w:r>
              <w:rPr>
                <w:rFonts w:eastAsiaTheme="minorEastAsia"/>
                <w:color w:val="000000" w:themeColor="text1"/>
                <w:szCs w:val="21"/>
              </w:rPr>
              <w:t>85,006,285.06</w:t>
            </w:r>
          </w:p>
        </w:tc>
        <w:tc>
          <w:tcPr>
            <w:tcW w:w="1616" w:type="dxa"/>
            <w:vAlign w:val="center"/>
          </w:tcPr>
          <w:p w14:paraId="0A08CB4E" w14:textId="77777777" w:rsidR="00B84778" w:rsidRDefault="00806E16">
            <w:pPr>
              <w:jc w:val="right"/>
            </w:pPr>
            <w:r>
              <w:rPr>
                <w:rFonts w:eastAsiaTheme="minorEastAsia"/>
                <w:color w:val="000000" w:themeColor="text1"/>
                <w:szCs w:val="21"/>
              </w:rPr>
              <w:t>3.91</w:t>
            </w:r>
          </w:p>
        </w:tc>
      </w:tr>
      <w:tr w:rsidR="00B84778" w14:paraId="7287EE01" w14:textId="77777777" w:rsidTr="00B107E8">
        <w:tc>
          <w:tcPr>
            <w:tcW w:w="817" w:type="dxa"/>
            <w:vAlign w:val="center"/>
          </w:tcPr>
          <w:p w14:paraId="65217B80" w14:textId="77777777" w:rsidR="00B84778" w:rsidRDefault="00806E16">
            <w:pPr>
              <w:jc w:val="center"/>
            </w:pPr>
            <w:r>
              <w:rPr>
                <w:rFonts w:eastAsiaTheme="minorEastAsia"/>
                <w:color w:val="000000" w:themeColor="text1"/>
                <w:szCs w:val="21"/>
              </w:rPr>
              <w:t>2</w:t>
            </w:r>
          </w:p>
        </w:tc>
        <w:tc>
          <w:tcPr>
            <w:tcW w:w="1276" w:type="dxa"/>
            <w:vAlign w:val="center"/>
          </w:tcPr>
          <w:p w14:paraId="508BCBCB" w14:textId="77777777" w:rsidR="00B84778" w:rsidRDefault="00806E16">
            <w:pPr>
              <w:jc w:val="center"/>
            </w:pPr>
            <w:r>
              <w:rPr>
                <w:rFonts w:eastAsiaTheme="minorEastAsia"/>
                <w:color w:val="000000" w:themeColor="text1"/>
                <w:szCs w:val="21"/>
              </w:rPr>
              <w:t>00857</w:t>
            </w:r>
          </w:p>
        </w:tc>
        <w:tc>
          <w:tcPr>
            <w:tcW w:w="1559" w:type="dxa"/>
            <w:vAlign w:val="center"/>
          </w:tcPr>
          <w:p w14:paraId="1E1612F9" w14:textId="77777777" w:rsidR="00B84778" w:rsidRDefault="00806E16">
            <w:pPr>
              <w:jc w:val="center"/>
            </w:pPr>
            <w:r>
              <w:rPr>
                <w:rFonts w:eastAsiaTheme="minorEastAsia"/>
                <w:color w:val="000000" w:themeColor="text1"/>
                <w:szCs w:val="21"/>
              </w:rPr>
              <w:t>中国石油股份</w:t>
            </w:r>
          </w:p>
        </w:tc>
        <w:tc>
          <w:tcPr>
            <w:tcW w:w="1418" w:type="dxa"/>
            <w:vAlign w:val="center"/>
          </w:tcPr>
          <w:p w14:paraId="4FE2A755" w14:textId="77777777" w:rsidR="00B84778" w:rsidRDefault="00806E16">
            <w:pPr>
              <w:jc w:val="right"/>
            </w:pPr>
            <w:r>
              <w:rPr>
                <w:rFonts w:eastAsiaTheme="minorEastAsia"/>
                <w:color w:val="000000" w:themeColor="text1"/>
                <w:szCs w:val="21"/>
              </w:rPr>
              <w:t>10,556,000.00</w:t>
            </w:r>
          </w:p>
        </w:tc>
        <w:tc>
          <w:tcPr>
            <w:tcW w:w="1842" w:type="dxa"/>
            <w:vAlign w:val="center"/>
          </w:tcPr>
          <w:p w14:paraId="453A4FA8" w14:textId="77777777" w:rsidR="00B84778" w:rsidRDefault="00806E16">
            <w:pPr>
              <w:jc w:val="right"/>
            </w:pPr>
            <w:r>
              <w:rPr>
                <w:rFonts w:eastAsiaTheme="minorEastAsia"/>
                <w:color w:val="000000" w:themeColor="text1"/>
                <w:szCs w:val="21"/>
              </w:rPr>
              <w:t>76,110,575.63</w:t>
            </w:r>
          </w:p>
        </w:tc>
        <w:tc>
          <w:tcPr>
            <w:tcW w:w="1616" w:type="dxa"/>
            <w:vAlign w:val="center"/>
          </w:tcPr>
          <w:p w14:paraId="690EA975" w14:textId="77777777" w:rsidR="00B84778" w:rsidRDefault="00806E16">
            <w:pPr>
              <w:jc w:val="right"/>
            </w:pPr>
            <w:r>
              <w:rPr>
                <w:rFonts w:eastAsiaTheme="minorEastAsia"/>
                <w:color w:val="000000" w:themeColor="text1"/>
                <w:szCs w:val="21"/>
              </w:rPr>
              <w:t>3.50</w:t>
            </w:r>
          </w:p>
        </w:tc>
      </w:tr>
      <w:tr w:rsidR="00B84778" w14:paraId="45FCC1C2" w14:textId="77777777" w:rsidTr="00B107E8">
        <w:tc>
          <w:tcPr>
            <w:tcW w:w="817" w:type="dxa"/>
            <w:vAlign w:val="center"/>
          </w:tcPr>
          <w:p w14:paraId="63C289E8" w14:textId="77777777" w:rsidR="00B84778" w:rsidRDefault="00806E16">
            <w:pPr>
              <w:jc w:val="center"/>
            </w:pPr>
            <w:r>
              <w:rPr>
                <w:rFonts w:eastAsiaTheme="minorEastAsia"/>
                <w:color w:val="000000" w:themeColor="text1"/>
                <w:szCs w:val="21"/>
              </w:rPr>
              <w:t>3</w:t>
            </w:r>
          </w:p>
        </w:tc>
        <w:tc>
          <w:tcPr>
            <w:tcW w:w="1276" w:type="dxa"/>
            <w:vAlign w:val="center"/>
          </w:tcPr>
          <w:p w14:paraId="393178B3" w14:textId="77777777" w:rsidR="00B84778" w:rsidRDefault="00806E16">
            <w:pPr>
              <w:jc w:val="center"/>
            </w:pPr>
            <w:r>
              <w:rPr>
                <w:rFonts w:eastAsiaTheme="minorEastAsia"/>
                <w:color w:val="000000" w:themeColor="text1"/>
                <w:szCs w:val="21"/>
              </w:rPr>
              <w:t>01088</w:t>
            </w:r>
          </w:p>
        </w:tc>
        <w:tc>
          <w:tcPr>
            <w:tcW w:w="1559" w:type="dxa"/>
            <w:vAlign w:val="center"/>
          </w:tcPr>
          <w:p w14:paraId="39F048B0" w14:textId="77777777" w:rsidR="00B84778" w:rsidRDefault="00806E16">
            <w:pPr>
              <w:jc w:val="center"/>
            </w:pPr>
            <w:r>
              <w:rPr>
                <w:rFonts w:eastAsiaTheme="minorEastAsia"/>
                <w:color w:val="000000" w:themeColor="text1"/>
                <w:szCs w:val="21"/>
              </w:rPr>
              <w:t>中国神华</w:t>
            </w:r>
          </w:p>
        </w:tc>
        <w:tc>
          <w:tcPr>
            <w:tcW w:w="1418" w:type="dxa"/>
            <w:vAlign w:val="center"/>
          </w:tcPr>
          <w:p w14:paraId="522163B9" w14:textId="77777777" w:rsidR="00B84778" w:rsidRDefault="00806E16">
            <w:pPr>
              <w:jc w:val="right"/>
            </w:pPr>
            <w:r>
              <w:rPr>
                <w:rFonts w:eastAsiaTheme="minorEastAsia"/>
                <w:color w:val="000000" w:themeColor="text1"/>
                <w:szCs w:val="21"/>
              </w:rPr>
              <w:t>2,308,500.00</w:t>
            </w:r>
          </w:p>
        </w:tc>
        <w:tc>
          <w:tcPr>
            <w:tcW w:w="1842" w:type="dxa"/>
            <w:vAlign w:val="center"/>
          </w:tcPr>
          <w:p w14:paraId="65FB9D9A" w14:textId="77777777" w:rsidR="00B84778" w:rsidRDefault="00806E16">
            <w:pPr>
              <w:jc w:val="right"/>
            </w:pPr>
            <w:r>
              <w:rPr>
                <w:rFonts w:eastAsiaTheme="minorEastAsia"/>
                <w:color w:val="000000" w:themeColor="text1"/>
                <w:szCs w:val="21"/>
              </w:rPr>
              <w:t>75,743,837.99</w:t>
            </w:r>
          </w:p>
        </w:tc>
        <w:tc>
          <w:tcPr>
            <w:tcW w:w="1616" w:type="dxa"/>
            <w:vAlign w:val="center"/>
          </w:tcPr>
          <w:p w14:paraId="00D9FE48" w14:textId="77777777" w:rsidR="00B84778" w:rsidRDefault="00806E16">
            <w:pPr>
              <w:jc w:val="right"/>
            </w:pPr>
            <w:r>
              <w:rPr>
                <w:rFonts w:eastAsiaTheme="minorEastAsia"/>
                <w:color w:val="000000" w:themeColor="text1"/>
                <w:szCs w:val="21"/>
              </w:rPr>
              <w:t>3.48</w:t>
            </w:r>
          </w:p>
        </w:tc>
      </w:tr>
      <w:tr w:rsidR="00B84778" w14:paraId="4BA1514D" w14:textId="77777777" w:rsidTr="00B107E8">
        <w:tc>
          <w:tcPr>
            <w:tcW w:w="817" w:type="dxa"/>
            <w:vAlign w:val="center"/>
          </w:tcPr>
          <w:p w14:paraId="0CA212C3" w14:textId="77777777" w:rsidR="00B84778" w:rsidRDefault="00806E16">
            <w:pPr>
              <w:jc w:val="center"/>
            </w:pPr>
            <w:r>
              <w:rPr>
                <w:rFonts w:eastAsiaTheme="minorEastAsia"/>
                <w:color w:val="000000" w:themeColor="text1"/>
                <w:szCs w:val="21"/>
              </w:rPr>
              <w:t>4</w:t>
            </w:r>
          </w:p>
        </w:tc>
        <w:tc>
          <w:tcPr>
            <w:tcW w:w="1276" w:type="dxa"/>
            <w:vAlign w:val="center"/>
          </w:tcPr>
          <w:p w14:paraId="40B67544" w14:textId="77777777" w:rsidR="00B84778" w:rsidRDefault="00806E16">
            <w:pPr>
              <w:jc w:val="center"/>
            </w:pPr>
            <w:r>
              <w:rPr>
                <w:rFonts w:eastAsiaTheme="minorEastAsia"/>
                <w:color w:val="000000" w:themeColor="text1"/>
                <w:szCs w:val="21"/>
              </w:rPr>
              <w:t>00386</w:t>
            </w:r>
          </w:p>
        </w:tc>
        <w:tc>
          <w:tcPr>
            <w:tcW w:w="1559" w:type="dxa"/>
            <w:vAlign w:val="center"/>
          </w:tcPr>
          <w:p w14:paraId="32BD94E9" w14:textId="77777777" w:rsidR="00B84778" w:rsidRDefault="00806E16">
            <w:pPr>
              <w:jc w:val="center"/>
            </w:pPr>
            <w:r>
              <w:rPr>
                <w:rFonts w:eastAsiaTheme="minorEastAsia"/>
                <w:color w:val="000000" w:themeColor="text1"/>
                <w:szCs w:val="21"/>
              </w:rPr>
              <w:t>中国石油化工股份</w:t>
            </w:r>
          </w:p>
        </w:tc>
        <w:tc>
          <w:tcPr>
            <w:tcW w:w="1418" w:type="dxa"/>
            <w:vAlign w:val="center"/>
          </w:tcPr>
          <w:p w14:paraId="2E067501" w14:textId="77777777" w:rsidR="00B84778" w:rsidRDefault="00806E16">
            <w:pPr>
              <w:jc w:val="right"/>
            </w:pPr>
            <w:r>
              <w:rPr>
                <w:rFonts w:eastAsiaTheme="minorEastAsia"/>
                <w:color w:val="000000" w:themeColor="text1"/>
                <w:szCs w:val="21"/>
              </w:rPr>
              <w:t>14,078,000.00</w:t>
            </w:r>
          </w:p>
        </w:tc>
        <w:tc>
          <w:tcPr>
            <w:tcW w:w="1842" w:type="dxa"/>
            <w:vAlign w:val="center"/>
          </w:tcPr>
          <w:p w14:paraId="48C37058" w14:textId="77777777" w:rsidR="00B84778" w:rsidRDefault="00806E16">
            <w:pPr>
              <w:jc w:val="right"/>
            </w:pPr>
            <w:r>
              <w:rPr>
                <w:rFonts w:eastAsiaTheme="minorEastAsia"/>
                <w:color w:val="000000" w:themeColor="text1"/>
                <w:szCs w:val="21"/>
              </w:rPr>
              <w:t>65,014,467.74</w:t>
            </w:r>
          </w:p>
        </w:tc>
        <w:tc>
          <w:tcPr>
            <w:tcW w:w="1616" w:type="dxa"/>
            <w:vAlign w:val="center"/>
          </w:tcPr>
          <w:p w14:paraId="0CB9B6AA" w14:textId="77777777" w:rsidR="00B84778" w:rsidRDefault="00806E16">
            <w:pPr>
              <w:jc w:val="right"/>
            </w:pPr>
            <w:r>
              <w:rPr>
                <w:rFonts w:eastAsiaTheme="minorEastAsia"/>
                <w:color w:val="000000" w:themeColor="text1"/>
                <w:szCs w:val="21"/>
              </w:rPr>
              <w:t>2.99</w:t>
            </w:r>
          </w:p>
        </w:tc>
      </w:tr>
      <w:tr w:rsidR="00B84778" w14:paraId="51A4FB4E" w14:textId="77777777" w:rsidTr="00B107E8">
        <w:tc>
          <w:tcPr>
            <w:tcW w:w="817" w:type="dxa"/>
            <w:vAlign w:val="center"/>
          </w:tcPr>
          <w:p w14:paraId="06B8E3FF" w14:textId="77777777" w:rsidR="00B84778" w:rsidRDefault="00806E16">
            <w:pPr>
              <w:jc w:val="center"/>
            </w:pPr>
            <w:r>
              <w:rPr>
                <w:rFonts w:eastAsiaTheme="minorEastAsia"/>
                <w:color w:val="000000" w:themeColor="text1"/>
                <w:szCs w:val="21"/>
              </w:rPr>
              <w:t>5</w:t>
            </w:r>
          </w:p>
        </w:tc>
        <w:tc>
          <w:tcPr>
            <w:tcW w:w="1276" w:type="dxa"/>
            <w:vAlign w:val="center"/>
          </w:tcPr>
          <w:p w14:paraId="7E0F6C20" w14:textId="77777777" w:rsidR="00B84778" w:rsidRDefault="00806E16">
            <w:pPr>
              <w:jc w:val="center"/>
            </w:pPr>
            <w:r>
              <w:rPr>
                <w:rFonts w:eastAsiaTheme="minorEastAsia"/>
                <w:color w:val="000000" w:themeColor="text1"/>
                <w:szCs w:val="21"/>
              </w:rPr>
              <w:t>00998</w:t>
            </w:r>
          </w:p>
        </w:tc>
        <w:tc>
          <w:tcPr>
            <w:tcW w:w="1559" w:type="dxa"/>
            <w:vAlign w:val="center"/>
          </w:tcPr>
          <w:p w14:paraId="30B3F433" w14:textId="77777777" w:rsidR="00B84778" w:rsidRDefault="00806E16">
            <w:pPr>
              <w:jc w:val="center"/>
            </w:pPr>
            <w:r>
              <w:rPr>
                <w:rFonts w:eastAsiaTheme="minorEastAsia"/>
                <w:color w:val="000000" w:themeColor="text1"/>
                <w:szCs w:val="21"/>
              </w:rPr>
              <w:t>中信银行</w:t>
            </w:r>
          </w:p>
        </w:tc>
        <w:tc>
          <w:tcPr>
            <w:tcW w:w="1418" w:type="dxa"/>
            <w:vAlign w:val="center"/>
          </w:tcPr>
          <w:p w14:paraId="02AC03A6" w14:textId="77777777" w:rsidR="00B84778" w:rsidRDefault="00806E16">
            <w:pPr>
              <w:jc w:val="right"/>
            </w:pPr>
            <w:r>
              <w:rPr>
                <w:rFonts w:eastAsiaTheme="minorEastAsia"/>
                <w:color w:val="000000" w:themeColor="text1"/>
                <w:szCs w:val="21"/>
              </w:rPr>
              <w:t>13,746,000.00</w:t>
            </w:r>
          </w:p>
        </w:tc>
        <w:tc>
          <w:tcPr>
            <w:tcW w:w="1842" w:type="dxa"/>
            <w:vAlign w:val="center"/>
          </w:tcPr>
          <w:p w14:paraId="1C14B6D9" w14:textId="77777777" w:rsidR="00B84778" w:rsidRDefault="00806E16">
            <w:pPr>
              <w:jc w:val="right"/>
            </w:pPr>
            <w:r>
              <w:rPr>
                <w:rFonts w:eastAsiaTheme="minorEastAsia"/>
                <w:color w:val="000000" w:themeColor="text1"/>
                <w:szCs w:val="21"/>
              </w:rPr>
              <w:t>62,853,953.39</w:t>
            </w:r>
          </w:p>
        </w:tc>
        <w:tc>
          <w:tcPr>
            <w:tcW w:w="1616" w:type="dxa"/>
            <w:vAlign w:val="center"/>
          </w:tcPr>
          <w:p w14:paraId="61B75782" w14:textId="77777777" w:rsidR="00B84778" w:rsidRDefault="00806E16">
            <w:pPr>
              <w:jc w:val="right"/>
            </w:pPr>
            <w:r>
              <w:rPr>
                <w:rFonts w:eastAsiaTheme="minorEastAsia"/>
                <w:color w:val="000000" w:themeColor="text1"/>
                <w:szCs w:val="21"/>
              </w:rPr>
              <w:t>2.89</w:t>
            </w:r>
          </w:p>
        </w:tc>
      </w:tr>
      <w:tr w:rsidR="00B84778" w14:paraId="2F3C7058" w14:textId="77777777" w:rsidTr="00B107E8">
        <w:tc>
          <w:tcPr>
            <w:tcW w:w="817" w:type="dxa"/>
            <w:vAlign w:val="center"/>
          </w:tcPr>
          <w:p w14:paraId="4149BA73" w14:textId="77777777" w:rsidR="00B84778" w:rsidRDefault="00806E16">
            <w:pPr>
              <w:jc w:val="center"/>
            </w:pPr>
            <w:r>
              <w:rPr>
                <w:rFonts w:eastAsiaTheme="minorEastAsia"/>
                <w:color w:val="000000" w:themeColor="text1"/>
                <w:szCs w:val="21"/>
              </w:rPr>
              <w:t>6</w:t>
            </w:r>
          </w:p>
        </w:tc>
        <w:tc>
          <w:tcPr>
            <w:tcW w:w="1276" w:type="dxa"/>
            <w:vAlign w:val="center"/>
          </w:tcPr>
          <w:p w14:paraId="4482A2D2" w14:textId="77777777" w:rsidR="00B84778" w:rsidRDefault="00806E16">
            <w:pPr>
              <w:jc w:val="center"/>
            </w:pPr>
            <w:r>
              <w:rPr>
                <w:rFonts w:eastAsiaTheme="minorEastAsia"/>
                <w:color w:val="000000" w:themeColor="text1"/>
                <w:szCs w:val="21"/>
              </w:rPr>
              <w:t>03618</w:t>
            </w:r>
          </w:p>
        </w:tc>
        <w:tc>
          <w:tcPr>
            <w:tcW w:w="1559" w:type="dxa"/>
            <w:vAlign w:val="center"/>
          </w:tcPr>
          <w:p w14:paraId="62AD3258" w14:textId="77777777" w:rsidR="00B84778" w:rsidRDefault="00806E16">
            <w:pPr>
              <w:jc w:val="center"/>
            </w:pPr>
            <w:r>
              <w:rPr>
                <w:rFonts w:eastAsiaTheme="minorEastAsia"/>
                <w:color w:val="000000" w:themeColor="text1"/>
                <w:szCs w:val="21"/>
              </w:rPr>
              <w:t>重庆农村商业银行</w:t>
            </w:r>
          </w:p>
        </w:tc>
        <w:tc>
          <w:tcPr>
            <w:tcW w:w="1418" w:type="dxa"/>
            <w:vAlign w:val="center"/>
          </w:tcPr>
          <w:p w14:paraId="297154EE" w14:textId="77777777" w:rsidR="00B84778" w:rsidRDefault="00806E16">
            <w:pPr>
              <w:jc w:val="right"/>
            </w:pPr>
            <w:r>
              <w:rPr>
                <w:rFonts w:eastAsiaTheme="minorEastAsia"/>
                <w:color w:val="000000" w:themeColor="text1"/>
                <w:szCs w:val="21"/>
              </w:rPr>
              <w:t>17,443,000.00</w:t>
            </w:r>
          </w:p>
        </w:tc>
        <w:tc>
          <w:tcPr>
            <w:tcW w:w="1842" w:type="dxa"/>
            <w:vAlign w:val="center"/>
          </w:tcPr>
          <w:p w14:paraId="7BD3E4B5" w14:textId="77777777" w:rsidR="00B84778" w:rsidRDefault="00806E16">
            <w:pPr>
              <w:jc w:val="right"/>
            </w:pPr>
            <w:r>
              <w:rPr>
                <w:rFonts w:eastAsiaTheme="minorEastAsia"/>
                <w:color w:val="000000" w:themeColor="text1"/>
                <w:szCs w:val="21"/>
              </w:rPr>
              <w:t>60,973,129.83</w:t>
            </w:r>
          </w:p>
        </w:tc>
        <w:tc>
          <w:tcPr>
            <w:tcW w:w="1616" w:type="dxa"/>
            <w:vAlign w:val="center"/>
          </w:tcPr>
          <w:p w14:paraId="0AF9E114" w14:textId="77777777" w:rsidR="00B84778" w:rsidRDefault="00806E16">
            <w:pPr>
              <w:jc w:val="right"/>
            </w:pPr>
            <w:r>
              <w:rPr>
                <w:rFonts w:eastAsiaTheme="minorEastAsia"/>
                <w:color w:val="000000" w:themeColor="text1"/>
                <w:szCs w:val="21"/>
              </w:rPr>
              <w:t>2.80</w:t>
            </w:r>
          </w:p>
        </w:tc>
      </w:tr>
      <w:tr w:rsidR="00B84778" w14:paraId="05DE6175" w14:textId="77777777" w:rsidTr="00B107E8">
        <w:tc>
          <w:tcPr>
            <w:tcW w:w="817" w:type="dxa"/>
            <w:vAlign w:val="center"/>
          </w:tcPr>
          <w:p w14:paraId="3CAE9CA9" w14:textId="77777777" w:rsidR="00B84778" w:rsidRDefault="00806E16">
            <w:pPr>
              <w:jc w:val="center"/>
            </w:pPr>
            <w:r>
              <w:rPr>
                <w:rFonts w:eastAsiaTheme="minorEastAsia"/>
                <w:color w:val="000000" w:themeColor="text1"/>
                <w:szCs w:val="21"/>
              </w:rPr>
              <w:t>7</w:t>
            </w:r>
          </w:p>
        </w:tc>
        <w:tc>
          <w:tcPr>
            <w:tcW w:w="1276" w:type="dxa"/>
            <w:vAlign w:val="center"/>
          </w:tcPr>
          <w:p w14:paraId="11BCDE2F" w14:textId="77777777" w:rsidR="00B84778" w:rsidRDefault="00806E16">
            <w:pPr>
              <w:jc w:val="center"/>
            </w:pPr>
            <w:r>
              <w:rPr>
                <w:rFonts w:eastAsiaTheme="minorEastAsia"/>
                <w:color w:val="000000" w:themeColor="text1"/>
                <w:szCs w:val="21"/>
              </w:rPr>
              <w:t>00914</w:t>
            </w:r>
          </w:p>
        </w:tc>
        <w:tc>
          <w:tcPr>
            <w:tcW w:w="1559" w:type="dxa"/>
            <w:vAlign w:val="center"/>
          </w:tcPr>
          <w:p w14:paraId="15A45BF0" w14:textId="77777777" w:rsidR="00B84778" w:rsidRDefault="00806E16">
            <w:pPr>
              <w:jc w:val="center"/>
            </w:pPr>
            <w:r>
              <w:rPr>
                <w:rFonts w:eastAsiaTheme="minorEastAsia"/>
                <w:color w:val="000000" w:themeColor="text1"/>
                <w:szCs w:val="21"/>
              </w:rPr>
              <w:t>海螺水泥</w:t>
            </w:r>
          </w:p>
        </w:tc>
        <w:tc>
          <w:tcPr>
            <w:tcW w:w="1418" w:type="dxa"/>
            <w:vAlign w:val="center"/>
          </w:tcPr>
          <w:p w14:paraId="5D67B5C4" w14:textId="77777777" w:rsidR="00B84778" w:rsidRDefault="00806E16">
            <w:pPr>
              <w:jc w:val="right"/>
            </w:pPr>
            <w:r>
              <w:rPr>
                <w:rFonts w:eastAsiaTheme="minorEastAsia"/>
                <w:color w:val="000000" w:themeColor="text1"/>
                <w:szCs w:val="21"/>
              </w:rPr>
              <w:t>3,350,000.00</w:t>
            </w:r>
          </w:p>
        </w:tc>
        <w:tc>
          <w:tcPr>
            <w:tcW w:w="1842" w:type="dxa"/>
            <w:vAlign w:val="center"/>
          </w:tcPr>
          <w:p w14:paraId="6EB50727" w14:textId="77777777" w:rsidR="00B84778" w:rsidRDefault="00806E16">
            <w:pPr>
              <w:jc w:val="right"/>
            </w:pPr>
            <w:r>
              <w:rPr>
                <w:rFonts w:eastAsiaTheme="minorEastAsia"/>
                <w:color w:val="000000" w:themeColor="text1"/>
                <w:szCs w:val="21"/>
              </w:rPr>
              <w:t>56,869,090.80</w:t>
            </w:r>
          </w:p>
        </w:tc>
        <w:tc>
          <w:tcPr>
            <w:tcW w:w="1616" w:type="dxa"/>
            <w:vAlign w:val="center"/>
          </w:tcPr>
          <w:p w14:paraId="31E05309" w14:textId="77777777" w:rsidR="00B84778" w:rsidRDefault="00806E16">
            <w:pPr>
              <w:jc w:val="right"/>
            </w:pPr>
            <w:r>
              <w:rPr>
                <w:rFonts w:eastAsiaTheme="minorEastAsia"/>
                <w:color w:val="000000" w:themeColor="text1"/>
                <w:szCs w:val="21"/>
              </w:rPr>
              <w:t>2.61</w:t>
            </w:r>
          </w:p>
        </w:tc>
      </w:tr>
      <w:tr w:rsidR="00B84778" w14:paraId="3C6EE077" w14:textId="77777777" w:rsidTr="00B107E8">
        <w:tc>
          <w:tcPr>
            <w:tcW w:w="817" w:type="dxa"/>
            <w:vAlign w:val="center"/>
          </w:tcPr>
          <w:p w14:paraId="3F4D692C" w14:textId="77777777" w:rsidR="00B84778" w:rsidRDefault="00806E16">
            <w:pPr>
              <w:jc w:val="center"/>
            </w:pPr>
            <w:r>
              <w:rPr>
                <w:rFonts w:eastAsiaTheme="minorEastAsia"/>
                <w:color w:val="000000" w:themeColor="text1"/>
                <w:szCs w:val="21"/>
              </w:rPr>
              <w:t>8</w:t>
            </w:r>
          </w:p>
        </w:tc>
        <w:tc>
          <w:tcPr>
            <w:tcW w:w="1276" w:type="dxa"/>
            <w:vAlign w:val="center"/>
          </w:tcPr>
          <w:p w14:paraId="17C88225" w14:textId="77777777" w:rsidR="00B84778" w:rsidRDefault="00806E16">
            <w:pPr>
              <w:jc w:val="center"/>
            </w:pPr>
            <w:r>
              <w:rPr>
                <w:rFonts w:eastAsiaTheme="minorEastAsia"/>
                <w:color w:val="000000" w:themeColor="text1"/>
                <w:szCs w:val="21"/>
              </w:rPr>
              <w:t>00939</w:t>
            </w:r>
          </w:p>
        </w:tc>
        <w:tc>
          <w:tcPr>
            <w:tcW w:w="1559" w:type="dxa"/>
            <w:vAlign w:val="center"/>
          </w:tcPr>
          <w:p w14:paraId="02359206" w14:textId="77777777" w:rsidR="00B84778" w:rsidRDefault="00806E16">
            <w:pPr>
              <w:jc w:val="center"/>
            </w:pPr>
            <w:r>
              <w:rPr>
                <w:rFonts w:eastAsiaTheme="minorEastAsia"/>
                <w:color w:val="000000" w:themeColor="text1"/>
                <w:szCs w:val="21"/>
              </w:rPr>
              <w:t>建设银行</w:t>
            </w:r>
          </w:p>
        </w:tc>
        <w:tc>
          <w:tcPr>
            <w:tcW w:w="1418" w:type="dxa"/>
            <w:vAlign w:val="center"/>
          </w:tcPr>
          <w:p w14:paraId="5C2F95B8" w14:textId="77777777" w:rsidR="00B84778" w:rsidRDefault="00806E16">
            <w:pPr>
              <w:jc w:val="right"/>
            </w:pPr>
            <w:r>
              <w:rPr>
                <w:rFonts w:eastAsiaTheme="minorEastAsia"/>
                <w:color w:val="000000" w:themeColor="text1"/>
                <w:szCs w:val="21"/>
              </w:rPr>
              <w:t>10,448,000.00</w:t>
            </w:r>
          </w:p>
        </w:tc>
        <w:tc>
          <w:tcPr>
            <w:tcW w:w="1842" w:type="dxa"/>
            <w:vAlign w:val="center"/>
          </w:tcPr>
          <w:p w14:paraId="288F8DC3" w14:textId="77777777" w:rsidR="00B84778" w:rsidRDefault="00806E16">
            <w:pPr>
              <w:jc w:val="right"/>
            </w:pPr>
            <w:r>
              <w:rPr>
                <w:rFonts w:eastAsiaTheme="minorEastAsia"/>
                <w:color w:val="000000" w:themeColor="text1"/>
                <w:szCs w:val="21"/>
              </w:rPr>
              <w:t>55,020,877.29</w:t>
            </w:r>
          </w:p>
        </w:tc>
        <w:tc>
          <w:tcPr>
            <w:tcW w:w="1616" w:type="dxa"/>
            <w:vAlign w:val="center"/>
          </w:tcPr>
          <w:p w14:paraId="263E3B1F" w14:textId="77777777" w:rsidR="00B84778" w:rsidRDefault="00806E16">
            <w:pPr>
              <w:jc w:val="right"/>
            </w:pPr>
            <w:r>
              <w:rPr>
                <w:rFonts w:eastAsiaTheme="minorEastAsia"/>
                <w:color w:val="000000" w:themeColor="text1"/>
                <w:szCs w:val="21"/>
              </w:rPr>
              <w:t>2.53</w:t>
            </w:r>
          </w:p>
        </w:tc>
      </w:tr>
      <w:tr w:rsidR="00B84778" w14:paraId="6AF76BF0" w14:textId="77777777" w:rsidTr="00B107E8">
        <w:tc>
          <w:tcPr>
            <w:tcW w:w="817" w:type="dxa"/>
            <w:vAlign w:val="center"/>
          </w:tcPr>
          <w:p w14:paraId="04A604A9" w14:textId="77777777" w:rsidR="00B84778" w:rsidRDefault="00806E16">
            <w:pPr>
              <w:jc w:val="center"/>
            </w:pPr>
            <w:r>
              <w:rPr>
                <w:rFonts w:eastAsiaTheme="minorEastAsia"/>
                <w:color w:val="000000" w:themeColor="text1"/>
                <w:szCs w:val="21"/>
              </w:rPr>
              <w:t>9</w:t>
            </w:r>
          </w:p>
        </w:tc>
        <w:tc>
          <w:tcPr>
            <w:tcW w:w="1276" w:type="dxa"/>
            <w:vAlign w:val="center"/>
          </w:tcPr>
          <w:p w14:paraId="700D692F" w14:textId="77777777" w:rsidR="00B84778" w:rsidRDefault="00806E16">
            <w:pPr>
              <w:jc w:val="center"/>
            </w:pPr>
            <w:r>
              <w:rPr>
                <w:rFonts w:eastAsiaTheme="minorEastAsia"/>
                <w:color w:val="000000" w:themeColor="text1"/>
                <w:szCs w:val="21"/>
              </w:rPr>
              <w:t>00762</w:t>
            </w:r>
          </w:p>
        </w:tc>
        <w:tc>
          <w:tcPr>
            <w:tcW w:w="1559" w:type="dxa"/>
            <w:vAlign w:val="center"/>
          </w:tcPr>
          <w:p w14:paraId="4D892D34" w14:textId="77777777" w:rsidR="00B84778" w:rsidRDefault="00806E16">
            <w:pPr>
              <w:jc w:val="center"/>
            </w:pPr>
            <w:r>
              <w:rPr>
                <w:rFonts w:eastAsiaTheme="minorEastAsia"/>
                <w:color w:val="000000" w:themeColor="text1"/>
                <w:szCs w:val="21"/>
              </w:rPr>
              <w:t>中国联通</w:t>
            </w:r>
          </w:p>
        </w:tc>
        <w:tc>
          <w:tcPr>
            <w:tcW w:w="1418" w:type="dxa"/>
            <w:vAlign w:val="center"/>
          </w:tcPr>
          <w:p w14:paraId="22980AEB" w14:textId="77777777" w:rsidR="00B84778" w:rsidRDefault="00806E16">
            <w:pPr>
              <w:jc w:val="right"/>
            </w:pPr>
            <w:r>
              <w:rPr>
                <w:rFonts w:eastAsiaTheme="minorEastAsia"/>
                <w:color w:val="000000" w:themeColor="text1"/>
                <w:szCs w:val="21"/>
              </w:rPr>
              <w:t>8,306,000.00</w:t>
            </w:r>
          </w:p>
        </w:tc>
        <w:tc>
          <w:tcPr>
            <w:tcW w:w="1842" w:type="dxa"/>
            <w:vAlign w:val="center"/>
          </w:tcPr>
          <w:p w14:paraId="3DE7A9D8" w14:textId="77777777" w:rsidR="00B84778" w:rsidRDefault="00806E16">
            <w:pPr>
              <w:jc w:val="right"/>
            </w:pPr>
            <w:r>
              <w:rPr>
                <w:rFonts w:eastAsiaTheme="minorEastAsia"/>
                <w:color w:val="000000" w:themeColor="text1"/>
                <w:szCs w:val="21"/>
              </w:rPr>
              <w:t>54,353,762.97</w:t>
            </w:r>
          </w:p>
        </w:tc>
        <w:tc>
          <w:tcPr>
            <w:tcW w:w="1616" w:type="dxa"/>
            <w:vAlign w:val="center"/>
          </w:tcPr>
          <w:p w14:paraId="7B6BA074" w14:textId="77777777" w:rsidR="00B84778" w:rsidRDefault="00806E16">
            <w:pPr>
              <w:jc w:val="right"/>
            </w:pPr>
            <w:r>
              <w:rPr>
                <w:rFonts w:eastAsiaTheme="minorEastAsia"/>
                <w:color w:val="000000" w:themeColor="text1"/>
                <w:szCs w:val="21"/>
              </w:rPr>
              <w:t>2.50</w:t>
            </w:r>
          </w:p>
        </w:tc>
      </w:tr>
      <w:tr w:rsidR="00B84778" w14:paraId="50D79B49" w14:textId="77777777" w:rsidTr="00B107E8">
        <w:tc>
          <w:tcPr>
            <w:tcW w:w="817" w:type="dxa"/>
            <w:vAlign w:val="center"/>
          </w:tcPr>
          <w:p w14:paraId="30F4C24F" w14:textId="77777777" w:rsidR="00B84778" w:rsidRDefault="00806E16">
            <w:pPr>
              <w:jc w:val="center"/>
            </w:pPr>
            <w:r>
              <w:rPr>
                <w:rFonts w:eastAsiaTheme="minorEastAsia"/>
                <w:color w:val="000000" w:themeColor="text1"/>
                <w:szCs w:val="21"/>
              </w:rPr>
              <w:t>10</w:t>
            </w:r>
          </w:p>
        </w:tc>
        <w:tc>
          <w:tcPr>
            <w:tcW w:w="1276" w:type="dxa"/>
            <w:vAlign w:val="center"/>
          </w:tcPr>
          <w:p w14:paraId="38CF2EBC" w14:textId="77777777" w:rsidR="00B84778" w:rsidRDefault="00806E16">
            <w:pPr>
              <w:jc w:val="center"/>
            </w:pPr>
            <w:r>
              <w:rPr>
                <w:rFonts w:eastAsiaTheme="minorEastAsia"/>
                <w:color w:val="000000" w:themeColor="text1"/>
                <w:szCs w:val="21"/>
              </w:rPr>
              <w:t>03328</w:t>
            </w:r>
          </w:p>
        </w:tc>
        <w:tc>
          <w:tcPr>
            <w:tcW w:w="1559" w:type="dxa"/>
            <w:vAlign w:val="center"/>
          </w:tcPr>
          <w:p w14:paraId="7F40BA8F" w14:textId="77777777" w:rsidR="00B84778" w:rsidRDefault="00806E16">
            <w:pPr>
              <w:jc w:val="center"/>
            </w:pPr>
            <w:r>
              <w:rPr>
                <w:rFonts w:eastAsiaTheme="minorEastAsia"/>
                <w:color w:val="000000" w:themeColor="text1"/>
                <w:szCs w:val="21"/>
              </w:rPr>
              <w:t>交通银行</w:t>
            </w:r>
          </w:p>
        </w:tc>
        <w:tc>
          <w:tcPr>
            <w:tcW w:w="1418" w:type="dxa"/>
            <w:vAlign w:val="center"/>
          </w:tcPr>
          <w:p w14:paraId="7141FF1A" w14:textId="77777777" w:rsidR="00B84778" w:rsidRDefault="00806E16">
            <w:pPr>
              <w:jc w:val="right"/>
            </w:pPr>
            <w:r>
              <w:rPr>
                <w:rFonts w:eastAsiaTheme="minorEastAsia"/>
                <w:color w:val="000000" w:themeColor="text1"/>
                <w:szCs w:val="21"/>
              </w:rPr>
              <w:t>9,546,000.00</w:t>
            </w:r>
          </w:p>
        </w:tc>
        <w:tc>
          <w:tcPr>
            <w:tcW w:w="1842" w:type="dxa"/>
            <w:vAlign w:val="center"/>
          </w:tcPr>
          <w:p w14:paraId="0BE46BBB" w14:textId="77777777" w:rsidR="00B84778" w:rsidRDefault="00806E16">
            <w:pPr>
              <w:jc w:val="right"/>
            </w:pPr>
            <w:r>
              <w:rPr>
                <w:rFonts w:eastAsiaTheme="minorEastAsia"/>
                <w:color w:val="000000" w:themeColor="text1"/>
                <w:szCs w:val="21"/>
              </w:rPr>
              <w:t>53,407,277.31</w:t>
            </w:r>
          </w:p>
        </w:tc>
        <w:tc>
          <w:tcPr>
            <w:tcW w:w="1616" w:type="dxa"/>
            <w:vAlign w:val="center"/>
          </w:tcPr>
          <w:p w14:paraId="55058BF8" w14:textId="77777777" w:rsidR="00B84778" w:rsidRDefault="00806E16">
            <w:pPr>
              <w:jc w:val="right"/>
            </w:pPr>
            <w:r>
              <w:rPr>
                <w:rFonts w:eastAsiaTheme="minorEastAsia"/>
                <w:color w:val="000000" w:themeColor="text1"/>
                <w:szCs w:val="21"/>
              </w:rPr>
              <w:t>2.45</w:t>
            </w:r>
          </w:p>
        </w:tc>
      </w:tr>
    </w:tbl>
    <w:p w14:paraId="7A6D1276"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7F2A50AC" w14:textId="77777777">
        <w:tc>
          <w:tcPr>
            <w:tcW w:w="817" w:type="dxa"/>
            <w:vAlign w:val="center"/>
          </w:tcPr>
          <w:p w14:paraId="456A3BF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178C545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7D8B877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6CD974A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6D5C9443"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13B0C2B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B84778" w14:paraId="6A2D2ADA" w14:textId="77777777">
        <w:tc>
          <w:tcPr>
            <w:tcW w:w="817" w:type="dxa"/>
            <w:vAlign w:val="center"/>
          </w:tcPr>
          <w:p w14:paraId="1565DC29" w14:textId="77777777" w:rsidR="00B84778" w:rsidRDefault="00806E16">
            <w:pPr>
              <w:jc w:val="center"/>
            </w:pPr>
            <w:r>
              <w:rPr>
                <w:rFonts w:eastAsiaTheme="minorEastAsia"/>
                <w:color w:val="000000" w:themeColor="text1"/>
                <w:szCs w:val="21"/>
              </w:rPr>
              <w:t>1</w:t>
            </w:r>
          </w:p>
        </w:tc>
        <w:tc>
          <w:tcPr>
            <w:tcW w:w="1276" w:type="dxa"/>
            <w:vAlign w:val="center"/>
          </w:tcPr>
          <w:p w14:paraId="7FBBC62A" w14:textId="77777777" w:rsidR="00B84778" w:rsidRDefault="00806E16">
            <w:pPr>
              <w:jc w:val="center"/>
            </w:pPr>
            <w:r>
              <w:rPr>
                <w:rFonts w:eastAsiaTheme="minorEastAsia"/>
                <w:color w:val="000000" w:themeColor="text1"/>
                <w:szCs w:val="21"/>
              </w:rPr>
              <w:t>09930</w:t>
            </w:r>
          </w:p>
        </w:tc>
        <w:tc>
          <w:tcPr>
            <w:tcW w:w="1701" w:type="dxa"/>
            <w:vAlign w:val="center"/>
          </w:tcPr>
          <w:p w14:paraId="61AE3F14" w14:textId="77777777" w:rsidR="00B84778" w:rsidRDefault="00806E16">
            <w:pPr>
              <w:jc w:val="center"/>
            </w:pPr>
            <w:r>
              <w:rPr>
                <w:rFonts w:eastAsiaTheme="minorEastAsia"/>
                <w:color w:val="000000" w:themeColor="text1"/>
                <w:szCs w:val="21"/>
              </w:rPr>
              <w:t>宏信建发</w:t>
            </w:r>
          </w:p>
        </w:tc>
        <w:tc>
          <w:tcPr>
            <w:tcW w:w="1276" w:type="dxa"/>
            <w:vAlign w:val="center"/>
          </w:tcPr>
          <w:p w14:paraId="74B6CBFD" w14:textId="77777777" w:rsidR="00B84778" w:rsidRDefault="00806E16">
            <w:pPr>
              <w:jc w:val="right"/>
            </w:pPr>
            <w:r>
              <w:rPr>
                <w:rFonts w:eastAsiaTheme="minorEastAsia"/>
                <w:color w:val="000000" w:themeColor="text1"/>
                <w:szCs w:val="21"/>
              </w:rPr>
              <w:t>999,630.00</w:t>
            </w:r>
          </w:p>
        </w:tc>
        <w:tc>
          <w:tcPr>
            <w:tcW w:w="1842" w:type="dxa"/>
            <w:vAlign w:val="center"/>
          </w:tcPr>
          <w:p w14:paraId="23BC8E11" w14:textId="77777777" w:rsidR="00B84778" w:rsidRDefault="00806E16">
            <w:pPr>
              <w:jc w:val="right"/>
            </w:pPr>
            <w:r>
              <w:rPr>
                <w:rFonts w:eastAsiaTheme="minorEastAsia"/>
                <w:color w:val="000000" w:themeColor="text1"/>
                <w:szCs w:val="21"/>
              </w:rPr>
              <w:t>1,368,513.46</w:t>
            </w:r>
          </w:p>
        </w:tc>
        <w:tc>
          <w:tcPr>
            <w:tcW w:w="1616" w:type="dxa"/>
            <w:vAlign w:val="center"/>
          </w:tcPr>
          <w:p w14:paraId="13A2DE0C" w14:textId="77777777" w:rsidR="00B84778" w:rsidRDefault="00806E16">
            <w:pPr>
              <w:jc w:val="right"/>
            </w:pPr>
            <w:r>
              <w:rPr>
                <w:rFonts w:eastAsiaTheme="minorEastAsia"/>
                <w:color w:val="000000" w:themeColor="text1"/>
                <w:szCs w:val="21"/>
              </w:rPr>
              <w:t>0.06</w:t>
            </w:r>
          </w:p>
        </w:tc>
      </w:tr>
    </w:tbl>
    <w:p w14:paraId="61D1EBBF"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4D4DF69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42F9265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6B41AA21"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5128A6D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1F95E49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546E73AE"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C58AE5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5.6</w:t>
      </w:r>
      <w:r w:rsidRPr="00473486">
        <w:rPr>
          <w:rFonts w:eastAsiaTheme="minorEastAsia"/>
          <w:b/>
          <w:color w:val="000000" w:themeColor="text1"/>
          <w:kern w:val="0"/>
          <w:sz w:val="24"/>
        </w:rPr>
        <w:t>报告期末按公允价值占基金资产净值比例大小排序的前十名资产支持证券投资明细</w:t>
      </w:r>
    </w:p>
    <w:p w14:paraId="6125B23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7E33146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8A21873"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4D909844"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3F2E542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F5F21C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2F9F9F5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19AFBFF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66442E5"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4F670EB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3FABDC1E" w14:textId="77777777" w:rsidR="00881A82" w:rsidRPr="00473486" w:rsidRDefault="00881A82">
      <w:pPr>
        <w:adjustRightInd w:val="0"/>
        <w:snapToGrid w:val="0"/>
        <w:spacing w:line="360" w:lineRule="exact"/>
        <w:rPr>
          <w:rFonts w:eastAsiaTheme="minorEastAsia"/>
          <w:color w:val="000000" w:themeColor="text1"/>
          <w:sz w:val="24"/>
        </w:rPr>
      </w:pPr>
    </w:p>
    <w:p w14:paraId="3F2844BD"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06E1D85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21350E4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0B713B4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中信银行股份有限公司在报告编制日前一年内曾受到国家金融监督管理总局的处罚。中国建设银行股份有限公司在报告编制日前一年内曾受到国家金融监督管理总局的处罚。交通银行股份有限公司在报告编制日前一年内曾受到国家金融监督管理总局的处罚。本基金对上述主体所发行证券的投资决策程序符合相关法律法规、基金合同及公司投资制度的要求。</w:t>
      </w:r>
    </w:p>
    <w:p w14:paraId="11FC7800" w14:textId="77777777" w:rsidR="00B84778" w:rsidRDefault="00806E16">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14:paraId="1D9463F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60CC4EB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689EE35B" w14:textId="77777777">
        <w:trPr>
          <w:trHeight w:val="567"/>
        </w:trPr>
        <w:tc>
          <w:tcPr>
            <w:tcW w:w="944" w:type="dxa"/>
            <w:vAlign w:val="center"/>
          </w:tcPr>
          <w:p w14:paraId="18F423E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6912774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04771CF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7DD7CEB4" w14:textId="77777777">
        <w:trPr>
          <w:trHeight w:val="567"/>
        </w:trPr>
        <w:tc>
          <w:tcPr>
            <w:tcW w:w="944" w:type="dxa"/>
            <w:vAlign w:val="center"/>
          </w:tcPr>
          <w:p w14:paraId="3284F9A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326AE64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4A10B40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2D32C5A" w14:textId="77777777">
        <w:trPr>
          <w:trHeight w:val="567"/>
        </w:trPr>
        <w:tc>
          <w:tcPr>
            <w:tcW w:w="944" w:type="dxa"/>
            <w:vAlign w:val="center"/>
          </w:tcPr>
          <w:p w14:paraId="5B21BEE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38A4C8B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24B5859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8,286.74</w:t>
            </w:r>
          </w:p>
        </w:tc>
      </w:tr>
      <w:tr w:rsidR="00881A82" w:rsidRPr="00473486" w14:paraId="041E7B07" w14:textId="77777777">
        <w:trPr>
          <w:trHeight w:val="567"/>
        </w:trPr>
        <w:tc>
          <w:tcPr>
            <w:tcW w:w="944" w:type="dxa"/>
            <w:vAlign w:val="center"/>
          </w:tcPr>
          <w:p w14:paraId="5A59568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3</w:t>
            </w:r>
          </w:p>
        </w:tc>
        <w:tc>
          <w:tcPr>
            <w:tcW w:w="2761" w:type="dxa"/>
            <w:vAlign w:val="center"/>
          </w:tcPr>
          <w:p w14:paraId="30587C9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4DB06BA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35,125,486.28</w:t>
            </w:r>
          </w:p>
        </w:tc>
      </w:tr>
      <w:tr w:rsidR="00881A82" w:rsidRPr="00473486" w14:paraId="137B06B9" w14:textId="77777777">
        <w:trPr>
          <w:trHeight w:val="567"/>
        </w:trPr>
        <w:tc>
          <w:tcPr>
            <w:tcW w:w="944" w:type="dxa"/>
            <w:vAlign w:val="center"/>
          </w:tcPr>
          <w:p w14:paraId="2062661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79F3D3E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1A142FD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AC10093" w14:textId="77777777">
        <w:trPr>
          <w:trHeight w:val="567"/>
        </w:trPr>
        <w:tc>
          <w:tcPr>
            <w:tcW w:w="944" w:type="dxa"/>
            <w:vAlign w:val="center"/>
          </w:tcPr>
          <w:p w14:paraId="71BD979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116E228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49303DD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29D6FD2" w14:textId="77777777">
        <w:trPr>
          <w:trHeight w:val="567"/>
        </w:trPr>
        <w:tc>
          <w:tcPr>
            <w:tcW w:w="944" w:type="dxa"/>
            <w:vAlign w:val="center"/>
          </w:tcPr>
          <w:p w14:paraId="393FEC55"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645A460E"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763E645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4C581EE" w14:textId="77777777">
        <w:trPr>
          <w:trHeight w:val="567"/>
        </w:trPr>
        <w:tc>
          <w:tcPr>
            <w:tcW w:w="944" w:type="dxa"/>
          </w:tcPr>
          <w:p w14:paraId="7CD7A6E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782BB18E"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3F477E4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DFB7B74" w14:textId="77777777">
        <w:trPr>
          <w:trHeight w:val="567"/>
        </w:trPr>
        <w:tc>
          <w:tcPr>
            <w:tcW w:w="944" w:type="dxa"/>
            <w:vAlign w:val="center"/>
          </w:tcPr>
          <w:p w14:paraId="18164A2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2A27609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43B1FB1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D61327C" w14:textId="77777777">
        <w:trPr>
          <w:trHeight w:val="567"/>
        </w:trPr>
        <w:tc>
          <w:tcPr>
            <w:tcW w:w="944" w:type="dxa"/>
            <w:vAlign w:val="center"/>
          </w:tcPr>
          <w:p w14:paraId="53BBC48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656FD33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0E06290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35,133,773.02</w:t>
            </w:r>
          </w:p>
        </w:tc>
      </w:tr>
    </w:tbl>
    <w:p w14:paraId="34DA8E5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3F92C05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7BEADB8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7BF46371"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6997D61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00FC394C"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672EDA6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0B7D40F8" w14:textId="77777777" w:rsidR="00881A82" w:rsidRPr="00473486" w:rsidRDefault="00881A82">
      <w:pPr>
        <w:spacing w:line="360" w:lineRule="auto"/>
        <w:rPr>
          <w:rFonts w:eastAsiaTheme="minorEastAsia"/>
          <w:bCs/>
          <w:color w:val="000000" w:themeColor="text1"/>
          <w:szCs w:val="21"/>
        </w:rPr>
      </w:pPr>
    </w:p>
    <w:p w14:paraId="5F3214B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1F520AF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297BBF69" w14:textId="77777777" w:rsidR="00881A82" w:rsidRPr="00473486" w:rsidRDefault="00881A82">
      <w:pPr>
        <w:spacing w:line="360" w:lineRule="auto"/>
        <w:ind w:firstLineChars="200" w:firstLine="420"/>
        <w:rPr>
          <w:rFonts w:eastAsiaTheme="minorEastAsia"/>
          <w:color w:val="000000" w:themeColor="text1"/>
          <w:szCs w:val="21"/>
        </w:rPr>
      </w:pPr>
    </w:p>
    <w:p w14:paraId="0B6AE78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1F40EB5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31F2F37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891B636"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907F947"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1,286,359,000.00</w:t>
            </w:r>
          </w:p>
        </w:tc>
      </w:tr>
      <w:tr w:rsidR="00881A82" w:rsidRPr="00473486" w14:paraId="5547FAF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072A11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89B34DE"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642,000,000.00</w:t>
            </w:r>
          </w:p>
        </w:tc>
      </w:tr>
      <w:tr w:rsidR="00881A82" w:rsidRPr="00473486" w14:paraId="61BE9BC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574D404"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DF66CF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20,000,000.00</w:t>
            </w:r>
          </w:p>
        </w:tc>
      </w:tr>
      <w:tr w:rsidR="00881A82" w:rsidRPr="00473486" w14:paraId="54B6C70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86A80D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8DDEC15"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004E42C"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2FD685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E990941"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1,908,359,000.00</w:t>
            </w:r>
          </w:p>
        </w:tc>
      </w:tr>
    </w:tbl>
    <w:p w14:paraId="36B2497F"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lastRenderedPageBreak/>
        <w:t xml:space="preserve">§7  </w:t>
      </w:r>
      <w:r w:rsidRPr="00473486">
        <w:rPr>
          <w:color w:val="000000" w:themeColor="text1"/>
          <w:sz w:val="24"/>
          <w:szCs w:val="24"/>
        </w:rPr>
        <w:t>基金管理人运用固有资金投资本基金情况</w:t>
      </w:r>
    </w:p>
    <w:p w14:paraId="70BA5AFC"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38416B2F"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40B9CAC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2A62DC8"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2C372F8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5C27B1D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14:paraId="79DDCCA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14:paraId="4D023808"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692C5874"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摩根标普港股通低波红利交易型开放式指数证券投资基金基金合同</w:t>
      </w:r>
    </w:p>
    <w:p w14:paraId="654A5A44"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摩根标普港股通低波红利交易型开放式指数证券投资基金托管协议</w:t>
      </w:r>
    </w:p>
    <w:p w14:paraId="7075D3C4"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34A0A13"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A716F1D"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6CC0A13F" w14:textId="77777777" w:rsidR="00B84778" w:rsidRDefault="00806E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4F6D58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7C69E485" w14:textId="77777777" w:rsidR="00881A82" w:rsidRPr="00473486" w:rsidRDefault="00881A82">
      <w:pPr>
        <w:spacing w:line="360" w:lineRule="auto"/>
        <w:ind w:firstLineChars="200" w:firstLine="480"/>
        <w:rPr>
          <w:rFonts w:eastAsiaTheme="minorEastAsia"/>
          <w:color w:val="000000" w:themeColor="text1"/>
          <w:sz w:val="24"/>
        </w:rPr>
      </w:pPr>
    </w:p>
    <w:p w14:paraId="0570ABAB"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14:paraId="4E76819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14:paraId="33560F64" w14:textId="77777777" w:rsidR="00881A82" w:rsidRPr="00473486" w:rsidRDefault="00881A82">
      <w:pPr>
        <w:spacing w:line="360" w:lineRule="auto"/>
        <w:ind w:firstLineChars="200" w:firstLine="480"/>
        <w:rPr>
          <w:rFonts w:eastAsiaTheme="minorEastAsia"/>
          <w:color w:val="000000" w:themeColor="text1"/>
          <w:sz w:val="24"/>
        </w:rPr>
      </w:pPr>
    </w:p>
    <w:p w14:paraId="0799362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14:paraId="1BBEA92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7C6BAE67" w14:textId="77777777" w:rsidR="00881A82" w:rsidRPr="00473486" w:rsidRDefault="00881A82">
      <w:pPr>
        <w:spacing w:line="360" w:lineRule="auto"/>
        <w:ind w:left="840"/>
        <w:jc w:val="right"/>
        <w:rPr>
          <w:rFonts w:eastAsiaTheme="minorEastAsia"/>
          <w:color w:val="000000" w:themeColor="text1"/>
          <w:sz w:val="24"/>
        </w:rPr>
      </w:pPr>
    </w:p>
    <w:p w14:paraId="48C9A352" w14:textId="77777777" w:rsidR="00881A82" w:rsidRPr="00473486" w:rsidRDefault="00881A82">
      <w:pPr>
        <w:spacing w:line="360" w:lineRule="auto"/>
        <w:ind w:left="840"/>
        <w:jc w:val="right"/>
        <w:rPr>
          <w:rFonts w:eastAsiaTheme="minorEastAsia"/>
          <w:color w:val="000000" w:themeColor="text1"/>
          <w:sz w:val="24"/>
        </w:rPr>
      </w:pPr>
      <w:bookmarkStart w:id="0" w:name="_GoBack"/>
      <w:bookmarkEnd w:id="0"/>
    </w:p>
    <w:p w14:paraId="7A8B49FE" w14:textId="77777777" w:rsidR="00881A82" w:rsidRPr="00473486" w:rsidRDefault="00881A82">
      <w:pPr>
        <w:spacing w:line="360" w:lineRule="auto"/>
        <w:ind w:left="840"/>
        <w:jc w:val="right"/>
        <w:rPr>
          <w:rFonts w:eastAsiaTheme="minorEastAsia"/>
          <w:color w:val="000000" w:themeColor="text1"/>
          <w:sz w:val="24"/>
        </w:rPr>
      </w:pPr>
    </w:p>
    <w:p w14:paraId="4CA280DF"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1136BE8F"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二〇二四年七月十九日</w:t>
      </w:r>
    </w:p>
    <w:p w14:paraId="7C393BBA"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BD5B7" w14:textId="77777777" w:rsidR="007F3EDF" w:rsidRDefault="007F3EDF">
      <w:r>
        <w:separator/>
      </w:r>
    </w:p>
  </w:endnote>
  <w:endnote w:type="continuationSeparator" w:id="0">
    <w:p w14:paraId="031F9CE9"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849C" w14:textId="6179A275"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07E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107E8">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02C2"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B818C64"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D14D" w14:textId="33AEC65A"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107E8">
      <w:rPr>
        <w:rStyle w:val="af5"/>
        <w:noProof/>
      </w:rPr>
      <w:t>10</w:t>
    </w:r>
    <w:r>
      <w:rPr>
        <w:rStyle w:val="af5"/>
      </w:rPr>
      <w:fldChar w:fldCharType="end"/>
    </w:r>
  </w:p>
  <w:p w14:paraId="35435D1A"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AEF8E" w14:textId="77777777" w:rsidR="007F3EDF" w:rsidRDefault="007F3EDF">
      <w:r>
        <w:separator/>
      </w:r>
    </w:p>
  </w:footnote>
  <w:footnote w:type="continuationSeparator" w:id="0">
    <w:p w14:paraId="77DCA4C3"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AAD7" w14:textId="77777777" w:rsidR="00881A82" w:rsidRDefault="007D1E3A">
    <w:pPr>
      <w:pStyle w:val="af"/>
      <w:pBdr>
        <w:bottom w:val="single" w:sz="6" w:space="0" w:color="auto"/>
      </w:pBdr>
      <w:jc w:val="right"/>
    </w:pPr>
    <w:r>
      <w:t>摩根标普港股通低波红利交易型开放式指数证券投资基金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06E16"/>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7E8"/>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4778"/>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D9D0E5"/>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1114</Words>
  <Characters>6355</Characters>
  <Application>Microsoft Office Word</Application>
  <DocSecurity>0</DocSecurity>
  <Lines>52</Lines>
  <Paragraphs>14</Paragraphs>
  <ScaleCrop>false</ScaleCrop>
  <Company>TRT. Ltd. Co.</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159</cp:revision>
  <cp:lastPrinted>2007-07-19T00:46:00Z</cp:lastPrinted>
  <dcterms:created xsi:type="dcterms:W3CDTF">2012-11-21T04:46:00Z</dcterms:created>
  <dcterms:modified xsi:type="dcterms:W3CDTF">2024-07-18T06:07:00Z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