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BA5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48541F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373F7AD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9585E41"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6E24966A"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摩根标普港股通低波红利交易型开放式指数证券投资基金</w:t>
      </w:r>
    </w:p>
    <w:p w14:paraId="0CAB4032"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3</w:t>
      </w:r>
      <w:r w:rsidRPr="00473486">
        <w:rPr>
          <w:rFonts w:eastAsiaTheme="minorEastAsia"/>
          <w:b/>
          <w:color w:val="000000" w:themeColor="text1"/>
          <w:sz w:val="36"/>
          <w:szCs w:val="36"/>
        </w:rPr>
        <w:t>季度报告</w:t>
      </w:r>
    </w:p>
    <w:p w14:paraId="20CA6FFE"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9</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14:paraId="11373519" w14:textId="77777777" w:rsidR="00881A82" w:rsidRPr="00473486" w:rsidRDefault="00881A82">
      <w:pPr>
        <w:spacing w:line="360" w:lineRule="auto"/>
        <w:jc w:val="center"/>
        <w:rPr>
          <w:rFonts w:eastAsiaTheme="minorEastAsia"/>
          <w:b/>
          <w:color w:val="000000" w:themeColor="text1"/>
          <w:sz w:val="24"/>
        </w:rPr>
      </w:pPr>
    </w:p>
    <w:p w14:paraId="0DFCC10C" w14:textId="77777777" w:rsidR="00881A82" w:rsidRPr="00473486" w:rsidRDefault="00881A82">
      <w:pPr>
        <w:spacing w:line="360" w:lineRule="auto"/>
        <w:jc w:val="center"/>
        <w:rPr>
          <w:rFonts w:eastAsiaTheme="minorEastAsia"/>
          <w:b/>
          <w:color w:val="000000" w:themeColor="text1"/>
          <w:sz w:val="24"/>
        </w:rPr>
      </w:pPr>
    </w:p>
    <w:p w14:paraId="3486AF58" w14:textId="77777777" w:rsidR="00881A82" w:rsidRPr="00473486" w:rsidRDefault="00881A82">
      <w:pPr>
        <w:spacing w:line="360" w:lineRule="auto"/>
        <w:jc w:val="center"/>
        <w:rPr>
          <w:rFonts w:eastAsiaTheme="minorEastAsia"/>
          <w:b/>
          <w:color w:val="000000" w:themeColor="text1"/>
          <w:sz w:val="24"/>
        </w:rPr>
      </w:pPr>
    </w:p>
    <w:p w14:paraId="2E018F79" w14:textId="77777777" w:rsidR="00881A82" w:rsidRPr="00473486" w:rsidRDefault="00881A82">
      <w:pPr>
        <w:spacing w:line="360" w:lineRule="auto"/>
        <w:jc w:val="center"/>
        <w:rPr>
          <w:rFonts w:eastAsiaTheme="minorEastAsia"/>
          <w:b/>
          <w:color w:val="000000" w:themeColor="text1"/>
          <w:sz w:val="24"/>
        </w:rPr>
      </w:pPr>
    </w:p>
    <w:p w14:paraId="0CE9D9E5" w14:textId="77777777" w:rsidR="00881A82" w:rsidRPr="00473486" w:rsidRDefault="00881A82">
      <w:pPr>
        <w:spacing w:line="360" w:lineRule="auto"/>
        <w:jc w:val="center"/>
        <w:rPr>
          <w:rFonts w:eastAsiaTheme="minorEastAsia"/>
          <w:b/>
          <w:color w:val="000000" w:themeColor="text1"/>
          <w:sz w:val="24"/>
        </w:rPr>
      </w:pPr>
    </w:p>
    <w:p w14:paraId="0258DDDE" w14:textId="77777777" w:rsidR="00881A82" w:rsidRPr="00473486" w:rsidRDefault="00881A82">
      <w:pPr>
        <w:spacing w:line="360" w:lineRule="auto"/>
        <w:jc w:val="center"/>
        <w:rPr>
          <w:rFonts w:eastAsiaTheme="minorEastAsia"/>
          <w:b/>
          <w:color w:val="000000" w:themeColor="text1"/>
          <w:sz w:val="24"/>
        </w:rPr>
      </w:pPr>
    </w:p>
    <w:p w14:paraId="26443F8D" w14:textId="77777777" w:rsidR="00881A82" w:rsidRPr="00473486" w:rsidRDefault="00881A82">
      <w:pPr>
        <w:spacing w:line="360" w:lineRule="auto"/>
        <w:jc w:val="center"/>
        <w:rPr>
          <w:rFonts w:eastAsiaTheme="minorEastAsia"/>
          <w:b/>
          <w:color w:val="000000" w:themeColor="text1"/>
          <w:sz w:val="24"/>
        </w:rPr>
      </w:pPr>
    </w:p>
    <w:p w14:paraId="2346DD04" w14:textId="77777777" w:rsidR="00881A82" w:rsidRPr="00473486" w:rsidRDefault="00881A82">
      <w:pPr>
        <w:spacing w:line="360" w:lineRule="auto"/>
        <w:jc w:val="center"/>
        <w:rPr>
          <w:rFonts w:eastAsiaTheme="minorEastAsia"/>
          <w:b/>
          <w:color w:val="000000" w:themeColor="text1"/>
          <w:sz w:val="24"/>
        </w:rPr>
      </w:pPr>
    </w:p>
    <w:p w14:paraId="7099B64C" w14:textId="77777777" w:rsidR="00881A82" w:rsidRPr="00473486" w:rsidRDefault="00881A82">
      <w:pPr>
        <w:spacing w:line="360" w:lineRule="auto"/>
        <w:jc w:val="center"/>
        <w:rPr>
          <w:rFonts w:eastAsiaTheme="minorEastAsia"/>
          <w:b/>
          <w:color w:val="000000" w:themeColor="text1"/>
          <w:sz w:val="24"/>
        </w:rPr>
      </w:pPr>
    </w:p>
    <w:p w14:paraId="53F36543" w14:textId="77777777" w:rsidR="00881A82" w:rsidRPr="00473486" w:rsidRDefault="00881A82">
      <w:pPr>
        <w:spacing w:line="360" w:lineRule="auto"/>
        <w:jc w:val="center"/>
        <w:rPr>
          <w:rFonts w:eastAsiaTheme="minorEastAsia"/>
          <w:b/>
          <w:color w:val="000000" w:themeColor="text1"/>
          <w:sz w:val="24"/>
        </w:rPr>
      </w:pPr>
    </w:p>
    <w:p w14:paraId="3B80ABA8" w14:textId="77777777" w:rsidR="00881A82" w:rsidRPr="00473486" w:rsidRDefault="00881A82">
      <w:pPr>
        <w:spacing w:line="360" w:lineRule="auto"/>
        <w:jc w:val="center"/>
        <w:rPr>
          <w:rFonts w:eastAsiaTheme="minorEastAsia"/>
          <w:b/>
          <w:color w:val="000000" w:themeColor="text1"/>
          <w:sz w:val="24"/>
        </w:rPr>
      </w:pPr>
    </w:p>
    <w:p w14:paraId="52463096" w14:textId="77777777" w:rsidR="00881A82" w:rsidRPr="00473486" w:rsidRDefault="00881A82">
      <w:pPr>
        <w:spacing w:line="360" w:lineRule="auto"/>
        <w:jc w:val="center"/>
        <w:rPr>
          <w:rFonts w:eastAsiaTheme="minorEastAsia"/>
          <w:b/>
          <w:color w:val="000000" w:themeColor="text1"/>
          <w:sz w:val="24"/>
        </w:rPr>
      </w:pPr>
    </w:p>
    <w:p w14:paraId="69C2BB30" w14:textId="77777777" w:rsidR="00881A82" w:rsidRPr="00473486" w:rsidRDefault="00881A82">
      <w:pPr>
        <w:spacing w:line="360" w:lineRule="auto"/>
        <w:jc w:val="center"/>
        <w:rPr>
          <w:rFonts w:eastAsiaTheme="minorEastAsia"/>
          <w:b/>
          <w:color w:val="000000" w:themeColor="text1"/>
          <w:sz w:val="24"/>
        </w:rPr>
      </w:pPr>
    </w:p>
    <w:p w14:paraId="6E941253" w14:textId="77777777" w:rsidR="00881A82" w:rsidRPr="00473486" w:rsidRDefault="00881A82">
      <w:pPr>
        <w:spacing w:line="360" w:lineRule="auto"/>
        <w:jc w:val="center"/>
        <w:rPr>
          <w:rFonts w:eastAsiaTheme="minorEastAsia"/>
          <w:b/>
          <w:color w:val="000000" w:themeColor="text1"/>
          <w:sz w:val="24"/>
        </w:rPr>
      </w:pPr>
    </w:p>
    <w:p w14:paraId="418FFDF4" w14:textId="77777777" w:rsidR="00881A82" w:rsidRPr="00473486" w:rsidRDefault="00881A82">
      <w:pPr>
        <w:spacing w:line="360" w:lineRule="auto"/>
        <w:rPr>
          <w:rFonts w:eastAsiaTheme="minorEastAsia"/>
          <w:b/>
          <w:color w:val="000000" w:themeColor="text1"/>
          <w:sz w:val="24"/>
        </w:rPr>
      </w:pPr>
    </w:p>
    <w:p w14:paraId="4C0E4099"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59D107F2"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基金托管人：广发证券股份有限公司</w:t>
      </w:r>
    </w:p>
    <w:p w14:paraId="432AAB00"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报告送出日期：二〇二四年十月二十五日</w:t>
      </w:r>
    </w:p>
    <w:p w14:paraId="56EF01E7"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2A28F221"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FDDB573"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基金托管人广发证券股份有限公司根据本基金合同规定，于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786F855"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FF1C2F4"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48D0B7AC"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A2321B2"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14:paraId="00D065D6"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1643904B" w14:textId="77777777">
        <w:tc>
          <w:tcPr>
            <w:tcW w:w="2835" w:type="dxa"/>
            <w:vAlign w:val="center"/>
          </w:tcPr>
          <w:p w14:paraId="55DF70B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77F53D74"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摩根标普港股通低波红利</w:t>
            </w:r>
            <w:r w:rsidRPr="00473486">
              <w:rPr>
                <w:rFonts w:eastAsiaTheme="minorEastAsia"/>
                <w:color w:val="000000" w:themeColor="text1"/>
                <w:kern w:val="0"/>
                <w:szCs w:val="21"/>
              </w:rPr>
              <w:t>ETF</w:t>
            </w:r>
          </w:p>
        </w:tc>
      </w:tr>
      <w:tr w:rsidR="00881A82" w:rsidRPr="00473486" w14:paraId="4BD6CB97" w14:textId="77777777">
        <w:tc>
          <w:tcPr>
            <w:tcW w:w="2835" w:type="dxa"/>
            <w:tcBorders>
              <w:top w:val="single" w:sz="4" w:space="0" w:color="auto"/>
              <w:left w:val="single" w:sz="4" w:space="0" w:color="auto"/>
              <w:bottom w:val="single" w:sz="4" w:space="0" w:color="auto"/>
              <w:right w:val="single" w:sz="4" w:space="0" w:color="auto"/>
            </w:tcBorders>
            <w:vAlign w:val="center"/>
          </w:tcPr>
          <w:p w14:paraId="3903382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4B8F199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513630</w:t>
            </w:r>
          </w:p>
        </w:tc>
      </w:tr>
      <w:tr w:rsidR="00881A82" w:rsidRPr="00473486" w14:paraId="421AF0F1" w14:textId="77777777">
        <w:tc>
          <w:tcPr>
            <w:tcW w:w="2835" w:type="dxa"/>
            <w:tcBorders>
              <w:top w:val="single" w:sz="4" w:space="0" w:color="auto"/>
              <w:left w:val="single" w:sz="4" w:space="0" w:color="auto"/>
              <w:bottom w:val="single" w:sz="4" w:space="0" w:color="auto"/>
              <w:right w:val="single" w:sz="4" w:space="0" w:color="auto"/>
            </w:tcBorders>
            <w:vAlign w:val="center"/>
          </w:tcPr>
          <w:p w14:paraId="0A4D501A"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5306ACAB"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513630</w:t>
            </w:r>
          </w:p>
        </w:tc>
      </w:tr>
      <w:tr w:rsidR="00881A82" w:rsidRPr="00473486" w14:paraId="15A53BD3" w14:textId="77777777">
        <w:tc>
          <w:tcPr>
            <w:tcW w:w="2835" w:type="dxa"/>
            <w:vAlign w:val="center"/>
          </w:tcPr>
          <w:p w14:paraId="1E9A18B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18B2925A"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22ACA2FF" w14:textId="77777777">
        <w:tc>
          <w:tcPr>
            <w:tcW w:w="2835" w:type="dxa"/>
            <w:vAlign w:val="center"/>
          </w:tcPr>
          <w:p w14:paraId="7EF4B8C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0D62CF05"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11</w:t>
            </w:r>
            <w:r w:rsidRPr="00473486">
              <w:rPr>
                <w:rFonts w:eastAsiaTheme="minorEastAsia"/>
                <w:color w:val="000000" w:themeColor="text1"/>
                <w:kern w:val="0"/>
                <w:szCs w:val="21"/>
              </w:rPr>
              <w:t>月</w:t>
            </w:r>
            <w:r w:rsidRPr="00473486">
              <w:rPr>
                <w:rFonts w:eastAsiaTheme="minorEastAsia"/>
                <w:color w:val="000000" w:themeColor="text1"/>
                <w:kern w:val="0"/>
                <w:szCs w:val="21"/>
              </w:rPr>
              <w:t>23</w:t>
            </w:r>
            <w:r w:rsidRPr="00473486">
              <w:rPr>
                <w:rFonts w:eastAsiaTheme="minorEastAsia"/>
                <w:color w:val="000000" w:themeColor="text1"/>
                <w:kern w:val="0"/>
                <w:szCs w:val="21"/>
              </w:rPr>
              <w:t>日</w:t>
            </w:r>
          </w:p>
        </w:tc>
      </w:tr>
      <w:tr w:rsidR="00881A82" w:rsidRPr="00473486" w14:paraId="682A4A24" w14:textId="77777777">
        <w:tc>
          <w:tcPr>
            <w:tcW w:w="2835" w:type="dxa"/>
            <w:vAlign w:val="center"/>
          </w:tcPr>
          <w:p w14:paraId="53F5E29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1B03499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2,339,359,000.00</w:t>
            </w:r>
            <w:r w:rsidRPr="00473486">
              <w:rPr>
                <w:rFonts w:eastAsiaTheme="minorEastAsia"/>
                <w:color w:val="000000" w:themeColor="text1"/>
                <w:kern w:val="0"/>
                <w:szCs w:val="21"/>
              </w:rPr>
              <w:t>份</w:t>
            </w:r>
          </w:p>
        </w:tc>
      </w:tr>
      <w:tr w:rsidR="00881A82" w:rsidRPr="00473486" w14:paraId="57322EC6" w14:textId="77777777">
        <w:tc>
          <w:tcPr>
            <w:tcW w:w="2835" w:type="dxa"/>
            <w:vAlign w:val="center"/>
          </w:tcPr>
          <w:p w14:paraId="396B3AB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61B77C8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本基金进行被动指数化投资，紧密跟踪标的指数，追求跟踪偏离度和跟踪误差最小化。</w:t>
            </w:r>
          </w:p>
        </w:tc>
      </w:tr>
      <w:tr w:rsidR="00881A82" w:rsidRPr="00473486" w14:paraId="14ECDFB8" w14:textId="77777777">
        <w:tc>
          <w:tcPr>
            <w:tcW w:w="2835" w:type="dxa"/>
            <w:vAlign w:val="center"/>
          </w:tcPr>
          <w:p w14:paraId="3B393DF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1E0A227D"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05D9EA62"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14016455"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1472C33C"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w:t>
            </w:r>
            <w:r>
              <w:rPr>
                <w:rFonts w:eastAsiaTheme="minorEastAsia"/>
                <w:color w:val="000000" w:themeColor="text1"/>
                <w:kern w:val="0"/>
                <w:szCs w:val="21"/>
              </w:rPr>
              <w:t>1</w:t>
            </w:r>
            <w:r>
              <w:rPr>
                <w:rFonts w:eastAsiaTheme="minorEastAsia"/>
                <w:color w:val="000000" w:themeColor="text1"/>
                <w:kern w:val="0"/>
                <w:szCs w:val="21"/>
              </w:rPr>
              <w:t>）投资组合构建</w:t>
            </w:r>
          </w:p>
          <w:p w14:paraId="11B88AAC"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w:t>
            </w:r>
            <w:r>
              <w:rPr>
                <w:rFonts w:eastAsiaTheme="minorEastAsia"/>
                <w:color w:val="000000" w:themeColor="text1"/>
                <w:kern w:val="0"/>
                <w:szCs w:val="21"/>
              </w:rPr>
              <w:t>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6FACB2F6"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4F5A7656"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5C7A9B88"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66AD8586"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w:t>
            </w:r>
            <w:r>
              <w:rPr>
                <w:rFonts w:eastAsiaTheme="minorEastAsia"/>
                <w:color w:val="000000" w:themeColor="text1"/>
                <w:kern w:val="0"/>
                <w:szCs w:val="21"/>
              </w:rPr>
              <w:t>定期调整</w:t>
            </w:r>
          </w:p>
          <w:p w14:paraId="29E84CB5"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4FD38C3A"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当标的指数成份股因停牌、流动性不足等因素导致基金无法按照指数权重进行配置，基金管理人将综合考虑跟踪误差和投资者利益，选择相关股票进行适当的替代。</w:t>
            </w:r>
          </w:p>
          <w:p w14:paraId="01B76A0F"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本基金将根据申购和赎回情况对股票投资组合进行调整，保证基金正常运行，从而有效跟踪标的指数。</w:t>
            </w:r>
          </w:p>
          <w:p w14:paraId="746C84E2"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w:t>
            </w:r>
            <w:r>
              <w:rPr>
                <w:rFonts w:eastAsiaTheme="minorEastAsia"/>
                <w:color w:val="000000" w:themeColor="text1"/>
                <w:kern w:val="0"/>
                <w:szCs w:val="21"/>
              </w:rPr>
              <w:t>3</w:t>
            </w: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。如因标的指数编制规则调整等其他原因，导致基金跟</w:t>
            </w:r>
            <w:r>
              <w:rPr>
                <w:rFonts w:eastAsiaTheme="minorEastAsia"/>
                <w:color w:val="000000" w:themeColor="text1"/>
                <w:kern w:val="0"/>
                <w:szCs w:val="21"/>
              </w:rPr>
              <w:t>踪偏离度和跟踪误差超过上述范围，基金管理人应采取合理措施，避免跟踪偏离度和跟踪误差的进一步扩大。</w:t>
            </w:r>
          </w:p>
          <w:p w14:paraId="0232BE3B" w14:textId="77777777" w:rsidR="00027095" w:rsidRDefault="001C4AD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）港股通标的股票投资策略</w:t>
            </w:r>
          </w:p>
          <w:p w14:paraId="6FB885A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、其他投资策略：包括股指期货投资策略、股票期权投资策略、债券投资策略、资产支持证券投资策略、融资及转融通证券出借策略、存托凭证投资策略。</w:t>
            </w:r>
          </w:p>
        </w:tc>
      </w:tr>
      <w:tr w:rsidR="00881A82" w:rsidRPr="00473486" w14:paraId="4C6990E5" w14:textId="77777777">
        <w:tc>
          <w:tcPr>
            <w:tcW w:w="2835" w:type="dxa"/>
            <w:vAlign w:val="center"/>
          </w:tcPr>
          <w:p w14:paraId="5E4F644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26C771E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本基金的业绩比较基准为标的指数，即标普港股通低波红利指数收益率。本基金标的指数变更的，相应更换基金名称和业绩比较基准，并在履行适当程序后及时公告。</w:t>
            </w:r>
          </w:p>
        </w:tc>
      </w:tr>
      <w:tr w:rsidR="00881A82" w:rsidRPr="00473486" w14:paraId="5E25243C" w14:textId="77777777">
        <w:tc>
          <w:tcPr>
            <w:tcW w:w="2835" w:type="dxa"/>
            <w:vAlign w:val="center"/>
          </w:tcPr>
          <w:p w14:paraId="08E8833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5AFE057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14:paraId="51EA3836" w14:textId="77777777">
        <w:tc>
          <w:tcPr>
            <w:tcW w:w="2835" w:type="dxa"/>
            <w:vAlign w:val="center"/>
          </w:tcPr>
          <w:p w14:paraId="51EC08D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基金管理人</w:t>
            </w:r>
          </w:p>
        </w:tc>
        <w:tc>
          <w:tcPr>
            <w:tcW w:w="5479" w:type="dxa"/>
            <w:vAlign w:val="center"/>
          </w:tcPr>
          <w:p w14:paraId="671CAB7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4D64BC6B" w14:textId="77777777">
        <w:tc>
          <w:tcPr>
            <w:tcW w:w="2835" w:type="dxa"/>
            <w:vAlign w:val="center"/>
          </w:tcPr>
          <w:p w14:paraId="217B5CD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14A65DA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广发证券股份有限公司</w:t>
            </w:r>
          </w:p>
        </w:tc>
      </w:tr>
    </w:tbl>
    <w:p w14:paraId="2C9D3767"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26633EC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486C931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1C4AD5" w:rsidRPr="00473486" w14:paraId="0859876B" w14:textId="77777777" w:rsidTr="001C4AD5">
        <w:tc>
          <w:tcPr>
            <w:tcW w:w="3402" w:type="dxa"/>
            <w:vAlign w:val="center"/>
          </w:tcPr>
          <w:p w14:paraId="0853ACAE"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0D144217"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5D382CA4"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1C4AD5" w:rsidRPr="00473486" w14:paraId="5CB64E33" w14:textId="77777777" w:rsidTr="001C4AD5">
        <w:tc>
          <w:tcPr>
            <w:tcW w:w="3402" w:type="dxa"/>
            <w:vAlign w:val="center"/>
          </w:tcPr>
          <w:p w14:paraId="6DACD56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1A84DAB1"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69,512,907.56</w:t>
            </w:r>
          </w:p>
        </w:tc>
      </w:tr>
      <w:tr w:rsidR="001C4AD5" w:rsidRPr="00473486" w14:paraId="4F092278" w14:textId="77777777" w:rsidTr="001C4AD5">
        <w:tc>
          <w:tcPr>
            <w:tcW w:w="3402" w:type="dxa"/>
            <w:vAlign w:val="center"/>
          </w:tcPr>
          <w:p w14:paraId="58E2DAA9"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11EB60F6"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230,011,888.10</w:t>
            </w:r>
          </w:p>
        </w:tc>
      </w:tr>
      <w:tr w:rsidR="001C4AD5" w:rsidRPr="00473486" w14:paraId="023958A9" w14:textId="77777777" w:rsidTr="001C4AD5">
        <w:tc>
          <w:tcPr>
            <w:tcW w:w="3402" w:type="dxa"/>
            <w:vAlign w:val="center"/>
          </w:tcPr>
          <w:p w14:paraId="2C7C2C70"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32C18C2C"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0.1061</w:t>
            </w:r>
          </w:p>
        </w:tc>
      </w:tr>
      <w:tr w:rsidR="001C4AD5" w:rsidRPr="00473486" w14:paraId="1A45A5C2" w14:textId="77777777" w:rsidTr="001C4AD5">
        <w:tc>
          <w:tcPr>
            <w:tcW w:w="3402" w:type="dxa"/>
            <w:vAlign w:val="center"/>
          </w:tcPr>
          <w:p w14:paraId="6D0B0A8F"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5BA0EE82"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2,908,200,105.81</w:t>
            </w:r>
          </w:p>
        </w:tc>
      </w:tr>
      <w:tr w:rsidR="001C4AD5" w:rsidRPr="00473486" w14:paraId="2F9985A1" w14:textId="77777777" w:rsidTr="001C4AD5">
        <w:trPr>
          <w:trHeight w:val="158"/>
        </w:trPr>
        <w:tc>
          <w:tcPr>
            <w:tcW w:w="3402" w:type="dxa"/>
            <w:vAlign w:val="center"/>
          </w:tcPr>
          <w:p w14:paraId="7CF4BFA4"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5.</w:t>
            </w:r>
            <w:r w:rsidRPr="00473486">
              <w:rPr>
                <w:rFonts w:eastAsiaTheme="minorEastAsia"/>
                <w:color w:val="000000" w:themeColor="text1"/>
                <w:kern w:val="0"/>
                <w:szCs w:val="21"/>
              </w:rPr>
              <w:t>期末基金份额净值</w:t>
            </w:r>
          </w:p>
        </w:tc>
        <w:tc>
          <w:tcPr>
            <w:tcW w:w="4962" w:type="dxa"/>
            <w:vAlign w:val="center"/>
          </w:tcPr>
          <w:p w14:paraId="5468F14F"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1.2432</w:t>
            </w:r>
          </w:p>
        </w:tc>
      </w:tr>
    </w:tbl>
    <w:p w14:paraId="2FA8427D" w14:textId="77777777" w:rsidR="00027095" w:rsidRDefault="001C4AD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50B767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03CBE6BC"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405F5C5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256554B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44D96396" w14:textId="77777777">
        <w:tc>
          <w:tcPr>
            <w:tcW w:w="1395" w:type="dxa"/>
            <w:vAlign w:val="center"/>
          </w:tcPr>
          <w:p w14:paraId="3B708AD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678A113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36C3925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07D3181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4850BC9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5C5FE590"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65F6B70D"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027095" w14:paraId="7B264E93" w14:textId="77777777">
        <w:tc>
          <w:tcPr>
            <w:tcW w:w="1395" w:type="dxa"/>
            <w:vAlign w:val="center"/>
          </w:tcPr>
          <w:p w14:paraId="62CE409D" w14:textId="77777777" w:rsidR="00027095" w:rsidRDefault="001C4AD5">
            <w:pPr>
              <w:jc w:val="left"/>
            </w:pPr>
            <w:r>
              <w:rPr>
                <w:rFonts w:eastAsiaTheme="minorEastAsia"/>
                <w:color w:val="000000" w:themeColor="text1"/>
                <w:szCs w:val="21"/>
              </w:rPr>
              <w:t>过去三个月</w:t>
            </w:r>
          </w:p>
        </w:tc>
        <w:tc>
          <w:tcPr>
            <w:tcW w:w="1092" w:type="dxa"/>
            <w:vAlign w:val="center"/>
          </w:tcPr>
          <w:p w14:paraId="1D91C00C" w14:textId="77777777" w:rsidR="00027095" w:rsidRDefault="001C4AD5">
            <w:pPr>
              <w:jc w:val="center"/>
            </w:pPr>
            <w:r>
              <w:rPr>
                <w:rFonts w:eastAsiaTheme="minorEastAsia"/>
                <w:color w:val="000000" w:themeColor="text1"/>
                <w:szCs w:val="21"/>
              </w:rPr>
              <w:t>9.03%</w:t>
            </w:r>
          </w:p>
        </w:tc>
        <w:tc>
          <w:tcPr>
            <w:tcW w:w="1161" w:type="dxa"/>
            <w:vAlign w:val="center"/>
          </w:tcPr>
          <w:p w14:paraId="7B814D3E" w14:textId="77777777" w:rsidR="00027095" w:rsidRDefault="001C4AD5">
            <w:pPr>
              <w:jc w:val="center"/>
            </w:pPr>
            <w:r>
              <w:rPr>
                <w:rFonts w:eastAsiaTheme="minorEastAsia"/>
                <w:color w:val="000000" w:themeColor="text1"/>
                <w:szCs w:val="21"/>
              </w:rPr>
              <w:t>1.02%</w:t>
            </w:r>
          </w:p>
        </w:tc>
        <w:tc>
          <w:tcPr>
            <w:tcW w:w="1181" w:type="dxa"/>
            <w:vAlign w:val="center"/>
          </w:tcPr>
          <w:p w14:paraId="2A7D4F44" w14:textId="77777777" w:rsidR="00027095" w:rsidRDefault="001C4AD5">
            <w:pPr>
              <w:jc w:val="center"/>
            </w:pPr>
            <w:r>
              <w:rPr>
                <w:rFonts w:eastAsiaTheme="minorEastAsia"/>
                <w:color w:val="000000" w:themeColor="text1"/>
                <w:szCs w:val="21"/>
              </w:rPr>
              <w:t>6.03%</w:t>
            </w:r>
          </w:p>
        </w:tc>
        <w:tc>
          <w:tcPr>
            <w:tcW w:w="1188" w:type="dxa"/>
            <w:vAlign w:val="center"/>
          </w:tcPr>
          <w:p w14:paraId="2456B467" w14:textId="77777777" w:rsidR="00027095" w:rsidRDefault="001C4AD5">
            <w:pPr>
              <w:jc w:val="center"/>
            </w:pPr>
            <w:r>
              <w:rPr>
                <w:rFonts w:eastAsiaTheme="minorEastAsia"/>
                <w:color w:val="000000" w:themeColor="text1"/>
                <w:szCs w:val="21"/>
              </w:rPr>
              <w:t>1.08%</w:t>
            </w:r>
          </w:p>
        </w:tc>
        <w:tc>
          <w:tcPr>
            <w:tcW w:w="1199" w:type="dxa"/>
            <w:vAlign w:val="center"/>
          </w:tcPr>
          <w:p w14:paraId="2D539EF2" w14:textId="77777777" w:rsidR="00027095" w:rsidRDefault="001C4AD5">
            <w:pPr>
              <w:jc w:val="center"/>
            </w:pPr>
            <w:r>
              <w:rPr>
                <w:rFonts w:eastAsiaTheme="minorEastAsia"/>
                <w:color w:val="000000" w:themeColor="text1"/>
                <w:szCs w:val="21"/>
              </w:rPr>
              <w:t>3.00%</w:t>
            </w:r>
          </w:p>
        </w:tc>
        <w:tc>
          <w:tcPr>
            <w:tcW w:w="1204" w:type="dxa"/>
            <w:vAlign w:val="center"/>
          </w:tcPr>
          <w:p w14:paraId="7C058759" w14:textId="77777777" w:rsidR="00027095" w:rsidRDefault="001C4AD5">
            <w:pPr>
              <w:jc w:val="center"/>
            </w:pPr>
            <w:r>
              <w:rPr>
                <w:rFonts w:eastAsiaTheme="minorEastAsia"/>
                <w:color w:val="000000" w:themeColor="text1"/>
                <w:szCs w:val="21"/>
              </w:rPr>
              <w:t>-0.06%</w:t>
            </w:r>
          </w:p>
        </w:tc>
      </w:tr>
      <w:tr w:rsidR="00027095" w14:paraId="407FB2BC" w14:textId="77777777">
        <w:tc>
          <w:tcPr>
            <w:tcW w:w="1395" w:type="dxa"/>
            <w:vAlign w:val="center"/>
          </w:tcPr>
          <w:p w14:paraId="07A15750" w14:textId="77777777" w:rsidR="00027095" w:rsidRDefault="001C4AD5">
            <w:pPr>
              <w:jc w:val="left"/>
            </w:pPr>
            <w:r>
              <w:rPr>
                <w:rFonts w:eastAsiaTheme="minorEastAsia"/>
                <w:color w:val="000000" w:themeColor="text1"/>
                <w:szCs w:val="21"/>
              </w:rPr>
              <w:t>过去六个月</w:t>
            </w:r>
          </w:p>
        </w:tc>
        <w:tc>
          <w:tcPr>
            <w:tcW w:w="1092" w:type="dxa"/>
            <w:vAlign w:val="center"/>
          </w:tcPr>
          <w:p w14:paraId="539F5FEB" w14:textId="77777777" w:rsidR="00027095" w:rsidRDefault="001C4AD5">
            <w:pPr>
              <w:jc w:val="center"/>
            </w:pPr>
            <w:r>
              <w:rPr>
                <w:rFonts w:eastAsiaTheme="minorEastAsia"/>
                <w:color w:val="000000" w:themeColor="text1"/>
                <w:szCs w:val="21"/>
              </w:rPr>
              <w:t>21.91%</w:t>
            </w:r>
          </w:p>
        </w:tc>
        <w:tc>
          <w:tcPr>
            <w:tcW w:w="1161" w:type="dxa"/>
            <w:vAlign w:val="center"/>
          </w:tcPr>
          <w:p w14:paraId="242F9BA1" w14:textId="77777777" w:rsidR="00027095" w:rsidRDefault="001C4AD5">
            <w:pPr>
              <w:jc w:val="center"/>
            </w:pPr>
            <w:r>
              <w:rPr>
                <w:rFonts w:eastAsiaTheme="minorEastAsia"/>
                <w:color w:val="000000" w:themeColor="text1"/>
                <w:szCs w:val="21"/>
              </w:rPr>
              <w:t>1.05%</w:t>
            </w:r>
          </w:p>
        </w:tc>
        <w:tc>
          <w:tcPr>
            <w:tcW w:w="1181" w:type="dxa"/>
            <w:vAlign w:val="center"/>
          </w:tcPr>
          <w:p w14:paraId="5172407C" w14:textId="77777777" w:rsidR="00027095" w:rsidRDefault="001C4AD5">
            <w:pPr>
              <w:jc w:val="center"/>
            </w:pPr>
            <w:r>
              <w:rPr>
                <w:rFonts w:eastAsiaTheme="minorEastAsia"/>
                <w:color w:val="000000" w:themeColor="text1"/>
                <w:szCs w:val="21"/>
              </w:rPr>
              <w:t>16.59%</w:t>
            </w:r>
          </w:p>
        </w:tc>
        <w:tc>
          <w:tcPr>
            <w:tcW w:w="1188" w:type="dxa"/>
            <w:vAlign w:val="center"/>
          </w:tcPr>
          <w:p w14:paraId="2720BC73" w14:textId="77777777" w:rsidR="00027095" w:rsidRDefault="001C4AD5">
            <w:pPr>
              <w:jc w:val="center"/>
            </w:pPr>
            <w:r>
              <w:rPr>
                <w:rFonts w:eastAsiaTheme="minorEastAsia"/>
                <w:color w:val="000000" w:themeColor="text1"/>
                <w:szCs w:val="21"/>
              </w:rPr>
              <w:t>1.09%</w:t>
            </w:r>
          </w:p>
        </w:tc>
        <w:tc>
          <w:tcPr>
            <w:tcW w:w="1199" w:type="dxa"/>
            <w:vAlign w:val="center"/>
          </w:tcPr>
          <w:p w14:paraId="2DEA54BB" w14:textId="77777777" w:rsidR="00027095" w:rsidRDefault="001C4AD5">
            <w:pPr>
              <w:jc w:val="center"/>
            </w:pPr>
            <w:r>
              <w:rPr>
                <w:rFonts w:eastAsiaTheme="minorEastAsia"/>
                <w:color w:val="000000" w:themeColor="text1"/>
                <w:szCs w:val="21"/>
              </w:rPr>
              <w:t>5.32%</w:t>
            </w:r>
          </w:p>
        </w:tc>
        <w:tc>
          <w:tcPr>
            <w:tcW w:w="1204" w:type="dxa"/>
            <w:vAlign w:val="center"/>
          </w:tcPr>
          <w:p w14:paraId="11C15251" w14:textId="77777777" w:rsidR="00027095" w:rsidRDefault="001C4AD5">
            <w:pPr>
              <w:jc w:val="center"/>
            </w:pPr>
            <w:r>
              <w:rPr>
                <w:rFonts w:eastAsiaTheme="minorEastAsia"/>
                <w:color w:val="000000" w:themeColor="text1"/>
                <w:szCs w:val="21"/>
              </w:rPr>
              <w:t>-0.04%</w:t>
            </w:r>
          </w:p>
        </w:tc>
      </w:tr>
      <w:tr w:rsidR="00027095" w14:paraId="0624C47F" w14:textId="77777777">
        <w:tc>
          <w:tcPr>
            <w:tcW w:w="1395" w:type="dxa"/>
            <w:vAlign w:val="center"/>
          </w:tcPr>
          <w:p w14:paraId="7DF8B0CF" w14:textId="77777777" w:rsidR="00027095" w:rsidRDefault="001C4AD5">
            <w:pPr>
              <w:jc w:val="left"/>
            </w:pPr>
            <w:r>
              <w:rPr>
                <w:rFonts w:eastAsiaTheme="minorEastAsia"/>
                <w:color w:val="000000" w:themeColor="text1"/>
                <w:szCs w:val="21"/>
              </w:rPr>
              <w:t>过去一年</w:t>
            </w:r>
          </w:p>
        </w:tc>
        <w:tc>
          <w:tcPr>
            <w:tcW w:w="1092" w:type="dxa"/>
            <w:vAlign w:val="center"/>
          </w:tcPr>
          <w:p w14:paraId="48A3DF39" w14:textId="77777777" w:rsidR="00027095" w:rsidRDefault="001C4AD5">
            <w:pPr>
              <w:jc w:val="center"/>
            </w:pPr>
            <w:r>
              <w:rPr>
                <w:rFonts w:eastAsiaTheme="minorEastAsia"/>
                <w:color w:val="000000" w:themeColor="text1"/>
                <w:szCs w:val="21"/>
              </w:rPr>
              <w:t>-</w:t>
            </w:r>
          </w:p>
        </w:tc>
        <w:tc>
          <w:tcPr>
            <w:tcW w:w="1161" w:type="dxa"/>
            <w:vAlign w:val="center"/>
          </w:tcPr>
          <w:p w14:paraId="51B76872" w14:textId="77777777" w:rsidR="00027095" w:rsidRDefault="001C4AD5">
            <w:pPr>
              <w:jc w:val="center"/>
            </w:pPr>
            <w:r>
              <w:rPr>
                <w:rFonts w:eastAsiaTheme="minorEastAsia"/>
                <w:color w:val="000000" w:themeColor="text1"/>
                <w:szCs w:val="21"/>
              </w:rPr>
              <w:t>-</w:t>
            </w:r>
          </w:p>
        </w:tc>
        <w:tc>
          <w:tcPr>
            <w:tcW w:w="1181" w:type="dxa"/>
            <w:vAlign w:val="center"/>
          </w:tcPr>
          <w:p w14:paraId="042EB5FC" w14:textId="77777777" w:rsidR="00027095" w:rsidRDefault="001C4AD5">
            <w:pPr>
              <w:jc w:val="center"/>
            </w:pPr>
            <w:r>
              <w:rPr>
                <w:rFonts w:eastAsiaTheme="minorEastAsia"/>
                <w:color w:val="000000" w:themeColor="text1"/>
                <w:szCs w:val="21"/>
              </w:rPr>
              <w:t>-</w:t>
            </w:r>
          </w:p>
        </w:tc>
        <w:tc>
          <w:tcPr>
            <w:tcW w:w="1188" w:type="dxa"/>
            <w:vAlign w:val="center"/>
          </w:tcPr>
          <w:p w14:paraId="0F082C7D" w14:textId="77777777" w:rsidR="00027095" w:rsidRDefault="001C4AD5">
            <w:pPr>
              <w:jc w:val="center"/>
            </w:pPr>
            <w:r>
              <w:rPr>
                <w:rFonts w:eastAsiaTheme="minorEastAsia"/>
                <w:color w:val="000000" w:themeColor="text1"/>
                <w:szCs w:val="21"/>
              </w:rPr>
              <w:t>-</w:t>
            </w:r>
          </w:p>
        </w:tc>
        <w:tc>
          <w:tcPr>
            <w:tcW w:w="1199" w:type="dxa"/>
            <w:vAlign w:val="center"/>
          </w:tcPr>
          <w:p w14:paraId="479F63C4" w14:textId="77777777" w:rsidR="00027095" w:rsidRDefault="001C4AD5">
            <w:pPr>
              <w:jc w:val="center"/>
            </w:pPr>
            <w:r>
              <w:rPr>
                <w:rFonts w:eastAsiaTheme="minorEastAsia"/>
                <w:color w:val="000000" w:themeColor="text1"/>
                <w:szCs w:val="21"/>
              </w:rPr>
              <w:t>-</w:t>
            </w:r>
          </w:p>
        </w:tc>
        <w:tc>
          <w:tcPr>
            <w:tcW w:w="1204" w:type="dxa"/>
            <w:vAlign w:val="center"/>
          </w:tcPr>
          <w:p w14:paraId="48C3446C" w14:textId="77777777" w:rsidR="00027095" w:rsidRDefault="001C4AD5">
            <w:pPr>
              <w:jc w:val="center"/>
            </w:pPr>
            <w:r>
              <w:rPr>
                <w:rFonts w:eastAsiaTheme="minorEastAsia"/>
                <w:color w:val="000000" w:themeColor="text1"/>
                <w:szCs w:val="21"/>
              </w:rPr>
              <w:t>-</w:t>
            </w:r>
          </w:p>
        </w:tc>
      </w:tr>
      <w:tr w:rsidR="00027095" w14:paraId="2D7BFD40" w14:textId="77777777">
        <w:tc>
          <w:tcPr>
            <w:tcW w:w="1395" w:type="dxa"/>
            <w:vAlign w:val="center"/>
          </w:tcPr>
          <w:p w14:paraId="4B92E6C5" w14:textId="77777777" w:rsidR="00027095" w:rsidRDefault="001C4AD5">
            <w:pPr>
              <w:jc w:val="left"/>
            </w:pPr>
            <w:r>
              <w:rPr>
                <w:rFonts w:eastAsiaTheme="minorEastAsia"/>
                <w:color w:val="000000" w:themeColor="text1"/>
                <w:szCs w:val="21"/>
              </w:rPr>
              <w:t>过去三年</w:t>
            </w:r>
          </w:p>
        </w:tc>
        <w:tc>
          <w:tcPr>
            <w:tcW w:w="1092" w:type="dxa"/>
            <w:vAlign w:val="center"/>
          </w:tcPr>
          <w:p w14:paraId="5DABFAF7" w14:textId="77777777" w:rsidR="00027095" w:rsidRDefault="001C4AD5">
            <w:pPr>
              <w:jc w:val="center"/>
            </w:pPr>
            <w:r>
              <w:rPr>
                <w:rFonts w:eastAsiaTheme="minorEastAsia"/>
                <w:color w:val="000000" w:themeColor="text1"/>
                <w:szCs w:val="21"/>
              </w:rPr>
              <w:t>-</w:t>
            </w:r>
          </w:p>
        </w:tc>
        <w:tc>
          <w:tcPr>
            <w:tcW w:w="1161" w:type="dxa"/>
            <w:vAlign w:val="center"/>
          </w:tcPr>
          <w:p w14:paraId="29C7C90C" w14:textId="77777777" w:rsidR="00027095" w:rsidRDefault="001C4AD5">
            <w:pPr>
              <w:jc w:val="center"/>
            </w:pPr>
            <w:r>
              <w:rPr>
                <w:rFonts w:eastAsiaTheme="minorEastAsia"/>
                <w:color w:val="000000" w:themeColor="text1"/>
                <w:szCs w:val="21"/>
              </w:rPr>
              <w:t>-</w:t>
            </w:r>
          </w:p>
        </w:tc>
        <w:tc>
          <w:tcPr>
            <w:tcW w:w="1181" w:type="dxa"/>
            <w:vAlign w:val="center"/>
          </w:tcPr>
          <w:p w14:paraId="707899BD" w14:textId="77777777" w:rsidR="00027095" w:rsidRDefault="001C4AD5">
            <w:pPr>
              <w:jc w:val="center"/>
            </w:pPr>
            <w:r>
              <w:rPr>
                <w:rFonts w:eastAsiaTheme="minorEastAsia"/>
                <w:color w:val="000000" w:themeColor="text1"/>
                <w:szCs w:val="21"/>
              </w:rPr>
              <w:t>-</w:t>
            </w:r>
          </w:p>
        </w:tc>
        <w:tc>
          <w:tcPr>
            <w:tcW w:w="1188" w:type="dxa"/>
            <w:vAlign w:val="center"/>
          </w:tcPr>
          <w:p w14:paraId="5DAED355" w14:textId="77777777" w:rsidR="00027095" w:rsidRDefault="001C4AD5">
            <w:pPr>
              <w:jc w:val="center"/>
            </w:pPr>
            <w:r>
              <w:rPr>
                <w:rFonts w:eastAsiaTheme="minorEastAsia"/>
                <w:color w:val="000000" w:themeColor="text1"/>
                <w:szCs w:val="21"/>
              </w:rPr>
              <w:t>-</w:t>
            </w:r>
          </w:p>
        </w:tc>
        <w:tc>
          <w:tcPr>
            <w:tcW w:w="1199" w:type="dxa"/>
            <w:vAlign w:val="center"/>
          </w:tcPr>
          <w:p w14:paraId="16EE3E78" w14:textId="77777777" w:rsidR="00027095" w:rsidRDefault="001C4AD5">
            <w:pPr>
              <w:jc w:val="center"/>
            </w:pPr>
            <w:r>
              <w:rPr>
                <w:rFonts w:eastAsiaTheme="minorEastAsia"/>
                <w:color w:val="000000" w:themeColor="text1"/>
                <w:szCs w:val="21"/>
              </w:rPr>
              <w:t>-</w:t>
            </w:r>
          </w:p>
        </w:tc>
        <w:tc>
          <w:tcPr>
            <w:tcW w:w="1204" w:type="dxa"/>
            <w:vAlign w:val="center"/>
          </w:tcPr>
          <w:p w14:paraId="4CDF4C39" w14:textId="77777777" w:rsidR="00027095" w:rsidRDefault="001C4AD5">
            <w:pPr>
              <w:jc w:val="center"/>
            </w:pPr>
            <w:r>
              <w:rPr>
                <w:rFonts w:eastAsiaTheme="minorEastAsia"/>
                <w:color w:val="000000" w:themeColor="text1"/>
                <w:szCs w:val="21"/>
              </w:rPr>
              <w:t>-</w:t>
            </w:r>
          </w:p>
        </w:tc>
      </w:tr>
      <w:tr w:rsidR="00027095" w14:paraId="7ABEA826" w14:textId="77777777">
        <w:tc>
          <w:tcPr>
            <w:tcW w:w="1395" w:type="dxa"/>
            <w:vAlign w:val="center"/>
          </w:tcPr>
          <w:p w14:paraId="08AF523A" w14:textId="77777777" w:rsidR="00027095" w:rsidRDefault="001C4AD5">
            <w:pPr>
              <w:jc w:val="left"/>
            </w:pPr>
            <w:r>
              <w:rPr>
                <w:rFonts w:eastAsiaTheme="minorEastAsia"/>
                <w:color w:val="000000" w:themeColor="text1"/>
                <w:szCs w:val="21"/>
              </w:rPr>
              <w:t>过去五年</w:t>
            </w:r>
          </w:p>
        </w:tc>
        <w:tc>
          <w:tcPr>
            <w:tcW w:w="1092" w:type="dxa"/>
            <w:vAlign w:val="center"/>
          </w:tcPr>
          <w:p w14:paraId="48F2239B" w14:textId="77777777" w:rsidR="00027095" w:rsidRDefault="001C4AD5">
            <w:pPr>
              <w:jc w:val="center"/>
            </w:pPr>
            <w:r>
              <w:rPr>
                <w:rFonts w:eastAsiaTheme="minorEastAsia"/>
                <w:color w:val="000000" w:themeColor="text1"/>
                <w:szCs w:val="21"/>
              </w:rPr>
              <w:t>-</w:t>
            </w:r>
          </w:p>
        </w:tc>
        <w:tc>
          <w:tcPr>
            <w:tcW w:w="1161" w:type="dxa"/>
            <w:vAlign w:val="center"/>
          </w:tcPr>
          <w:p w14:paraId="0C4CD56B" w14:textId="77777777" w:rsidR="00027095" w:rsidRDefault="001C4AD5">
            <w:pPr>
              <w:jc w:val="center"/>
            </w:pPr>
            <w:r>
              <w:rPr>
                <w:rFonts w:eastAsiaTheme="minorEastAsia"/>
                <w:color w:val="000000" w:themeColor="text1"/>
                <w:szCs w:val="21"/>
              </w:rPr>
              <w:t>-</w:t>
            </w:r>
          </w:p>
        </w:tc>
        <w:tc>
          <w:tcPr>
            <w:tcW w:w="1181" w:type="dxa"/>
            <w:vAlign w:val="center"/>
          </w:tcPr>
          <w:p w14:paraId="7AA410C1" w14:textId="77777777" w:rsidR="00027095" w:rsidRDefault="001C4AD5">
            <w:pPr>
              <w:jc w:val="center"/>
            </w:pPr>
            <w:r>
              <w:rPr>
                <w:rFonts w:eastAsiaTheme="minorEastAsia"/>
                <w:color w:val="000000" w:themeColor="text1"/>
                <w:szCs w:val="21"/>
              </w:rPr>
              <w:t>-</w:t>
            </w:r>
          </w:p>
        </w:tc>
        <w:tc>
          <w:tcPr>
            <w:tcW w:w="1188" w:type="dxa"/>
            <w:vAlign w:val="center"/>
          </w:tcPr>
          <w:p w14:paraId="0323C6BC" w14:textId="77777777" w:rsidR="00027095" w:rsidRDefault="001C4AD5">
            <w:pPr>
              <w:jc w:val="center"/>
            </w:pPr>
            <w:r>
              <w:rPr>
                <w:rFonts w:eastAsiaTheme="minorEastAsia"/>
                <w:color w:val="000000" w:themeColor="text1"/>
                <w:szCs w:val="21"/>
              </w:rPr>
              <w:t>-</w:t>
            </w:r>
          </w:p>
        </w:tc>
        <w:tc>
          <w:tcPr>
            <w:tcW w:w="1199" w:type="dxa"/>
            <w:vAlign w:val="center"/>
          </w:tcPr>
          <w:p w14:paraId="0E8BCF46" w14:textId="77777777" w:rsidR="00027095" w:rsidRDefault="001C4AD5">
            <w:pPr>
              <w:jc w:val="center"/>
            </w:pPr>
            <w:r>
              <w:rPr>
                <w:rFonts w:eastAsiaTheme="minorEastAsia"/>
                <w:color w:val="000000" w:themeColor="text1"/>
                <w:szCs w:val="21"/>
              </w:rPr>
              <w:t>-</w:t>
            </w:r>
          </w:p>
        </w:tc>
        <w:tc>
          <w:tcPr>
            <w:tcW w:w="1204" w:type="dxa"/>
            <w:vAlign w:val="center"/>
          </w:tcPr>
          <w:p w14:paraId="249B7405" w14:textId="77777777" w:rsidR="00027095" w:rsidRDefault="001C4AD5">
            <w:pPr>
              <w:jc w:val="center"/>
            </w:pPr>
            <w:r>
              <w:rPr>
                <w:rFonts w:eastAsiaTheme="minorEastAsia"/>
                <w:color w:val="000000" w:themeColor="text1"/>
                <w:szCs w:val="21"/>
              </w:rPr>
              <w:t>-</w:t>
            </w:r>
          </w:p>
        </w:tc>
      </w:tr>
      <w:tr w:rsidR="00027095" w14:paraId="4AC32E2A" w14:textId="77777777">
        <w:tc>
          <w:tcPr>
            <w:tcW w:w="1395" w:type="dxa"/>
            <w:vAlign w:val="center"/>
          </w:tcPr>
          <w:p w14:paraId="7F45ACD1" w14:textId="77777777" w:rsidR="00027095" w:rsidRDefault="001C4AD5">
            <w:pPr>
              <w:jc w:val="left"/>
            </w:pPr>
            <w:r>
              <w:rPr>
                <w:rFonts w:eastAsiaTheme="minorEastAsia"/>
                <w:color w:val="000000" w:themeColor="text1"/>
                <w:szCs w:val="21"/>
              </w:rPr>
              <w:t>自基金合同生效起至今</w:t>
            </w:r>
          </w:p>
        </w:tc>
        <w:tc>
          <w:tcPr>
            <w:tcW w:w="1092" w:type="dxa"/>
            <w:vAlign w:val="center"/>
          </w:tcPr>
          <w:p w14:paraId="2F03C73C" w14:textId="77777777" w:rsidR="00027095" w:rsidRDefault="001C4AD5">
            <w:pPr>
              <w:jc w:val="center"/>
            </w:pPr>
            <w:r>
              <w:rPr>
                <w:rFonts w:eastAsiaTheme="minorEastAsia"/>
                <w:color w:val="000000" w:themeColor="text1"/>
                <w:szCs w:val="21"/>
              </w:rPr>
              <w:t>24.32%</w:t>
            </w:r>
          </w:p>
        </w:tc>
        <w:tc>
          <w:tcPr>
            <w:tcW w:w="1161" w:type="dxa"/>
            <w:vAlign w:val="center"/>
          </w:tcPr>
          <w:p w14:paraId="3EFF25A2" w14:textId="77777777" w:rsidR="00027095" w:rsidRDefault="001C4AD5">
            <w:pPr>
              <w:jc w:val="center"/>
            </w:pPr>
            <w:r>
              <w:rPr>
                <w:rFonts w:eastAsiaTheme="minorEastAsia"/>
                <w:color w:val="000000" w:themeColor="text1"/>
                <w:szCs w:val="21"/>
              </w:rPr>
              <w:t>1.03%</w:t>
            </w:r>
          </w:p>
        </w:tc>
        <w:tc>
          <w:tcPr>
            <w:tcW w:w="1181" w:type="dxa"/>
            <w:vAlign w:val="center"/>
          </w:tcPr>
          <w:p w14:paraId="5D5393B6" w14:textId="77777777" w:rsidR="00027095" w:rsidRDefault="001C4AD5">
            <w:pPr>
              <w:jc w:val="center"/>
            </w:pPr>
            <w:r>
              <w:rPr>
                <w:rFonts w:eastAsiaTheme="minorEastAsia"/>
                <w:color w:val="000000" w:themeColor="text1"/>
                <w:szCs w:val="21"/>
              </w:rPr>
              <w:t>20.67%</w:t>
            </w:r>
          </w:p>
        </w:tc>
        <w:tc>
          <w:tcPr>
            <w:tcW w:w="1188" w:type="dxa"/>
            <w:vAlign w:val="center"/>
          </w:tcPr>
          <w:p w14:paraId="6A56A17B" w14:textId="77777777" w:rsidR="00027095" w:rsidRDefault="001C4AD5">
            <w:pPr>
              <w:jc w:val="center"/>
            </w:pPr>
            <w:r>
              <w:rPr>
                <w:rFonts w:eastAsiaTheme="minorEastAsia"/>
                <w:color w:val="000000" w:themeColor="text1"/>
                <w:szCs w:val="21"/>
              </w:rPr>
              <w:t>1.06%</w:t>
            </w:r>
          </w:p>
        </w:tc>
        <w:tc>
          <w:tcPr>
            <w:tcW w:w="1199" w:type="dxa"/>
            <w:vAlign w:val="center"/>
          </w:tcPr>
          <w:p w14:paraId="187DC8E6" w14:textId="77777777" w:rsidR="00027095" w:rsidRDefault="001C4AD5">
            <w:pPr>
              <w:jc w:val="center"/>
            </w:pPr>
            <w:r>
              <w:rPr>
                <w:rFonts w:eastAsiaTheme="minorEastAsia"/>
                <w:color w:val="000000" w:themeColor="text1"/>
                <w:szCs w:val="21"/>
              </w:rPr>
              <w:t>3.65%</w:t>
            </w:r>
          </w:p>
        </w:tc>
        <w:tc>
          <w:tcPr>
            <w:tcW w:w="1204" w:type="dxa"/>
            <w:vAlign w:val="center"/>
          </w:tcPr>
          <w:p w14:paraId="2C90D189" w14:textId="77777777" w:rsidR="00027095" w:rsidRDefault="001C4AD5">
            <w:pPr>
              <w:jc w:val="center"/>
            </w:pPr>
            <w:r>
              <w:rPr>
                <w:rFonts w:eastAsiaTheme="minorEastAsia"/>
                <w:color w:val="000000" w:themeColor="text1"/>
                <w:szCs w:val="21"/>
              </w:rPr>
              <w:t>-0.03%</w:t>
            </w:r>
          </w:p>
        </w:tc>
      </w:tr>
    </w:tbl>
    <w:p w14:paraId="3CCEE058"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78156B3"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67E7FCD9"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摩根标普港股通低波红利交易型开放式指数证券投资基金</w:t>
      </w:r>
    </w:p>
    <w:p w14:paraId="49DBF948"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16F720F1"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2023</w:t>
      </w:r>
      <w:r w:rsidRPr="00473486">
        <w:rPr>
          <w:rFonts w:eastAsiaTheme="minorEastAsia"/>
          <w:color w:val="000000" w:themeColor="text1"/>
          <w:kern w:val="0"/>
          <w:szCs w:val="21"/>
        </w:rPr>
        <w:t>年</w:t>
      </w:r>
      <w:r w:rsidRPr="00473486">
        <w:rPr>
          <w:rFonts w:eastAsiaTheme="minorEastAsia"/>
          <w:color w:val="000000" w:themeColor="text1"/>
          <w:kern w:val="0"/>
          <w:szCs w:val="21"/>
        </w:rPr>
        <w:t>11</w:t>
      </w:r>
      <w:r w:rsidRPr="00473486">
        <w:rPr>
          <w:rFonts w:eastAsiaTheme="minorEastAsia"/>
          <w:color w:val="000000" w:themeColor="text1"/>
          <w:kern w:val="0"/>
          <w:szCs w:val="21"/>
        </w:rPr>
        <w:t>月</w:t>
      </w:r>
      <w:r w:rsidRPr="00473486">
        <w:rPr>
          <w:rFonts w:eastAsiaTheme="minorEastAsia"/>
          <w:color w:val="000000" w:themeColor="text1"/>
          <w:kern w:val="0"/>
          <w:szCs w:val="21"/>
        </w:rPr>
        <w:t>23</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14:paraId="21B7729A"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lastRenderedPageBreak/>
        <w:drawing>
          <wp:inline distT="0" distB="0" distL="0" distR="0" wp14:anchorId="313AE3D4" wp14:editId="3B430CA4">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15B44880" w14:textId="77777777" w:rsidR="00027095" w:rsidRDefault="001C4AD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日，截至本报告期末本基金合同生效未满一年。</w:t>
      </w:r>
    </w:p>
    <w:p w14:paraId="404E2613"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6</w:t>
      </w:r>
      <w:r w:rsidRPr="00473486">
        <w:rPr>
          <w:rFonts w:eastAsiaTheme="minorEastAsia"/>
          <w:color w:val="000000" w:themeColor="text1"/>
          <w:szCs w:val="21"/>
        </w:rPr>
        <w:t>个月，建仓期结束时资产配置比例符合本基金基金合同规定。</w:t>
      </w:r>
    </w:p>
    <w:p w14:paraId="11177D00"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4D231129" w14:textId="77777777" w:rsidR="00881A82" w:rsidRPr="00473486" w:rsidRDefault="00881A82">
      <w:pPr>
        <w:tabs>
          <w:tab w:val="left" w:pos="1800"/>
        </w:tabs>
        <w:spacing w:line="288" w:lineRule="auto"/>
        <w:rPr>
          <w:rFonts w:eastAsiaTheme="minorEastAsia"/>
          <w:color w:val="000000" w:themeColor="text1"/>
          <w:szCs w:val="21"/>
        </w:rPr>
      </w:pPr>
    </w:p>
    <w:p w14:paraId="55563985"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67E9852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5EC511AD" w14:textId="77777777">
        <w:trPr>
          <w:cantSplit/>
          <w:trHeight w:val="292"/>
        </w:trPr>
        <w:tc>
          <w:tcPr>
            <w:tcW w:w="851" w:type="dxa"/>
            <w:vMerge w:val="restart"/>
            <w:vAlign w:val="center"/>
          </w:tcPr>
          <w:p w14:paraId="04A6CB5F"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0DD49B96"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3061731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258898D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045C2A07"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03050FC0" w14:textId="77777777">
        <w:trPr>
          <w:cantSplit/>
        </w:trPr>
        <w:tc>
          <w:tcPr>
            <w:tcW w:w="851" w:type="dxa"/>
            <w:vMerge/>
            <w:vAlign w:val="center"/>
          </w:tcPr>
          <w:p w14:paraId="49441075"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533846F3"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3106A814"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676ACBE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071D1F15"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033E2B05" w14:textId="77777777" w:rsidR="00881A82" w:rsidRPr="00473486" w:rsidRDefault="00881A82">
            <w:pPr>
              <w:widowControl/>
              <w:spacing w:line="360" w:lineRule="auto"/>
              <w:jc w:val="left"/>
              <w:rPr>
                <w:rFonts w:eastAsiaTheme="minorEastAsia"/>
                <w:color w:val="000000" w:themeColor="text1"/>
                <w:kern w:val="0"/>
                <w:szCs w:val="21"/>
              </w:rPr>
            </w:pPr>
          </w:p>
        </w:tc>
      </w:tr>
      <w:tr w:rsidR="00027095" w14:paraId="57D689D4" w14:textId="77777777">
        <w:tc>
          <w:tcPr>
            <w:tcW w:w="851" w:type="dxa"/>
            <w:vAlign w:val="center"/>
          </w:tcPr>
          <w:p w14:paraId="7439DD51" w14:textId="77777777" w:rsidR="00027095" w:rsidRDefault="001C4AD5">
            <w:pPr>
              <w:jc w:val="center"/>
            </w:pPr>
            <w:r>
              <w:rPr>
                <w:rFonts w:eastAsiaTheme="minorEastAsia"/>
                <w:color w:val="000000" w:themeColor="text1"/>
                <w:szCs w:val="21"/>
              </w:rPr>
              <w:t>胡迪</w:t>
            </w:r>
          </w:p>
        </w:tc>
        <w:tc>
          <w:tcPr>
            <w:tcW w:w="850" w:type="dxa"/>
            <w:vAlign w:val="center"/>
          </w:tcPr>
          <w:p w14:paraId="6AEC4F79" w14:textId="77777777" w:rsidR="00027095" w:rsidRDefault="001C4AD5">
            <w:pPr>
              <w:jc w:val="center"/>
            </w:pPr>
            <w:r>
              <w:rPr>
                <w:rFonts w:eastAsiaTheme="minorEastAsia"/>
                <w:color w:val="000000" w:themeColor="text1"/>
                <w:szCs w:val="21"/>
              </w:rPr>
              <w:t>本基金基金经理、指数及量化投资部总监</w:t>
            </w:r>
          </w:p>
        </w:tc>
        <w:tc>
          <w:tcPr>
            <w:tcW w:w="1560" w:type="dxa"/>
            <w:vAlign w:val="center"/>
          </w:tcPr>
          <w:p w14:paraId="06B1D29E" w14:textId="77777777" w:rsidR="00027095" w:rsidRDefault="001C4AD5">
            <w:pPr>
              <w:jc w:val="center"/>
            </w:pPr>
            <w:r>
              <w:rPr>
                <w:rFonts w:eastAsiaTheme="minorEastAsia"/>
                <w:color w:val="000000" w:themeColor="text1"/>
                <w:szCs w:val="21"/>
              </w:rPr>
              <w:t>2023-11-23</w:t>
            </w:r>
          </w:p>
        </w:tc>
        <w:tc>
          <w:tcPr>
            <w:tcW w:w="1559" w:type="dxa"/>
            <w:vAlign w:val="center"/>
          </w:tcPr>
          <w:p w14:paraId="6EE99C09" w14:textId="77777777" w:rsidR="00027095" w:rsidRDefault="001C4AD5">
            <w:pPr>
              <w:jc w:val="center"/>
            </w:pPr>
            <w:r>
              <w:rPr>
                <w:rFonts w:eastAsiaTheme="minorEastAsia"/>
                <w:color w:val="000000" w:themeColor="text1"/>
                <w:szCs w:val="21"/>
              </w:rPr>
              <w:t>-</w:t>
            </w:r>
          </w:p>
        </w:tc>
        <w:tc>
          <w:tcPr>
            <w:tcW w:w="1417" w:type="dxa"/>
            <w:vAlign w:val="center"/>
          </w:tcPr>
          <w:p w14:paraId="1313FEA8" w14:textId="77777777" w:rsidR="00027095" w:rsidRDefault="001C4AD5">
            <w:pPr>
              <w:jc w:val="center"/>
            </w:pPr>
            <w:r>
              <w:rPr>
                <w:rFonts w:eastAsiaTheme="minorEastAsia"/>
                <w:color w:val="000000" w:themeColor="text1"/>
                <w:szCs w:val="21"/>
              </w:rPr>
              <w:t>17</w:t>
            </w:r>
            <w:r>
              <w:rPr>
                <w:rFonts w:eastAsiaTheme="minorEastAsia"/>
                <w:color w:val="000000" w:themeColor="text1"/>
                <w:szCs w:val="21"/>
              </w:rPr>
              <w:t>年</w:t>
            </w:r>
          </w:p>
        </w:tc>
        <w:tc>
          <w:tcPr>
            <w:tcW w:w="2694" w:type="dxa"/>
            <w:vAlign w:val="center"/>
          </w:tcPr>
          <w:p w14:paraId="011D3067" w14:textId="77777777" w:rsidR="00027095" w:rsidRDefault="001C4AD5">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027095" w14:paraId="1E5A9039" w14:textId="77777777">
        <w:tc>
          <w:tcPr>
            <w:tcW w:w="851" w:type="dxa"/>
            <w:vAlign w:val="center"/>
          </w:tcPr>
          <w:p w14:paraId="5C725C83" w14:textId="77777777" w:rsidR="00027095" w:rsidRDefault="001C4AD5">
            <w:pPr>
              <w:jc w:val="center"/>
            </w:pPr>
            <w:r>
              <w:rPr>
                <w:rFonts w:eastAsiaTheme="minorEastAsia"/>
                <w:color w:val="000000" w:themeColor="text1"/>
                <w:szCs w:val="21"/>
              </w:rPr>
              <w:t>何智豪</w:t>
            </w:r>
          </w:p>
        </w:tc>
        <w:tc>
          <w:tcPr>
            <w:tcW w:w="850" w:type="dxa"/>
            <w:vAlign w:val="center"/>
          </w:tcPr>
          <w:p w14:paraId="2A53F25F" w14:textId="77777777" w:rsidR="00027095" w:rsidRDefault="001C4AD5">
            <w:pPr>
              <w:jc w:val="center"/>
            </w:pPr>
            <w:r>
              <w:rPr>
                <w:rFonts w:eastAsiaTheme="minorEastAsia"/>
                <w:color w:val="000000" w:themeColor="text1"/>
                <w:szCs w:val="21"/>
              </w:rPr>
              <w:t>本基金基金经</w:t>
            </w:r>
            <w:r>
              <w:rPr>
                <w:rFonts w:eastAsiaTheme="minorEastAsia"/>
                <w:color w:val="000000" w:themeColor="text1"/>
                <w:szCs w:val="21"/>
              </w:rPr>
              <w:lastRenderedPageBreak/>
              <w:t>理</w:t>
            </w:r>
          </w:p>
        </w:tc>
        <w:tc>
          <w:tcPr>
            <w:tcW w:w="1560" w:type="dxa"/>
            <w:vAlign w:val="center"/>
          </w:tcPr>
          <w:p w14:paraId="7185E5C0" w14:textId="77777777" w:rsidR="00027095" w:rsidRDefault="001C4AD5">
            <w:pPr>
              <w:jc w:val="center"/>
            </w:pPr>
            <w:r>
              <w:rPr>
                <w:rFonts w:eastAsiaTheme="minorEastAsia"/>
                <w:color w:val="000000" w:themeColor="text1"/>
                <w:szCs w:val="21"/>
              </w:rPr>
              <w:lastRenderedPageBreak/>
              <w:t>2023-11-23</w:t>
            </w:r>
          </w:p>
        </w:tc>
        <w:tc>
          <w:tcPr>
            <w:tcW w:w="1559" w:type="dxa"/>
            <w:vAlign w:val="center"/>
          </w:tcPr>
          <w:p w14:paraId="38CBDC47" w14:textId="77777777" w:rsidR="00027095" w:rsidRDefault="001C4AD5">
            <w:pPr>
              <w:jc w:val="center"/>
            </w:pPr>
            <w:r>
              <w:rPr>
                <w:rFonts w:eastAsiaTheme="minorEastAsia"/>
                <w:color w:val="000000" w:themeColor="text1"/>
                <w:szCs w:val="21"/>
              </w:rPr>
              <w:t>-</w:t>
            </w:r>
          </w:p>
        </w:tc>
        <w:tc>
          <w:tcPr>
            <w:tcW w:w="1417" w:type="dxa"/>
            <w:vAlign w:val="center"/>
          </w:tcPr>
          <w:p w14:paraId="7FCE6E6D" w14:textId="77777777" w:rsidR="00027095" w:rsidRDefault="001C4AD5">
            <w:pPr>
              <w:jc w:val="center"/>
            </w:pPr>
            <w:r>
              <w:rPr>
                <w:rFonts w:eastAsiaTheme="minorEastAsia"/>
                <w:color w:val="000000" w:themeColor="text1"/>
                <w:szCs w:val="21"/>
              </w:rPr>
              <w:t>10</w:t>
            </w:r>
            <w:r>
              <w:rPr>
                <w:rFonts w:eastAsiaTheme="minorEastAsia"/>
                <w:color w:val="000000" w:themeColor="text1"/>
                <w:szCs w:val="21"/>
              </w:rPr>
              <w:t>年</w:t>
            </w:r>
          </w:p>
        </w:tc>
        <w:tc>
          <w:tcPr>
            <w:tcW w:w="2694" w:type="dxa"/>
            <w:vAlign w:val="center"/>
          </w:tcPr>
          <w:p w14:paraId="2D6F353F" w14:textId="77777777" w:rsidR="00027095" w:rsidRDefault="001C4AD5">
            <w:r>
              <w:rPr>
                <w:rFonts w:eastAsiaTheme="minorEastAsia"/>
                <w:color w:val="000000" w:themeColor="text1"/>
                <w:szCs w:val="21"/>
              </w:rPr>
              <w:t>何智豪先生曾任中国国际金融股份有限公司组合与</w:t>
            </w:r>
            <w:r>
              <w:rPr>
                <w:rFonts w:eastAsiaTheme="minorEastAsia"/>
                <w:color w:val="000000" w:themeColor="text1"/>
                <w:szCs w:val="21"/>
              </w:rPr>
              <w:lastRenderedPageBreak/>
              <w:t>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月起加入摩根基金管理（中国）有限公司（原上投摩根基金管理有限公司），现任指数及量化投资部基金经理。</w:t>
            </w:r>
          </w:p>
        </w:tc>
      </w:tr>
    </w:tbl>
    <w:p w14:paraId="135BA87C" w14:textId="77777777" w:rsidR="00027095" w:rsidRDefault="001C4AD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E5B655A" w14:textId="77777777" w:rsidR="00027095" w:rsidRDefault="001C4AD5">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胡迪女士、何智豪先生为本基金首任基金经理，其任职日期指本基金基金合同生效之日。</w:t>
      </w:r>
      <w:r>
        <w:rPr>
          <w:rFonts w:eastAsiaTheme="minorEastAsia"/>
          <w:color w:val="000000" w:themeColor="text1"/>
          <w:szCs w:val="21"/>
        </w:rPr>
        <w:t xml:space="preserve"> </w:t>
      </w:r>
    </w:p>
    <w:p w14:paraId="534C1266"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3.</w:t>
      </w:r>
      <w:r w:rsidRPr="00473486">
        <w:rPr>
          <w:rFonts w:eastAsiaTheme="minorEastAsia"/>
          <w:color w:val="000000" w:themeColor="text1"/>
          <w:szCs w:val="21"/>
        </w:rPr>
        <w:t>证券从业的含义遵从行业协会《证券业从业人员资格管理办法》的相关规定。</w:t>
      </w:r>
    </w:p>
    <w:p w14:paraId="286AB1B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202F9697"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CB0D6A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0728910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3A517045"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614CEB05"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5EE1047E"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14:paraId="7976424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8D92B81"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4E66D6FE"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A52B40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lastRenderedPageBreak/>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31D13DA5" w14:textId="77777777" w:rsidR="00881A82" w:rsidRPr="00473486" w:rsidRDefault="00881A82">
      <w:pPr>
        <w:spacing w:line="360" w:lineRule="auto"/>
        <w:ind w:firstLineChars="200" w:firstLine="480"/>
        <w:rPr>
          <w:rFonts w:eastAsiaTheme="minorEastAsia"/>
          <w:color w:val="000000" w:themeColor="text1"/>
          <w:sz w:val="24"/>
        </w:rPr>
      </w:pPr>
    </w:p>
    <w:p w14:paraId="4336B94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256DFC69"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0778FD0C"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以来，港股市场先是维持震荡，在季度末迎来大幅上涨。今年以来在国内经济延续弱复苏、全球进入大选年、地缘冲突频发的宏观背景下，资金风格更偏向防御，具备红利属性的资产占优。三季度末以来，随着美联储于</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日开启降息周期，为港股流动性打开空间，港股开始迎来上涨。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日以来，在国内连续的</w:t>
      </w:r>
      <w:r>
        <w:rPr>
          <w:rFonts w:eastAsiaTheme="minorEastAsia"/>
          <w:color w:val="000000" w:themeColor="text1"/>
          <w:szCs w:val="21"/>
        </w:rPr>
        <w:t>“</w:t>
      </w:r>
      <w:r>
        <w:rPr>
          <w:rFonts w:eastAsiaTheme="minorEastAsia"/>
          <w:color w:val="000000" w:themeColor="text1"/>
          <w:szCs w:val="21"/>
        </w:rPr>
        <w:t>政策组合拳</w:t>
      </w:r>
      <w:r>
        <w:rPr>
          <w:rFonts w:eastAsiaTheme="minorEastAsia"/>
          <w:color w:val="000000" w:themeColor="text1"/>
          <w:szCs w:val="21"/>
        </w:rPr>
        <w:t>”</w:t>
      </w:r>
      <w:r>
        <w:rPr>
          <w:rFonts w:eastAsiaTheme="minorEastAsia"/>
          <w:color w:val="000000" w:themeColor="text1"/>
          <w:szCs w:val="21"/>
        </w:rPr>
        <w:t>密集落地之下，市场风险偏好快速修复，港股迎来大幅反弹。本季度</w:t>
      </w:r>
      <w:r>
        <w:rPr>
          <w:rFonts w:eastAsiaTheme="minorEastAsia"/>
          <w:color w:val="000000" w:themeColor="text1"/>
          <w:szCs w:val="21"/>
        </w:rPr>
        <w:t>，本基金跟踪的标普港股通低波红利指数录得</w:t>
      </w:r>
      <w:r>
        <w:rPr>
          <w:rFonts w:eastAsiaTheme="minorEastAsia"/>
          <w:color w:val="000000" w:themeColor="text1"/>
          <w:szCs w:val="21"/>
        </w:rPr>
        <w:t>6%</w:t>
      </w:r>
      <w:r>
        <w:rPr>
          <w:rFonts w:eastAsiaTheme="minorEastAsia"/>
          <w:color w:val="000000" w:themeColor="text1"/>
          <w:szCs w:val="21"/>
        </w:rPr>
        <w:t>的涨幅。</w:t>
      </w:r>
    </w:p>
    <w:p w14:paraId="479071F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当前来看，海外地缘因素与美国大选不确定性较高，国内经济基本面延续修复，但地产去库周期仍是影响市场的一大因素。在海内外不确定因素扰动下，具有稳定分红能力和更高分红潜力的央国企或能帮助有效对冲市场波动，从而有望作为相对稳健的防御策略。叠加存款利率下调、市场回报预期较弱的背景下，高股息资产吸引力更加明显。本基金所跟踪的标普港股通低波红利指数用于衡量标普港股通指数内</w:t>
      </w:r>
      <w:r w:rsidRPr="00473486">
        <w:rPr>
          <w:rFonts w:eastAsiaTheme="minorEastAsia"/>
          <w:color w:val="000000" w:themeColor="text1"/>
          <w:szCs w:val="21"/>
        </w:rPr>
        <w:t>50</w:t>
      </w:r>
      <w:r w:rsidRPr="00473486">
        <w:rPr>
          <w:rFonts w:eastAsiaTheme="minorEastAsia"/>
          <w:color w:val="000000" w:themeColor="text1"/>
          <w:szCs w:val="21"/>
        </w:rPr>
        <w:t>只波幅最小、股息率高的股票的表现。整体指数以低估值行业为主要持仓特征，在安全边际上有望为投资者组合提供较好的保护。本基金继续采用完全复制的方法跟踪标的指数，争取跟踪误差保持在合理范围内。</w:t>
      </w:r>
    </w:p>
    <w:p w14:paraId="0B715BA4"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16D55190"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本报告期摩根标普港股通低波红利</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:9.03%</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:6.03%</w:t>
      </w:r>
      <w:r w:rsidRPr="00473486">
        <w:rPr>
          <w:rFonts w:eastAsiaTheme="minorEastAsia"/>
          <w:color w:val="000000" w:themeColor="text1"/>
          <w:szCs w:val="21"/>
        </w:rPr>
        <w:t>。</w:t>
      </w:r>
    </w:p>
    <w:p w14:paraId="10A6B085" w14:textId="77777777" w:rsidR="00881A82" w:rsidRPr="00473486" w:rsidRDefault="00881A82">
      <w:pPr>
        <w:spacing w:line="360" w:lineRule="auto"/>
        <w:ind w:firstLineChars="200" w:firstLine="480"/>
        <w:rPr>
          <w:rFonts w:eastAsiaTheme="minorEastAsia"/>
          <w:color w:val="000000" w:themeColor="text1"/>
          <w:sz w:val="24"/>
        </w:rPr>
      </w:pPr>
    </w:p>
    <w:p w14:paraId="65CEA26D"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14:paraId="433A0DB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252CB7FD"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3F9B399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251A0436" w14:textId="77777777">
        <w:trPr>
          <w:jc w:val="center"/>
        </w:trPr>
        <w:tc>
          <w:tcPr>
            <w:tcW w:w="720" w:type="dxa"/>
            <w:vAlign w:val="center"/>
          </w:tcPr>
          <w:p w14:paraId="40FCC65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3C52072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31E9D75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72F7BCF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47AA2188" w14:textId="77777777">
        <w:trPr>
          <w:jc w:val="center"/>
        </w:trPr>
        <w:tc>
          <w:tcPr>
            <w:tcW w:w="720" w:type="dxa"/>
            <w:vAlign w:val="center"/>
          </w:tcPr>
          <w:p w14:paraId="72205E6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1</w:t>
            </w:r>
          </w:p>
        </w:tc>
        <w:tc>
          <w:tcPr>
            <w:tcW w:w="3357" w:type="dxa"/>
            <w:vAlign w:val="center"/>
          </w:tcPr>
          <w:p w14:paraId="5ED2D75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599BB50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2,856,574,934.72</w:t>
            </w:r>
          </w:p>
        </w:tc>
        <w:tc>
          <w:tcPr>
            <w:tcW w:w="1843" w:type="dxa"/>
            <w:vAlign w:val="center"/>
          </w:tcPr>
          <w:p w14:paraId="457C2BD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95.96</w:t>
            </w:r>
          </w:p>
        </w:tc>
      </w:tr>
      <w:tr w:rsidR="00881A82" w:rsidRPr="00473486" w14:paraId="7A3F421D" w14:textId="77777777">
        <w:trPr>
          <w:jc w:val="center"/>
        </w:trPr>
        <w:tc>
          <w:tcPr>
            <w:tcW w:w="720" w:type="dxa"/>
            <w:vAlign w:val="center"/>
          </w:tcPr>
          <w:p w14:paraId="64D53D1D"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63967227"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1DA61C3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2,856,574,934.72</w:t>
            </w:r>
          </w:p>
        </w:tc>
        <w:tc>
          <w:tcPr>
            <w:tcW w:w="1843" w:type="dxa"/>
            <w:vAlign w:val="center"/>
          </w:tcPr>
          <w:p w14:paraId="0895EA0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95.96</w:t>
            </w:r>
          </w:p>
        </w:tc>
      </w:tr>
      <w:tr w:rsidR="00881A82" w:rsidRPr="00473486" w14:paraId="42B62E49" w14:textId="77777777">
        <w:trPr>
          <w:jc w:val="center"/>
        </w:trPr>
        <w:tc>
          <w:tcPr>
            <w:tcW w:w="720" w:type="dxa"/>
            <w:vAlign w:val="center"/>
          </w:tcPr>
          <w:p w14:paraId="67D8483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6F58808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3147037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C5C0EF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7108682" w14:textId="77777777">
        <w:trPr>
          <w:jc w:val="center"/>
        </w:trPr>
        <w:tc>
          <w:tcPr>
            <w:tcW w:w="720" w:type="dxa"/>
            <w:vAlign w:val="center"/>
          </w:tcPr>
          <w:p w14:paraId="621A6E39"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2B037A64"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3F7B279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72A9CC5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A5F7E32" w14:textId="77777777">
        <w:trPr>
          <w:jc w:val="center"/>
        </w:trPr>
        <w:tc>
          <w:tcPr>
            <w:tcW w:w="720" w:type="dxa"/>
            <w:vAlign w:val="center"/>
          </w:tcPr>
          <w:p w14:paraId="50051AE4"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6EE58BCB"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7730EB5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AC09D4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BEF7DC0" w14:textId="77777777">
        <w:trPr>
          <w:jc w:val="center"/>
        </w:trPr>
        <w:tc>
          <w:tcPr>
            <w:tcW w:w="720" w:type="dxa"/>
          </w:tcPr>
          <w:p w14:paraId="7C791B3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4D1682D2"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73A58AC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0C9E1F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F28B27E" w14:textId="77777777">
        <w:trPr>
          <w:jc w:val="center"/>
        </w:trPr>
        <w:tc>
          <w:tcPr>
            <w:tcW w:w="720" w:type="dxa"/>
            <w:vAlign w:val="center"/>
          </w:tcPr>
          <w:p w14:paraId="3DB81C9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5B2DD7F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08C4373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6A8804B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E5BC19E" w14:textId="77777777">
        <w:trPr>
          <w:jc w:val="center"/>
        </w:trPr>
        <w:tc>
          <w:tcPr>
            <w:tcW w:w="720" w:type="dxa"/>
            <w:vAlign w:val="center"/>
          </w:tcPr>
          <w:p w14:paraId="575494D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62DDF84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788BB52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2B0A94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D6D26F5" w14:textId="77777777">
        <w:trPr>
          <w:jc w:val="center"/>
        </w:trPr>
        <w:tc>
          <w:tcPr>
            <w:tcW w:w="720" w:type="dxa"/>
            <w:vAlign w:val="center"/>
          </w:tcPr>
          <w:p w14:paraId="511FB1A6"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47EF12D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39B253F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094B00DF"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56B56F1" w14:textId="77777777">
        <w:trPr>
          <w:jc w:val="center"/>
        </w:trPr>
        <w:tc>
          <w:tcPr>
            <w:tcW w:w="720" w:type="dxa"/>
            <w:vAlign w:val="center"/>
          </w:tcPr>
          <w:p w14:paraId="7F7C447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5D5B83A9"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1AD6E31B"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107,325,095.48</w:t>
            </w:r>
          </w:p>
        </w:tc>
        <w:tc>
          <w:tcPr>
            <w:tcW w:w="1843" w:type="dxa"/>
            <w:vAlign w:val="center"/>
          </w:tcPr>
          <w:p w14:paraId="40D34E3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3.61</w:t>
            </w:r>
          </w:p>
        </w:tc>
      </w:tr>
      <w:tr w:rsidR="00881A82" w:rsidRPr="00473486" w14:paraId="5EC98EF1" w14:textId="77777777">
        <w:trPr>
          <w:jc w:val="center"/>
        </w:trPr>
        <w:tc>
          <w:tcPr>
            <w:tcW w:w="720" w:type="dxa"/>
            <w:vAlign w:val="center"/>
          </w:tcPr>
          <w:p w14:paraId="01F3045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62F943B5"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0FA75E0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12,813,829.43</w:t>
            </w:r>
          </w:p>
        </w:tc>
        <w:tc>
          <w:tcPr>
            <w:tcW w:w="1843" w:type="dxa"/>
            <w:vAlign w:val="center"/>
          </w:tcPr>
          <w:p w14:paraId="22CE48B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0.43</w:t>
            </w:r>
          </w:p>
        </w:tc>
      </w:tr>
      <w:tr w:rsidR="00881A82" w:rsidRPr="00473486" w14:paraId="6CAA544A" w14:textId="77777777">
        <w:trPr>
          <w:jc w:val="center"/>
        </w:trPr>
        <w:tc>
          <w:tcPr>
            <w:tcW w:w="720" w:type="dxa"/>
            <w:vAlign w:val="center"/>
          </w:tcPr>
          <w:p w14:paraId="757D9F4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6F550817"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2C24405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2,976,713,859.63</w:t>
            </w:r>
          </w:p>
        </w:tc>
        <w:tc>
          <w:tcPr>
            <w:tcW w:w="1843" w:type="dxa"/>
            <w:vAlign w:val="center"/>
          </w:tcPr>
          <w:p w14:paraId="05C4DEF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5D707B50"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注：本基金本报告期末通过港股通交易机制投资的港股公允价值为人民币</w:t>
      </w:r>
      <w:r w:rsidRPr="00473486">
        <w:rPr>
          <w:rFonts w:eastAsiaTheme="minorEastAsia"/>
          <w:color w:val="000000" w:themeColor="text1"/>
          <w:szCs w:val="21"/>
        </w:rPr>
        <w:t>2,856,574,934.72</w:t>
      </w:r>
      <w:r w:rsidRPr="00473486">
        <w:rPr>
          <w:rFonts w:eastAsiaTheme="minorEastAsia"/>
          <w:color w:val="000000" w:themeColor="text1"/>
          <w:szCs w:val="21"/>
        </w:rPr>
        <w:t>元</w:t>
      </w:r>
      <w:r w:rsidRPr="00473486">
        <w:rPr>
          <w:rFonts w:eastAsiaTheme="minorEastAsia"/>
          <w:color w:val="000000" w:themeColor="text1"/>
          <w:szCs w:val="21"/>
        </w:rPr>
        <w:t>,</w:t>
      </w:r>
      <w:r w:rsidRPr="00473486">
        <w:rPr>
          <w:rFonts w:eastAsiaTheme="minorEastAsia"/>
          <w:color w:val="000000" w:themeColor="text1"/>
          <w:szCs w:val="21"/>
        </w:rPr>
        <w:t>占期末净值比例为</w:t>
      </w:r>
      <w:r w:rsidRPr="00473486">
        <w:rPr>
          <w:rFonts w:eastAsiaTheme="minorEastAsia"/>
          <w:color w:val="000000" w:themeColor="text1"/>
          <w:szCs w:val="21"/>
        </w:rPr>
        <w:t>98.22%</w:t>
      </w:r>
      <w:r w:rsidRPr="00473486">
        <w:rPr>
          <w:rFonts w:eastAsiaTheme="minorEastAsia"/>
          <w:color w:val="000000" w:themeColor="text1"/>
          <w:szCs w:val="21"/>
        </w:rPr>
        <w:t>。</w:t>
      </w:r>
    </w:p>
    <w:p w14:paraId="3F37A393"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48B0D6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758D06F2"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p w14:paraId="3E50616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本基金本报告期末未持有积极投资股票。</w:t>
      </w:r>
    </w:p>
    <w:p w14:paraId="2CB5B769"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p w14:paraId="524A0ECF" w14:textId="77777777" w:rsidR="00881A82" w:rsidRPr="00473486" w:rsidRDefault="007D1E3A">
      <w:pPr>
        <w:jc w:val="left"/>
        <w:rPr>
          <w:rFonts w:eastAsiaTheme="minorEastAsia"/>
          <w:color w:val="000000" w:themeColor="text1"/>
          <w:sz w:val="24"/>
        </w:rPr>
      </w:pPr>
      <w:r w:rsidRPr="00473486">
        <w:rPr>
          <w:rFonts w:eastAsiaTheme="minorEastAsia"/>
          <w:b/>
          <w:color w:val="000000" w:themeColor="text1"/>
          <w:kern w:val="0"/>
          <w:sz w:val="24"/>
        </w:rPr>
        <w:t>5.2.3</w:t>
      </w:r>
      <w:r w:rsidRPr="00473486">
        <w:rPr>
          <w:rFonts w:eastAsiaTheme="minor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881A82" w:rsidRPr="00473486" w14:paraId="18E92ABC" w14:textId="77777777">
        <w:trPr>
          <w:jc w:val="center"/>
        </w:trPr>
        <w:tc>
          <w:tcPr>
            <w:tcW w:w="2397" w:type="dxa"/>
            <w:vAlign w:val="center"/>
          </w:tcPr>
          <w:p w14:paraId="7E2708F7"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行业类别</w:t>
            </w:r>
          </w:p>
        </w:tc>
        <w:tc>
          <w:tcPr>
            <w:tcW w:w="3119" w:type="dxa"/>
            <w:vAlign w:val="center"/>
          </w:tcPr>
          <w:p w14:paraId="3A8FEFE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公允价值（人民币）</w:t>
            </w:r>
          </w:p>
        </w:tc>
        <w:tc>
          <w:tcPr>
            <w:tcW w:w="3118" w:type="dxa"/>
            <w:vAlign w:val="center"/>
          </w:tcPr>
          <w:p w14:paraId="3EF35AA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p>
        </w:tc>
      </w:tr>
      <w:tr w:rsidR="00027095" w14:paraId="560A0AC5" w14:textId="77777777">
        <w:trPr>
          <w:jc w:val="center"/>
        </w:trPr>
        <w:tc>
          <w:tcPr>
            <w:tcW w:w="2397" w:type="dxa"/>
            <w:vAlign w:val="center"/>
          </w:tcPr>
          <w:p w14:paraId="44192A04" w14:textId="77777777" w:rsidR="00027095" w:rsidRDefault="001C4AD5">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146DAC61" w14:textId="77777777" w:rsidR="00027095" w:rsidRDefault="001C4AD5">
            <w:pPr>
              <w:jc w:val="center"/>
            </w:pPr>
            <w:r>
              <w:rPr>
                <w:rFonts w:eastAsiaTheme="minorEastAsia"/>
                <w:color w:val="000000" w:themeColor="text1"/>
                <w:szCs w:val="21"/>
              </w:rPr>
              <w:t>87,622,051.11</w:t>
            </w:r>
          </w:p>
        </w:tc>
        <w:tc>
          <w:tcPr>
            <w:tcW w:w="3118" w:type="dxa"/>
            <w:vAlign w:val="center"/>
          </w:tcPr>
          <w:p w14:paraId="4E7ABF4F" w14:textId="77777777" w:rsidR="00027095" w:rsidRDefault="001C4AD5">
            <w:pPr>
              <w:jc w:val="center"/>
            </w:pPr>
            <w:r>
              <w:rPr>
                <w:rFonts w:eastAsiaTheme="minorEastAsia"/>
                <w:color w:val="000000" w:themeColor="text1"/>
                <w:szCs w:val="21"/>
              </w:rPr>
              <w:t>3.01</w:t>
            </w:r>
          </w:p>
        </w:tc>
      </w:tr>
      <w:tr w:rsidR="00027095" w14:paraId="0B285A31" w14:textId="77777777">
        <w:trPr>
          <w:jc w:val="center"/>
        </w:trPr>
        <w:tc>
          <w:tcPr>
            <w:tcW w:w="2397" w:type="dxa"/>
            <w:vAlign w:val="center"/>
          </w:tcPr>
          <w:p w14:paraId="5A4C15EF" w14:textId="77777777" w:rsidR="00027095" w:rsidRDefault="001C4AD5">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33F26105" w14:textId="77777777" w:rsidR="00027095" w:rsidRDefault="001C4AD5">
            <w:pPr>
              <w:jc w:val="center"/>
            </w:pPr>
            <w:r>
              <w:rPr>
                <w:rFonts w:eastAsiaTheme="minorEastAsia"/>
                <w:color w:val="000000" w:themeColor="text1"/>
                <w:szCs w:val="21"/>
              </w:rPr>
              <w:t>-</w:t>
            </w:r>
          </w:p>
        </w:tc>
        <w:tc>
          <w:tcPr>
            <w:tcW w:w="3118" w:type="dxa"/>
            <w:vAlign w:val="center"/>
          </w:tcPr>
          <w:p w14:paraId="7480C592" w14:textId="77777777" w:rsidR="00027095" w:rsidRDefault="001C4AD5">
            <w:pPr>
              <w:jc w:val="center"/>
            </w:pPr>
            <w:r>
              <w:rPr>
                <w:rFonts w:eastAsiaTheme="minorEastAsia"/>
                <w:color w:val="000000" w:themeColor="text1"/>
                <w:szCs w:val="21"/>
              </w:rPr>
              <w:t>-</w:t>
            </w:r>
          </w:p>
        </w:tc>
      </w:tr>
      <w:tr w:rsidR="00027095" w14:paraId="6FFB1845" w14:textId="77777777">
        <w:trPr>
          <w:jc w:val="center"/>
        </w:trPr>
        <w:tc>
          <w:tcPr>
            <w:tcW w:w="2397" w:type="dxa"/>
            <w:vAlign w:val="center"/>
          </w:tcPr>
          <w:p w14:paraId="2618CFDC" w14:textId="77777777" w:rsidR="00027095" w:rsidRDefault="001C4AD5">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20EAFE65" w14:textId="77777777" w:rsidR="00027095" w:rsidRDefault="001C4AD5">
            <w:pPr>
              <w:jc w:val="center"/>
            </w:pPr>
            <w:r>
              <w:rPr>
                <w:rFonts w:eastAsiaTheme="minorEastAsia"/>
                <w:color w:val="000000" w:themeColor="text1"/>
                <w:szCs w:val="21"/>
              </w:rPr>
              <w:t>143,660,846.31</w:t>
            </w:r>
          </w:p>
        </w:tc>
        <w:tc>
          <w:tcPr>
            <w:tcW w:w="3118" w:type="dxa"/>
            <w:vAlign w:val="center"/>
          </w:tcPr>
          <w:p w14:paraId="722E2980" w14:textId="77777777" w:rsidR="00027095" w:rsidRDefault="001C4AD5">
            <w:pPr>
              <w:jc w:val="center"/>
            </w:pPr>
            <w:r>
              <w:rPr>
                <w:rFonts w:eastAsiaTheme="minorEastAsia"/>
                <w:color w:val="000000" w:themeColor="text1"/>
                <w:szCs w:val="21"/>
              </w:rPr>
              <w:t>4.94</w:t>
            </w:r>
          </w:p>
        </w:tc>
      </w:tr>
      <w:tr w:rsidR="00027095" w14:paraId="44568C0D" w14:textId="77777777">
        <w:trPr>
          <w:jc w:val="center"/>
        </w:trPr>
        <w:tc>
          <w:tcPr>
            <w:tcW w:w="2397" w:type="dxa"/>
            <w:vAlign w:val="center"/>
          </w:tcPr>
          <w:p w14:paraId="0EDF0A2D" w14:textId="77777777" w:rsidR="00027095" w:rsidRDefault="001C4AD5">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1D96249C" w14:textId="77777777" w:rsidR="00027095" w:rsidRDefault="001C4AD5">
            <w:pPr>
              <w:jc w:val="center"/>
            </w:pPr>
            <w:r>
              <w:rPr>
                <w:rFonts w:eastAsiaTheme="minorEastAsia"/>
                <w:color w:val="000000" w:themeColor="text1"/>
                <w:szCs w:val="21"/>
              </w:rPr>
              <w:t>246,776,885.08</w:t>
            </w:r>
          </w:p>
        </w:tc>
        <w:tc>
          <w:tcPr>
            <w:tcW w:w="3118" w:type="dxa"/>
            <w:vAlign w:val="center"/>
          </w:tcPr>
          <w:p w14:paraId="24073A5B" w14:textId="77777777" w:rsidR="00027095" w:rsidRDefault="001C4AD5">
            <w:pPr>
              <w:jc w:val="center"/>
            </w:pPr>
            <w:r>
              <w:rPr>
                <w:rFonts w:eastAsiaTheme="minorEastAsia"/>
                <w:color w:val="000000" w:themeColor="text1"/>
                <w:szCs w:val="21"/>
              </w:rPr>
              <w:t>8.49</w:t>
            </w:r>
          </w:p>
        </w:tc>
      </w:tr>
      <w:tr w:rsidR="00027095" w14:paraId="225D8A74" w14:textId="77777777">
        <w:trPr>
          <w:jc w:val="center"/>
        </w:trPr>
        <w:tc>
          <w:tcPr>
            <w:tcW w:w="2397" w:type="dxa"/>
            <w:vAlign w:val="center"/>
          </w:tcPr>
          <w:p w14:paraId="4747A424" w14:textId="77777777" w:rsidR="00027095" w:rsidRDefault="001C4AD5">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2270D59E" w14:textId="77777777" w:rsidR="00027095" w:rsidRDefault="001C4AD5">
            <w:pPr>
              <w:jc w:val="center"/>
            </w:pPr>
            <w:r>
              <w:rPr>
                <w:rFonts w:eastAsiaTheme="minorEastAsia"/>
                <w:color w:val="000000" w:themeColor="text1"/>
                <w:szCs w:val="21"/>
              </w:rPr>
              <w:t>848,432,636.77</w:t>
            </w:r>
          </w:p>
        </w:tc>
        <w:tc>
          <w:tcPr>
            <w:tcW w:w="3118" w:type="dxa"/>
            <w:vAlign w:val="center"/>
          </w:tcPr>
          <w:p w14:paraId="5DBFCE63" w14:textId="77777777" w:rsidR="00027095" w:rsidRDefault="001C4AD5">
            <w:pPr>
              <w:jc w:val="center"/>
            </w:pPr>
            <w:r>
              <w:rPr>
                <w:rFonts w:eastAsiaTheme="minorEastAsia"/>
                <w:color w:val="000000" w:themeColor="text1"/>
                <w:szCs w:val="21"/>
              </w:rPr>
              <w:t>29.17</w:t>
            </w:r>
          </w:p>
        </w:tc>
      </w:tr>
      <w:tr w:rsidR="00027095" w14:paraId="5B3B76B3" w14:textId="77777777">
        <w:trPr>
          <w:jc w:val="center"/>
        </w:trPr>
        <w:tc>
          <w:tcPr>
            <w:tcW w:w="2397" w:type="dxa"/>
            <w:vAlign w:val="center"/>
          </w:tcPr>
          <w:p w14:paraId="7995397D" w14:textId="77777777" w:rsidR="00027095" w:rsidRDefault="001C4AD5">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6CCB56D6" w14:textId="77777777" w:rsidR="00027095" w:rsidRDefault="001C4AD5">
            <w:pPr>
              <w:jc w:val="center"/>
            </w:pPr>
            <w:r>
              <w:rPr>
                <w:rFonts w:eastAsiaTheme="minorEastAsia"/>
                <w:color w:val="000000" w:themeColor="text1"/>
                <w:szCs w:val="21"/>
              </w:rPr>
              <w:t>39,607,771.09</w:t>
            </w:r>
          </w:p>
        </w:tc>
        <w:tc>
          <w:tcPr>
            <w:tcW w:w="3118" w:type="dxa"/>
            <w:vAlign w:val="center"/>
          </w:tcPr>
          <w:p w14:paraId="4FCF3545" w14:textId="77777777" w:rsidR="00027095" w:rsidRDefault="001C4AD5">
            <w:pPr>
              <w:jc w:val="center"/>
            </w:pPr>
            <w:r>
              <w:rPr>
                <w:rFonts w:eastAsiaTheme="minorEastAsia"/>
                <w:color w:val="000000" w:themeColor="text1"/>
                <w:szCs w:val="21"/>
              </w:rPr>
              <w:t>1.36</w:t>
            </w:r>
          </w:p>
        </w:tc>
      </w:tr>
      <w:tr w:rsidR="00027095" w14:paraId="1FE67CB9" w14:textId="77777777">
        <w:trPr>
          <w:jc w:val="center"/>
        </w:trPr>
        <w:tc>
          <w:tcPr>
            <w:tcW w:w="2397" w:type="dxa"/>
            <w:vAlign w:val="center"/>
          </w:tcPr>
          <w:p w14:paraId="13459AAE" w14:textId="77777777" w:rsidR="00027095" w:rsidRDefault="001C4AD5">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704BBD08" w14:textId="77777777" w:rsidR="00027095" w:rsidRDefault="001C4AD5">
            <w:pPr>
              <w:jc w:val="center"/>
            </w:pPr>
            <w:r>
              <w:rPr>
                <w:rFonts w:eastAsiaTheme="minorEastAsia"/>
                <w:color w:val="000000" w:themeColor="text1"/>
                <w:szCs w:val="21"/>
              </w:rPr>
              <w:t>450,603,009.44</w:t>
            </w:r>
          </w:p>
        </w:tc>
        <w:tc>
          <w:tcPr>
            <w:tcW w:w="3118" w:type="dxa"/>
            <w:vAlign w:val="center"/>
          </w:tcPr>
          <w:p w14:paraId="249FC21C" w14:textId="77777777" w:rsidR="00027095" w:rsidRDefault="001C4AD5">
            <w:pPr>
              <w:jc w:val="center"/>
            </w:pPr>
            <w:r>
              <w:rPr>
                <w:rFonts w:eastAsiaTheme="minorEastAsia"/>
                <w:color w:val="000000" w:themeColor="text1"/>
                <w:szCs w:val="21"/>
              </w:rPr>
              <w:t>15.49</w:t>
            </w:r>
          </w:p>
        </w:tc>
      </w:tr>
      <w:tr w:rsidR="00027095" w14:paraId="3F6A9A64" w14:textId="77777777">
        <w:trPr>
          <w:jc w:val="center"/>
        </w:trPr>
        <w:tc>
          <w:tcPr>
            <w:tcW w:w="2397" w:type="dxa"/>
            <w:vAlign w:val="center"/>
          </w:tcPr>
          <w:p w14:paraId="684B82CC" w14:textId="77777777" w:rsidR="00027095" w:rsidRDefault="001C4AD5">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33E5B1CA" w14:textId="77777777" w:rsidR="00027095" w:rsidRDefault="001C4AD5">
            <w:pPr>
              <w:jc w:val="center"/>
            </w:pPr>
            <w:r>
              <w:rPr>
                <w:rFonts w:eastAsiaTheme="minorEastAsia"/>
                <w:color w:val="000000" w:themeColor="text1"/>
                <w:szCs w:val="21"/>
              </w:rPr>
              <w:t>-</w:t>
            </w:r>
          </w:p>
        </w:tc>
        <w:tc>
          <w:tcPr>
            <w:tcW w:w="3118" w:type="dxa"/>
            <w:vAlign w:val="center"/>
          </w:tcPr>
          <w:p w14:paraId="0DE25885" w14:textId="77777777" w:rsidR="00027095" w:rsidRDefault="001C4AD5">
            <w:pPr>
              <w:jc w:val="center"/>
            </w:pPr>
            <w:r>
              <w:rPr>
                <w:rFonts w:eastAsiaTheme="minorEastAsia"/>
                <w:color w:val="000000" w:themeColor="text1"/>
                <w:szCs w:val="21"/>
              </w:rPr>
              <w:t>-</w:t>
            </w:r>
          </w:p>
        </w:tc>
      </w:tr>
      <w:tr w:rsidR="00027095" w14:paraId="26262554" w14:textId="77777777">
        <w:trPr>
          <w:jc w:val="center"/>
        </w:trPr>
        <w:tc>
          <w:tcPr>
            <w:tcW w:w="2397" w:type="dxa"/>
            <w:vAlign w:val="center"/>
          </w:tcPr>
          <w:p w14:paraId="77B1D161" w14:textId="77777777" w:rsidR="00027095" w:rsidRDefault="001C4AD5">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7BBA7B62" w14:textId="77777777" w:rsidR="00027095" w:rsidRDefault="001C4AD5">
            <w:pPr>
              <w:jc w:val="center"/>
            </w:pPr>
            <w:r>
              <w:rPr>
                <w:rFonts w:eastAsiaTheme="minorEastAsia"/>
                <w:color w:val="000000" w:themeColor="text1"/>
                <w:szCs w:val="21"/>
              </w:rPr>
              <w:t>209,316,393.21</w:t>
            </w:r>
          </w:p>
        </w:tc>
        <w:tc>
          <w:tcPr>
            <w:tcW w:w="3118" w:type="dxa"/>
            <w:vAlign w:val="center"/>
          </w:tcPr>
          <w:p w14:paraId="3C1C5643" w14:textId="77777777" w:rsidR="00027095" w:rsidRDefault="001C4AD5">
            <w:pPr>
              <w:jc w:val="center"/>
            </w:pPr>
            <w:r>
              <w:rPr>
                <w:rFonts w:eastAsiaTheme="minorEastAsia"/>
                <w:color w:val="000000" w:themeColor="text1"/>
                <w:szCs w:val="21"/>
              </w:rPr>
              <w:t>7.20</w:t>
            </w:r>
          </w:p>
        </w:tc>
      </w:tr>
      <w:tr w:rsidR="00027095" w14:paraId="605A0DE6" w14:textId="77777777">
        <w:trPr>
          <w:jc w:val="center"/>
        </w:trPr>
        <w:tc>
          <w:tcPr>
            <w:tcW w:w="2397" w:type="dxa"/>
            <w:vAlign w:val="center"/>
          </w:tcPr>
          <w:p w14:paraId="2072CAF4" w14:textId="77777777" w:rsidR="00027095" w:rsidRDefault="001C4AD5">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6EE0B865" w14:textId="77777777" w:rsidR="00027095" w:rsidRDefault="001C4AD5">
            <w:pPr>
              <w:jc w:val="center"/>
            </w:pPr>
            <w:r>
              <w:rPr>
                <w:rFonts w:eastAsiaTheme="minorEastAsia"/>
                <w:color w:val="000000" w:themeColor="text1"/>
                <w:szCs w:val="21"/>
              </w:rPr>
              <w:t>326,667,281.81</w:t>
            </w:r>
          </w:p>
        </w:tc>
        <w:tc>
          <w:tcPr>
            <w:tcW w:w="3118" w:type="dxa"/>
            <w:vAlign w:val="center"/>
          </w:tcPr>
          <w:p w14:paraId="3E0EFF04" w14:textId="77777777" w:rsidR="00027095" w:rsidRDefault="001C4AD5">
            <w:pPr>
              <w:jc w:val="center"/>
            </w:pPr>
            <w:r>
              <w:rPr>
                <w:rFonts w:eastAsiaTheme="minorEastAsia"/>
                <w:color w:val="000000" w:themeColor="text1"/>
                <w:szCs w:val="21"/>
              </w:rPr>
              <w:t>11.23</w:t>
            </w:r>
          </w:p>
        </w:tc>
      </w:tr>
      <w:tr w:rsidR="00027095" w14:paraId="195D5579" w14:textId="77777777">
        <w:trPr>
          <w:jc w:val="center"/>
        </w:trPr>
        <w:tc>
          <w:tcPr>
            <w:tcW w:w="2397" w:type="dxa"/>
            <w:vAlign w:val="center"/>
          </w:tcPr>
          <w:p w14:paraId="79D41B66" w14:textId="77777777" w:rsidR="00027095" w:rsidRDefault="001C4AD5">
            <w:pPr>
              <w:jc w:val="center"/>
            </w:pPr>
            <w:r>
              <w:rPr>
                <w:rFonts w:eastAsiaTheme="minorEastAsia"/>
                <w:color w:val="000000" w:themeColor="text1"/>
                <w:szCs w:val="21"/>
              </w:rPr>
              <w:lastRenderedPageBreak/>
              <w:t>K</w:t>
            </w:r>
            <w:r>
              <w:rPr>
                <w:rFonts w:eastAsiaTheme="minorEastAsia"/>
                <w:color w:val="000000" w:themeColor="text1"/>
                <w:szCs w:val="21"/>
              </w:rPr>
              <w:t>房地产</w:t>
            </w:r>
          </w:p>
        </w:tc>
        <w:tc>
          <w:tcPr>
            <w:tcW w:w="3119" w:type="dxa"/>
            <w:vAlign w:val="center"/>
          </w:tcPr>
          <w:p w14:paraId="592C1901" w14:textId="77777777" w:rsidR="00027095" w:rsidRDefault="001C4AD5">
            <w:pPr>
              <w:jc w:val="center"/>
            </w:pPr>
            <w:r>
              <w:rPr>
                <w:rFonts w:eastAsiaTheme="minorEastAsia"/>
                <w:color w:val="000000" w:themeColor="text1"/>
                <w:szCs w:val="21"/>
              </w:rPr>
              <w:t>503,888,059.90</w:t>
            </w:r>
          </w:p>
        </w:tc>
        <w:tc>
          <w:tcPr>
            <w:tcW w:w="3118" w:type="dxa"/>
            <w:vAlign w:val="center"/>
          </w:tcPr>
          <w:p w14:paraId="0BC82C6F" w14:textId="77777777" w:rsidR="00027095" w:rsidRDefault="001C4AD5">
            <w:pPr>
              <w:jc w:val="center"/>
            </w:pPr>
            <w:r>
              <w:rPr>
                <w:rFonts w:eastAsiaTheme="minorEastAsia"/>
                <w:color w:val="000000" w:themeColor="text1"/>
                <w:szCs w:val="21"/>
              </w:rPr>
              <w:t>17.33</w:t>
            </w:r>
          </w:p>
        </w:tc>
      </w:tr>
      <w:tr w:rsidR="00881A82" w:rsidRPr="00473486" w14:paraId="7E56CB23" w14:textId="77777777">
        <w:trPr>
          <w:jc w:val="center"/>
        </w:trPr>
        <w:tc>
          <w:tcPr>
            <w:tcW w:w="2397" w:type="dxa"/>
            <w:vAlign w:val="center"/>
          </w:tcPr>
          <w:p w14:paraId="2CA4D0C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合计</w:t>
            </w:r>
          </w:p>
        </w:tc>
        <w:tc>
          <w:tcPr>
            <w:tcW w:w="3119" w:type="dxa"/>
            <w:vAlign w:val="center"/>
          </w:tcPr>
          <w:p w14:paraId="49EB647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2,856,574,934.72</w:t>
            </w:r>
          </w:p>
        </w:tc>
        <w:tc>
          <w:tcPr>
            <w:tcW w:w="3118" w:type="dxa"/>
            <w:vAlign w:val="center"/>
          </w:tcPr>
          <w:p w14:paraId="667A568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98.22</w:t>
            </w:r>
          </w:p>
        </w:tc>
      </w:tr>
    </w:tbl>
    <w:p w14:paraId="62BC0A34"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62E05CE8"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54591F53"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1CBE8FF9" w14:textId="77777777">
        <w:tc>
          <w:tcPr>
            <w:tcW w:w="817" w:type="dxa"/>
            <w:vAlign w:val="center"/>
          </w:tcPr>
          <w:p w14:paraId="7A13945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5C2E714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7CBC4F9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5F46206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20570E6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46CF60B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027095" w14:paraId="1AB30DB6" w14:textId="77777777">
        <w:tc>
          <w:tcPr>
            <w:tcW w:w="817" w:type="dxa"/>
            <w:vAlign w:val="center"/>
          </w:tcPr>
          <w:p w14:paraId="55A5F31C" w14:textId="77777777" w:rsidR="00027095" w:rsidRDefault="001C4AD5">
            <w:pPr>
              <w:jc w:val="center"/>
            </w:pPr>
            <w:r>
              <w:rPr>
                <w:rFonts w:eastAsiaTheme="minorEastAsia"/>
                <w:color w:val="000000" w:themeColor="text1"/>
                <w:szCs w:val="21"/>
              </w:rPr>
              <w:t>1</w:t>
            </w:r>
          </w:p>
        </w:tc>
        <w:tc>
          <w:tcPr>
            <w:tcW w:w="1276" w:type="dxa"/>
            <w:vAlign w:val="center"/>
          </w:tcPr>
          <w:p w14:paraId="5A6C6717" w14:textId="77777777" w:rsidR="00027095" w:rsidRDefault="001C4AD5">
            <w:pPr>
              <w:jc w:val="center"/>
            </w:pPr>
            <w:r>
              <w:rPr>
                <w:rFonts w:eastAsiaTheme="minorEastAsia"/>
                <w:color w:val="000000" w:themeColor="text1"/>
                <w:szCs w:val="21"/>
              </w:rPr>
              <w:t>00101</w:t>
            </w:r>
          </w:p>
        </w:tc>
        <w:tc>
          <w:tcPr>
            <w:tcW w:w="1701" w:type="dxa"/>
            <w:vAlign w:val="center"/>
          </w:tcPr>
          <w:p w14:paraId="0BBBC91B" w14:textId="77777777" w:rsidR="00027095" w:rsidRDefault="001C4AD5">
            <w:pPr>
              <w:jc w:val="center"/>
            </w:pPr>
            <w:r>
              <w:rPr>
                <w:rFonts w:eastAsiaTheme="minorEastAsia"/>
                <w:color w:val="000000" w:themeColor="text1"/>
                <w:szCs w:val="21"/>
              </w:rPr>
              <w:t>恒隆地产</w:t>
            </w:r>
          </w:p>
        </w:tc>
        <w:tc>
          <w:tcPr>
            <w:tcW w:w="1276" w:type="dxa"/>
            <w:vAlign w:val="center"/>
          </w:tcPr>
          <w:p w14:paraId="3E1ECBED" w14:textId="77777777" w:rsidR="00027095" w:rsidRDefault="001C4AD5">
            <w:pPr>
              <w:jc w:val="right"/>
            </w:pPr>
            <w:r>
              <w:rPr>
                <w:rFonts w:eastAsiaTheme="minorEastAsia"/>
                <w:color w:val="000000" w:themeColor="text1"/>
                <w:szCs w:val="21"/>
              </w:rPr>
              <w:t>15,213,000.00</w:t>
            </w:r>
          </w:p>
        </w:tc>
        <w:tc>
          <w:tcPr>
            <w:tcW w:w="1842" w:type="dxa"/>
            <w:vAlign w:val="center"/>
          </w:tcPr>
          <w:p w14:paraId="3E822900" w14:textId="77777777" w:rsidR="00027095" w:rsidRDefault="001C4AD5">
            <w:pPr>
              <w:jc w:val="right"/>
            </w:pPr>
            <w:r>
              <w:rPr>
                <w:rFonts w:eastAsiaTheme="minorEastAsia"/>
                <w:color w:val="000000" w:themeColor="text1"/>
                <w:szCs w:val="21"/>
              </w:rPr>
              <w:t>104,126,688.34</w:t>
            </w:r>
          </w:p>
        </w:tc>
        <w:tc>
          <w:tcPr>
            <w:tcW w:w="1616" w:type="dxa"/>
            <w:vAlign w:val="center"/>
          </w:tcPr>
          <w:p w14:paraId="226BC00A" w14:textId="77777777" w:rsidR="00027095" w:rsidRDefault="001C4AD5">
            <w:pPr>
              <w:jc w:val="right"/>
            </w:pPr>
            <w:r>
              <w:rPr>
                <w:rFonts w:eastAsiaTheme="minorEastAsia"/>
                <w:color w:val="000000" w:themeColor="text1"/>
                <w:szCs w:val="21"/>
              </w:rPr>
              <w:t>3.58</w:t>
            </w:r>
          </w:p>
        </w:tc>
      </w:tr>
      <w:tr w:rsidR="00027095" w14:paraId="40ED6230" w14:textId="77777777">
        <w:tc>
          <w:tcPr>
            <w:tcW w:w="817" w:type="dxa"/>
            <w:vAlign w:val="center"/>
          </w:tcPr>
          <w:p w14:paraId="6221BCEE" w14:textId="77777777" w:rsidR="00027095" w:rsidRDefault="001C4AD5">
            <w:pPr>
              <w:jc w:val="center"/>
            </w:pPr>
            <w:r>
              <w:rPr>
                <w:rFonts w:eastAsiaTheme="minorEastAsia"/>
                <w:color w:val="000000" w:themeColor="text1"/>
                <w:szCs w:val="21"/>
              </w:rPr>
              <w:t>2</w:t>
            </w:r>
          </w:p>
        </w:tc>
        <w:tc>
          <w:tcPr>
            <w:tcW w:w="1276" w:type="dxa"/>
            <w:vAlign w:val="center"/>
          </w:tcPr>
          <w:p w14:paraId="4359F10B" w14:textId="77777777" w:rsidR="00027095" w:rsidRDefault="001C4AD5">
            <w:pPr>
              <w:jc w:val="center"/>
            </w:pPr>
            <w:r>
              <w:rPr>
                <w:rFonts w:eastAsiaTheme="minorEastAsia"/>
                <w:color w:val="000000" w:themeColor="text1"/>
                <w:szCs w:val="21"/>
              </w:rPr>
              <w:t>03360</w:t>
            </w:r>
          </w:p>
        </w:tc>
        <w:tc>
          <w:tcPr>
            <w:tcW w:w="1701" w:type="dxa"/>
            <w:vAlign w:val="center"/>
          </w:tcPr>
          <w:p w14:paraId="6C811320" w14:textId="77777777" w:rsidR="00027095" w:rsidRDefault="001C4AD5">
            <w:pPr>
              <w:jc w:val="center"/>
            </w:pPr>
            <w:r>
              <w:rPr>
                <w:rFonts w:eastAsiaTheme="minorEastAsia"/>
                <w:color w:val="000000" w:themeColor="text1"/>
                <w:szCs w:val="21"/>
              </w:rPr>
              <w:t>远东宏信</w:t>
            </w:r>
          </w:p>
        </w:tc>
        <w:tc>
          <w:tcPr>
            <w:tcW w:w="1276" w:type="dxa"/>
            <w:vAlign w:val="center"/>
          </w:tcPr>
          <w:p w14:paraId="2EC7B48D" w14:textId="77777777" w:rsidR="00027095" w:rsidRDefault="001C4AD5">
            <w:pPr>
              <w:jc w:val="right"/>
            </w:pPr>
            <w:r>
              <w:rPr>
                <w:rFonts w:eastAsiaTheme="minorEastAsia"/>
                <w:color w:val="000000" w:themeColor="text1"/>
                <w:szCs w:val="21"/>
              </w:rPr>
              <w:t>16,429,000.00</w:t>
            </w:r>
          </w:p>
        </w:tc>
        <w:tc>
          <w:tcPr>
            <w:tcW w:w="1842" w:type="dxa"/>
            <w:vAlign w:val="center"/>
          </w:tcPr>
          <w:p w14:paraId="3E665DDD" w14:textId="77777777" w:rsidR="00027095" w:rsidRDefault="001C4AD5">
            <w:pPr>
              <w:jc w:val="right"/>
            </w:pPr>
            <w:r>
              <w:rPr>
                <w:rFonts w:eastAsiaTheme="minorEastAsia"/>
                <w:color w:val="000000" w:themeColor="text1"/>
                <w:szCs w:val="21"/>
              </w:rPr>
              <w:t>84,300,240.01</w:t>
            </w:r>
          </w:p>
        </w:tc>
        <w:tc>
          <w:tcPr>
            <w:tcW w:w="1616" w:type="dxa"/>
            <w:vAlign w:val="center"/>
          </w:tcPr>
          <w:p w14:paraId="782BBC8D" w14:textId="77777777" w:rsidR="00027095" w:rsidRDefault="001C4AD5">
            <w:pPr>
              <w:jc w:val="right"/>
            </w:pPr>
            <w:r>
              <w:rPr>
                <w:rFonts w:eastAsiaTheme="minorEastAsia"/>
                <w:color w:val="000000" w:themeColor="text1"/>
                <w:szCs w:val="21"/>
              </w:rPr>
              <w:t>2.90</w:t>
            </w:r>
          </w:p>
        </w:tc>
      </w:tr>
      <w:tr w:rsidR="00027095" w14:paraId="1D94380A" w14:textId="77777777">
        <w:tc>
          <w:tcPr>
            <w:tcW w:w="817" w:type="dxa"/>
            <w:vAlign w:val="center"/>
          </w:tcPr>
          <w:p w14:paraId="6DDC93BE" w14:textId="77777777" w:rsidR="00027095" w:rsidRDefault="001C4AD5">
            <w:pPr>
              <w:jc w:val="center"/>
            </w:pPr>
            <w:r>
              <w:rPr>
                <w:rFonts w:eastAsiaTheme="minorEastAsia"/>
                <w:color w:val="000000" w:themeColor="text1"/>
                <w:szCs w:val="21"/>
              </w:rPr>
              <w:t>3</w:t>
            </w:r>
          </w:p>
        </w:tc>
        <w:tc>
          <w:tcPr>
            <w:tcW w:w="1276" w:type="dxa"/>
            <w:vAlign w:val="center"/>
          </w:tcPr>
          <w:p w14:paraId="421CC4BA" w14:textId="77777777" w:rsidR="00027095" w:rsidRDefault="001C4AD5">
            <w:pPr>
              <w:jc w:val="center"/>
            </w:pPr>
            <w:r>
              <w:rPr>
                <w:rFonts w:eastAsiaTheme="minorEastAsia"/>
                <w:color w:val="000000" w:themeColor="text1"/>
                <w:szCs w:val="21"/>
              </w:rPr>
              <w:t>00008</w:t>
            </w:r>
          </w:p>
        </w:tc>
        <w:tc>
          <w:tcPr>
            <w:tcW w:w="1701" w:type="dxa"/>
            <w:vAlign w:val="center"/>
          </w:tcPr>
          <w:p w14:paraId="64B3F234" w14:textId="77777777" w:rsidR="00027095" w:rsidRDefault="001C4AD5">
            <w:pPr>
              <w:jc w:val="center"/>
            </w:pPr>
            <w:r>
              <w:rPr>
                <w:rFonts w:eastAsiaTheme="minorEastAsia"/>
                <w:color w:val="000000" w:themeColor="text1"/>
                <w:szCs w:val="21"/>
              </w:rPr>
              <w:t>电讯盈科</w:t>
            </w:r>
          </w:p>
        </w:tc>
        <w:tc>
          <w:tcPr>
            <w:tcW w:w="1276" w:type="dxa"/>
            <w:vAlign w:val="center"/>
          </w:tcPr>
          <w:p w14:paraId="665F9E8A" w14:textId="77777777" w:rsidR="00027095" w:rsidRDefault="001C4AD5">
            <w:pPr>
              <w:jc w:val="right"/>
            </w:pPr>
            <w:r>
              <w:rPr>
                <w:rFonts w:eastAsiaTheme="minorEastAsia"/>
                <w:color w:val="000000" w:themeColor="text1"/>
                <w:szCs w:val="21"/>
              </w:rPr>
              <w:t>21,675,000.00</w:t>
            </w:r>
          </w:p>
        </w:tc>
        <w:tc>
          <w:tcPr>
            <w:tcW w:w="1842" w:type="dxa"/>
            <w:vAlign w:val="center"/>
          </w:tcPr>
          <w:p w14:paraId="7D51F250" w14:textId="77777777" w:rsidR="00027095" w:rsidRDefault="001C4AD5">
            <w:pPr>
              <w:jc w:val="right"/>
            </w:pPr>
            <w:r>
              <w:rPr>
                <w:rFonts w:eastAsiaTheme="minorEastAsia"/>
                <w:color w:val="000000" w:themeColor="text1"/>
                <w:szCs w:val="21"/>
              </w:rPr>
              <w:t>83,462,693.53</w:t>
            </w:r>
          </w:p>
        </w:tc>
        <w:tc>
          <w:tcPr>
            <w:tcW w:w="1616" w:type="dxa"/>
            <w:vAlign w:val="center"/>
          </w:tcPr>
          <w:p w14:paraId="4BC9F3A1" w14:textId="77777777" w:rsidR="00027095" w:rsidRDefault="001C4AD5">
            <w:pPr>
              <w:jc w:val="right"/>
            </w:pPr>
            <w:r>
              <w:rPr>
                <w:rFonts w:eastAsiaTheme="minorEastAsia"/>
                <w:color w:val="000000" w:themeColor="text1"/>
                <w:szCs w:val="21"/>
              </w:rPr>
              <w:t>2.87</w:t>
            </w:r>
          </w:p>
        </w:tc>
      </w:tr>
      <w:tr w:rsidR="00027095" w14:paraId="37F3FC98" w14:textId="77777777">
        <w:tc>
          <w:tcPr>
            <w:tcW w:w="817" w:type="dxa"/>
            <w:vAlign w:val="center"/>
          </w:tcPr>
          <w:p w14:paraId="5A369539" w14:textId="77777777" w:rsidR="00027095" w:rsidRDefault="001C4AD5">
            <w:pPr>
              <w:jc w:val="center"/>
            </w:pPr>
            <w:r>
              <w:rPr>
                <w:rFonts w:eastAsiaTheme="minorEastAsia"/>
                <w:color w:val="000000" w:themeColor="text1"/>
                <w:szCs w:val="21"/>
              </w:rPr>
              <w:t>4</w:t>
            </w:r>
          </w:p>
        </w:tc>
        <w:tc>
          <w:tcPr>
            <w:tcW w:w="1276" w:type="dxa"/>
            <w:vAlign w:val="center"/>
          </w:tcPr>
          <w:p w14:paraId="7B079162" w14:textId="77777777" w:rsidR="00027095" w:rsidRDefault="001C4AD5">
            <w:pPr>
              <w:jc w:val="center"/>
            </w:pPr>
            <w:r>
              <w:rPr>
                <w:rFonts w:eastAsiaTheme="minorEastAsia"/>
                <w:color w:val="000000" w:themeColor="text1"/>
                <w:szCs w:val="21"/>
              </w:rPr>
              <w:t>01972</w:t>
            </w:r>
          </w:p>
        </w:tc>
        <w:tc>
          <w:tcPr>
            <w:tcW w:w="1701" w:type="dxa"/>
            <w:vAlign w:val="center"/>
          </w:tcPr>
          <w:p w14:paraId="6C614918" w14:textId="77777777" w:rsidR="00027095" w:rsidRDefault="001C4AD5">
            <w:pPr>
              <w:jc w:val="center"/>
            </w:pPr>
            <w:r>
              <w:rPr>
                <w:rFonts w:eastAsiaTheme="minorEastAsia"/>
                <w:color w:val="000000" w:themeColor="text1"/>
                <w:szCs w:val="21"/>
              </w:rPr>
              <w:t>太古地产</w:t>
            </w:r>
          </w:p>
        </w:tc>
        <w:tc>
          <w:tcPr>
            <w:tcW w:w="1276" w:type="dxa"/>
            <w:vAlign w:val="center"/>
          </w:tcPr>
          <w:p w14:paraId="6B3E1E85" w14:textId="77777777" w:rsidR="00027095" w:rsidRDefault="001C4AD5">
            <w:pPr>
              <w:jc w:val="right"/>
            </w:pPr>
            <w:r>
              <w:rPr>
                <w:rFonts w:eastAsiaTheme="minorEastAsia"/>
                <w:color w:val="000000" w:themeColor="text1"/>
                <w:szCs w:val="21"/>
              </w:rPr>
              <w:t>5,678,400.00</w:t>
            </w:r>
          </w:p>
        </w:tc>
        <w:tc>
          <w:tcPr>
            <w:tcW w:w="1842" w:type="dxa"/>
            <w:vAlign w:val="center"/>
          </w:tcPr>
          <w:p w14:paraId="4925B772" w14:textId="77777777" w:rsidR="00027095" w:rsidRDefault="001C4AD5">
            <w:pPr>
              <w:jc w:val="right"/>
            </w:pPr>
            <w:r>
              <w:rPr>
                <w:rFonts w:eastAsiaTheme="minorEastAsia"/>
                <w:color w:val="000000" w:themeColor="text1"/>
                <w:szCs w:val="21"/>
              </w:rPr>
              <w:t>81,829,174.89</w:t>
            </w:r>
          </w:p>
        </w:tc>
        <w:tc>
          <w:tcPr>
            <w:tcW w:w="1616" w:type="dxa"/>
            <w:vAlign w:val="center"/>
          </w:tcPr>
          <w:p w14:paraId="46FB763E" w14:textId="77777777" w:rsidR="00027095" w:rsidRDefault="001C4AD5">
            <w:pPr>
              <w:jc w:val="right"/>
            </w:pPr>
            <w:r>
              <w:rPr>
                <w:rFonts w:eastAsiaTheme="minorEastAsia"/>
                <w:color w:val="000000" w:themeColor="text1"/>
                <w:szCs w:val="21"/>
              </w:rPr>
              <w:t>2.81</w:t>
            </w:r>
          </w:p>
        </w:tc>
      </w:tr>
      <w:tr w:rsidR="00027095" w14:paraId="3D780EF5" w14:textId="77777777">
        <w:tc>
          <w:tcPr>
            <w:tcW w:w="817" w:type="dxa"/>
            <w:vAlign w:val="center"/>
          </w:tcPr>
          <w:p w14:paraId="262E256B" w14:textId="77777777" w:rsidR="00027095" w:rsidRDefault="001C4AD5">
            <w:pPr>
              <w:jc w:val="center"/>
            </w:pPr>
            <w:r>
              <w:rPr>
                <w:rFonts w:eastAsiaTheme="minorEastAsia"/>
                <w:color w:val="000000" w:themeColor="text1"/>
                <w:szCs w:val="21"/>
              </w:rPr>
              <w:t>5</w:t>
            </w:r>
          </w:p>
        </w:tc>
        <w:tc>
          <w:tcPr>
            <w:tcW w:w="1276" w:type="dxa"/>
            <w:vAlign w:val="center"/>
          </w:tcPr>
          <w:p w14:paraId="535E3750" w14:textId="77777777" w:rsidR="00027095" w:rsidRDefault="001C4AD5">
            <w:pPr>
              <w:jc w:val="center"/>
            </w:pPr>
            <w:r>
              <w:rPr>
                <w:rFonts w:eastAsiaTheme="minorEastAsia"/>
                <w:color w:val="000000" w:themeColor="text1"/>
                <w:szCs w:val="21"/>
              </w:rPr>
              <w:t>01336</w:t>
            </w:r>
          </w:p>
        </w:tc>
        <w:tc>
          <w:tcPr>
            <w:tcW w:w="1701" w:type="dxa"/>
            <w:vAlign w:val="center"/>
          </w:tcPr>
          <w:p w14:paraId="607CCFCD" w14:textId="77777777" w:rsidR="00027095" w:rsidRDefault="001C4AD5">
            <w:pPr>
              <w:jc w:val="center"/>
            </w:pPr>
            <w:r>
              <w:rPr>
                <w:rFonts w:eastAsiaTheme="minorEastAsia"/>
                <w:color w:val="000000" w:themeColor="text1"/>
                <w:szCs w:val="21"/>
              </w:rPr>
              <w:t>新华保险</w:t>
            </w:r>
          </w:p>
        </w:tc>
        <w:tc>
          <w:tcPr>
            <w:tcW w:w="1276" w:type="dxa"/>
            <w:vAlign w:val="center"/>
          </w:tcPr>
          <w:p w14:paraId="2F3CE036" w14:textId="77777777" w:rsidR="00027095" w:rsidRDefault="001C4AD5">
            <w:pPr>
              <w:jc w:val="right"/>
            </w:pPr>
            <w:r>
              <w:rPr>
                <w:rFonts w:eastAsiaTheme="minorEastAsia"/>
                <w:color w:val="000000" w:themeColor="text1"/>
                <w:szCs w:val="21"/>
              </w:rPr>
              <w:t>3,728,200.00</w:t>
            </w:r>
          </w:p>
        </w:tc>
        <w:tc>
          <w:tcPr>
            <w:tcW w:w="1842" w:type="dxa"/>
            <w:vAlign w:val="center"/>
          </w:tcPr>
          <w:p w14:paraId="4D72514E" w14:textId="77777777" w:rsidR="00027095" w:rsidRDefault="001C4AD5">
            <w:pPr>
              <w:jc w:val="right"/>
            </w:pPr>
            <w:r>
              <w:rPr>
                <w:rFonts w:eastAsiaTheme="minorEastAsia"/>
                <w:color w:val="000000" w:themeColor="text1"/>
                <w:szCs w:val="21"/>
              </w:rPr>
              <w:t>81,529,796.84</w:t>
            </w:r>
          </w:p>
        </w:tc>
        <w:tc>
          <w:tcPr>
            <w:tcW w:w="1616" w:type="dxa"/>
            <w:vAlign w:val="center"/>
          </w:tcPr>
          <w:p w14:paraId="35A6076F" w14:textId="77777777" w:rsidR="00027095" w:rsidRDefault="001C4AD5">
            <w:pPr>
              <w:jc w:val="right"/>
            </w:pPr>
            <w:r>
              <w:rPr>
                <w:rFonts w:eastAsiaTheme="minorEastAsia"/>
                <w:color w:val="000000" w:themeColor="text1"/>
                <w:szCs w:val="21"/>
              </w:rPr>
              <w:t>2.80</w:t>
            </w:r>
          </w:p>
        </w:tc>
      </w:tr>
      <w:tr w:rsidR="00027095" w14:paraId="3C5CF9DB" w14:textId="77777777">
        <w:tc>
          <w:tcPr>
            <w:tcW w:w="817" w:type="dxa"/>
            <w:vAlign w:val="center"/>
          </w:tcPr>
          <w:p w14:paraId="41E29A7B" w14:textId="77777777" w:rsidR="00027095" w:rsidRDefault="001C4AD5">
            <w:pPr>
              <w:jc w:val="center"/>
            </w:pPr>
            <w:r>
              <w:rPr>
                <w:rFonts w:eastAsiaTheme="minorEastAsia"/>
                <w:color w:val="000000" w:themeColor="text1"/>
                <w:szCs w:val="21"/>
              </w:rPr>
              <w:t>6</w:t>
            </w:r>
          </w:p>
        </w:tc>
        <w:tc>
          <w:tcPr>
            <w:tcW w:w="1276" w:type="dxa"/>
            <w:vAlign w:val="center"/>
          </w:tcPr>
          <w:p w14:paraId="2D4D337B" w14:textId="77777777" w:rsidR="00027095" w:rsidRDefault="001C4AD5">
            <w:pPr>
              <w:jc w:val="center"/>
            </w:pPr>
            <w:r>
              <w:rPr>
                <w:rFonts w:eastAsiaTheme="minorEastAsia"/>
                <w:color w:val="000000" w:themeColor="text1"/>
                <w:szCs w:val="21"/>
              </w:rPr>
              <w:t>00267</w:t>
            </w:r>
          </w:p>
        </w:tc>
        <w:tc>
          <w:tcPr>
            <w:tcW w:w="1701" w:type="dxa"/>
            <w:vAlign w:val="center"/>
          </w:tcPr>
          <w:p w14:paraId="05BCC483" w14:textId="77777777" w:rsidR="00027095" w:rsidRDefault="001C4AD5">
            <w:pPr>
              <w:jc w:val="center"/>
            </w:pPr>
            <w:r>
              <w:rPr>
                <w:rFonts w:eastAsiaTheme="minorEastAsia"/>
                <w:color w:val="000000" w:themeColor="text1"/>
                <w:szCs w:val="21"/>
              </w:rPr>
              <w:t>中信股份</w:t>
            </w:r>
          </w:p>
        </w:tc>
        <w:tc>
          <w:tcPr>
            <w:tcW w:w="1276" w:type="dxa"/>
            <w:vAlign w:val="center"/>
          </w:tcPr>
          <w:p w14:paraId="35CB8C5D" w14:textId="77777777" w:rsidR="00027095" w:rsidRDefault="001C4AD5">
            <w:pPr>
              <w:jc w:val="right"/>
            </w:pPr>
            <w:r>
              <w:rPr>
                <w:rFonts w:eastAsiaTheme="minorEastAsia"/>
                <w:color w:val="000000" w:themeColor="text1"/>
                <w:szCs w:val="21"/>
              </w:rPr>
              <w:t>9,467,000.00</w:t>
            </w:r>
          </w:p>
        </w:tc>
        <w:tc>
          <w:tcPr>
            <w:tcW w:w="1842" w:type="dxa"/>
            <w:vAlign w:val="center"/>
          </w:tcPr>
          <w:p w14:paraId="5CD49D28" w14:textId="77777777" w:rsidR="00027095" w:rsidRDefault="001C4AD5">
            <w:pPr>
              <w:jc w:val="right"/>
            </w:pPr>
            <w:r>
              <w:rPr>
                <w:rFonts w:eastAsiaTheme="minorEastAsia"/>
                <w:color w:val="000000" w:themeColor="text1"/>
                <w:szCs w:val="21"/>
              </w:rPr>
              <w:t>78,371,917.64</w:t>
            </w:r>
          </w:p>
        </w:tc>
        <w:tc>
          <w:tcPr>
            <w:tcW w:w="1616" w:type="dxa"/>
            <w:vAlign w:val="center"/>
          </w:tcPr>
          <w:p w14:paraId="639DEB69" w14:textId="77777777" w:rsidR="00027095" w:rsidRDefault="001C4AD5">
            <w:pPr>
              <w:jc w:val="right"/>
            </w:pPr>
            <w:r>
              <w:rPr>
                <w:rFonts w:eastAsiaTheme="minorEastAsia"/>
                <w:color w:val="000000" w:themeColor="text1"/>
                <w:szCs w:val="21"/>
              </w:rPr>
              <w:t>2.69</w:t>
            </w:r>
          </w:p>
        </w:tc>
      </w:tr>
      <w:tr w:rsidR="00027095" w14:paraId="6624F214" w14:textId="77777777">
        <w:tc>
          <w:tcPr>
            <w:tcW w:w="817" w:type="dxa"/>
            <w:vAlign w:val="center"/>
          </w:tcPr>
          <w:p w14:paraId="55EA10D0" w14:textId="77777777" w:rsidR="00027095" w:rsidRDefault="001C4AD5">
            <w:pPr>
              <w:jc w:val="center"/>
            </w:pPr>
            <w:r>
              <w:rPr>
                <w:rFonts w:eastAsiaTheme="minorEastAsia"/>
                <w:color w:val="000000" w:themeColor="text1"/>
                <w:szCs w:val="21"/>
              </w:rPr>
              <w:t>7</w:t>
            </w:r>
          </w:p>
        </w:tc>
        <w:tc>
          <w:tcPr>
            <w:tcW w:w="1276" w:type="dxa"/>
            <w:vAlign w:val="center"/>
          </w:tcPr>
          <w:p w14:paraId="0F93D5A1" w14:textId="77777777" w:rsidR="00027095" w:rsidRDefault="001C4AD5">
            <w:pPr>
              <w:jc w:val="center"/>
            </w:pPr>
            <w:r>
              <w:rPr>
                <w:rFonts w:eastAsiaTheme="minorEastAsia"/>
                <w:color w:val="000000" w:themeColor="text1"/>
                <w:szCs w:val="21"/>
              </w:rPr>
              <w:t>01988</w:t>
            </w:r>
          </w:p>
        </w:tc>
        <w:tc>
          <w:tcPr>
            <w:tcW w:w="1701" w:type="dxa"/>
            <w:vAlign w:val="center"/>
          </w:tcPr>
          <w:p w14:paraId="357741B4" w14:textId="77777777" w:rsidR="00027095" w:rsidRDefault="001C4AD5">
            <w:pPr>
              <w:jc w:val="center"/>
            </w:pPr>
            <w:r>
              <w:rPr>
                <w:rFonts w:eastAsiaTheme="minorEastAsia"/>
                <w:color w:val="000000" w:themeColor="text1"/>
                <w:szCs w:val="21"/>
              </w:rPr>
              <w:t>民生银行</w:t>
            </w:r>
          </w:p>
        </w:tc>
        <w:tc>
          <w:tcPr>
            <w:tcW w:w="1276" w:type="dxa"/>
            <w:vAlign w:val="center"/>
          </w:tcPr>
          <w:p w14:paraId="3B20636B" w14:textId="77777777" w:rsidR="00027095" w:rsidRDefault="001C4AD5">
            <w:pPr>
              <w:jc w:val="right"/>
            </w:pPr>
            <w:r>
              <w:rPr>
                <w:rFonts w:eastAsiaTheme="minorEastAsia"/>
                <w:color w:val="000000" w:themeColor="text1"/>
                <w:szCs w:val="21"/>
              </w:rPr>
              <w:t>27,145,000.00</w:t>
            </w:r>
          </w:p>
        </w:tc>
        <w:tc>
          <w:tcPr>
            <w:tcW w:w="1842" w:type="dxa"/>
            <w:vAlign w:val="center"/>
          </w:tcPr>
          <w:p w14:paraId="6492CF38" w14:textId="77777777" w:rsidR="00027095" w:rsidRDefault="001C4AD5">
            <w:pPr>
              <w:jc w:val="right"/>
            </w:pPr>
            <w:r>
              <w:rPr>
                <w:rFonts w:eastAsiaTheme="minorEastAsia"/>
                <w:color w:val="000000" w:themeColor="text1"/>
                <w:szCs w:val="21"/>
              </w:rPr>
              <w:t>77,598,713.87</w:t>
            </w:r>
          </w:p>
        </w:tc>
        <w:tc>
          <w:tcPr>
            <w:tcW w:w="1616" w:type="dxa"/>
            <w:vAlign w:val="center"/>
          </w:tcPr>
          <w:p w14:paraId="6F247EE4" w14:textId="77777777" w:rsidR="00027095" w:rsidRDefault="001C4AD5">
            <w:pPr>
              <w:jc w:val="right"/>
            </w:pPr>
            <w:r>
              <w:rPr>
                <w:rFonts w:eastAsiaTheme="minorEastAsia"/>
                <w:color w:val="000000" w:themeColor="text1"/>
                <w:szCs w:val="21"/>
              </w:rPr>
              <w:t>2.67</w:t>
            </w:r>
          </w:p>
        </w:tc>
      </w:tr>
      <w:tr w:rsidR="00027095" w14:paraId="0349A025" w14:textId="77777777">
        <w:tc>
          <w:tcPr>
            <w:tcW w:w="817" w:type="dxa"/>
            <w:vAlign w:val="center"/>
          </w:tcPr>
          <w:p w14:paraId="3267CFD8" w14:textId="77777777" w:rsidR="00027095" w:rsidRDefault="001C4AD5">
            <w:pPr>
              <w:jc w:val="center"/>
            </w:pPr>
            <w:r>
              <w:rPr>
                <w:rFonts w:eastAsiaTheme="minorEastAsia"/>
                <w:color w:val="000000" w:themeColor="text1"/>
                <w:szCs w:val="21"/>
              </w:rPr>
              <w:t>8</w:t>
            </w:r>
          </w:p>
        </w:tc>
        <w:tc>
          <w:tcPr>
            <w:tcW w:w="1276" w:type="dxa"/>
            <w:vAlign w:val="center"/>
          </w:tcPr>
          <w:p w14:paraId="539D5E7F" w14:textId="77777777" w:rsidR="00027095" w:rsidRDefault="001C4AD5">
            <w:pPr>
              <w:jc w:val="center"/>
            </w:pPr>
            <w:r>
              <w:rPr>
                <w:rFonts w:eastAsiaTheme="minorEastAsia"/>
                <w:color w:val="000000" w:themeColor="text1"/>
                <w:szCs w:val="21"/>
              </w:rPr>
              <w:t>01339</w:t>
            </w:r>
          </w:p>
        </w:tc>
        <w:tc>
          <w:tcPr>
            <w:tcW w:w="1701" w:type="dxa"/>
            <w:vAlign w:val="center"/>
          </w:tcPr>
          <w:p w14:paraId="573EFD7C" w14:textId="77777777" w:rsidR="00027095" w:rsidRDefault="001C4AD5">
            <w:pPr>
              <w:jc w:val="center"/>
            </w:pPr>
            <w:r>
              <w:rPr>
                <w:rFonts w:eastAsiaTheme="minorEastAsia"/>
                <w:color w:val="000000" w:themeColor="text1"/>
                <w:szCs w:val="21"/>
              </w:rPr>
              <w:t>中国人民保险集团</w:t>
            </w:r>
          </w:p>
        </w:tc>
        <w:tc>
          <w:tcPr>
            <w:tcW w:w="1276" w:type="dxa"/>
            <w:vAlign w:val="center"/>
          </w:tcPr>
          <w:p w14:paraId="268F659A" w14:textId="77777777" w:rsidR="00027095" w:rsidRDefault="001C4AD5">
            <w:pPr>
              <w:jc w:val="right"/>
            </w:pPr>
            <w:r>
              <w:rPr>
                <w:rFonts w:eastAsiaTheme="minorEastAsia"/>
                <w:color w:val="000000" w:themeColor="text1"/>
                <w:szCs w:val="21"/>
              </w:rPr>
              <w:t>21,708,000.00</w:t>
            </w:r>
          </w:p>
        </w:tc>
        <w:tc>
          <w:tcPr>
            <w:tcW w:w="1842" w:type="dxa"/>
            <w:vAlign w:val="center"/>
          </w:tcPr>
          <w:p w14:paraId="66397978" w14:textId="77777777" w:rsidR="00027095" w:rsidRDefault="001C4AD5">
            <w:pPr>
              <w:jc w:val="right"/>
            </w:pPr>
            <w:r>
              <w:rPr>
                <w:rFonts w:eastAsiaTheme="minorEastAsia"/>
                <w:color w:val="000000" w:themeColor="text1"/>
                <w:szCs w:val="21"/>
              </w:rPr>
              <w:t>72,627,172.66</w:t>
            </w:r>
          </w:p>
        </w:tc>
        <w:tc>
          <w:tcPr>
            <w:tcW w:w="1616" w:type="dxa"/>
            <w:vAlign w:val="center"/>
          </w:tcPr>
          <w:p w14:paraId="45F5D718" w14:textId="77777777" w:rsidR="00027095" w:rsidRDefault="001C4AD5">
            <w:pPr>
              <w:jc w:val="right"/>
            </w:pPr>
            <w:r>
              <w:rPr>
                <w:rFonts w:eastAsiaTheme="minorEastAsia"/>
                <w:color w:val="000000" w:themeColor="text1"/>
                <w:szCs w:val="21"/>
              </w:rPr>
              <w:t>2.50</w:t>
            </w:r>
          </w:p>
        </w:tc>
      </w:tr>
      <w:tr w:rsidR="00027095" w14:paraId="1BCC7072" w14:textId="77777777">
        <w:tc>
          <w:tcPr>
            <w:tcW w:w="817" w:type="dxa"/>
            <w:vAlign w:val="center"/>
          </w:tcPr>
          <w:p w14:paraId="3A91588D" w14:textId="77777777" w:rsidR="00027095" w:rsidRDefault="001C4AD5">
            <w:pPr>
              <w:jc w:val="center"/>
            </w:pPr>
            <w:r>
              <w:rPr>
                <w:rFonts w:eastAsiaTheme="minorEastAsia"/>
                <w:color w:val="000000" w:themeColor="text1"/>
                <w:szCs w:val="21"/>
              </w:rPr>
              <w:t>9</w:t>
            </w:r>
          </w:p>
        </w:tc>
        <w:tc>
          <w:tcPr>
            <w:tcW w:w="1276" w:type="dxa"/>
            <w:vAlign w:val="center"/>
          </w:tcPr>
          <w:p w14:paraId="74FEDA09" w14:textId="77777777" w:rsidR="00027095" w:rsidRDefault="001C4AD5">
            <w:pPr>
              <w:jc w:val="center"/>
            </w:pPr>
            <w:r>
              <w:rPr>
                <w:rFonts w:eastAsiaTheme="minorEastAsia"/>
                <w:color w:val="000000" w:themeColor="text1"/>
                <w:szCs w:val="21"/>
              </w:rPr>
              <w:t>00012</w:t>
            </w:r>
          </w:p>
        </w:tc>
        <w:tc>
          <w:tcPr>
            <w:tcW w:w="1701" w:type="dxa"/>
            <w:vAlign w:val="center"/>
          </w:tcPr>
          <w:p w14:paraId="6FFF80AE" w14:textId="77777777" w:rsidR="00027095" w:rsidRDefault="001C4AD5">
            <w:pPr>
              <w:jc w:val="center"/>
            </w:pPr>
            <w:r>
              <w:rPr>
                <w:rFonts w:eastAsiaTheme="minorEastAsia"/>
                <w:color w:val="000000" w:themeColor="text1"/>
                <w:szCs w:val="21"/>
              </w:rPr>
              <w:t>恒基地产</w:t>
            </w:r>
          </w:p>
        </w:tc>
        <w:tc>
          <w:tcPr>
            <w:tcW w:w="1276" w:type="dxa"/>
            <w:vAlign w:val="center"/>
          </w:tcPr>
          <w:p w14:paraId="37F88554" w14:textId="77777777" w:rsidR="00027095" w:rsidRDefault="001C4AD5">
            <w:pPr>
              <w:jc w:val="right"/>
            </w:pPr>
            <w:r>
              <w:rPr>
                <w:rFonts w:eastAsiaTheme="minorEastAsia"/>
                <w:color w:val="000000" w:themeColor="text1"/>
                <w:szCs w:val="21"/>
              </w:rPr>
              <w:t>3,245,000.00</w:t>
            </w:r>
          </w:p>
        </w:tc>
        <w:tc>
          <w:tcPr>
            <w:tcW w:w="1842" w:type="dxa"/>
            <w:vAlign w:val="center"/>
          </w:tcPr>
          <w:p w14:paraId="541FB391" w14:textId="77777777" w:rsidR="00027095" w:rsidRDefault="001C4AD5">
            <w:pPr>
              <w:jc w:val="right"/>
            </w:pPr>
            <w:r>
              <w:rPr>
                <w:rFonts w:eastAsiaTheme="minorEastAsia"/>
                <w:color w:val="000000" w:themeColor="text1"/>
                <w:szCs w:val="21"/>
              </w:rPr>
              <w:t>72,572,452.04</w:t>
            </w:r>
          </w:p>
        </w:tc>
        <w:tc>
          <w:tcPr>
            <w:tcW w:w="1616" w:type="dxa"/>
            <w:vAlign w:val="center"/>
          </w:tcPr>
          <w:p w14:paraId="5F38A986" w14:textId="77777777" w:rsidR="00027095" w:rsidRDefault="001C4AD5">
            <w:pPr>
              <w:jc w:val="right"/>
            </w:pPr>
            <w:r>
              <w:rPr>
                <w:rFonts w:eastAsiaTheme="minorEastAsia"/>
                <w:color w:val="000000" w:themeColor="text1"/>
                <w:szCs w:val="21"/>
              </w:rPr>
              <w:t>2.50</w:t>
            </w:r>
          </w:p>
        </w:tc>
      </w:tr>
      <w:tr w:rsidR="00027095" w14:paraId="6C9BCEA2" w14:textId="77777777">
        <w:tc>
          <w:tcPr>
            <w:tcW w:w="817" w:type="dxa"/>
            <w:vAlign w:val="center"/>
          </w:tcPr>
          <w:p w14:paraId="0D027512" w14:textId="77777777" w:rsidR="00027095" w:rsidRDefault="001C4AD5">
            <w:pPr>
              <w:jc w:val="center"/>
            </w:pPr>
            <w:r>
              <w:rPr>
                <w:rFonts w:eastAsiaTheme="minorEastAsia"/>
                <w:color w:val="000000" w:themeColor="text1"/>
                <w:szCs w:val="21"/>
              </w:rPr>
              <w:t>10</w:t>
            </w:r>
          </w:p>
        </w:tc>
        <w:tc>
          <w:tcPr>
            <w:tcW w:w="1276" w:type="dxa"/>
            <w:vAlign w:val="center"/>
          </w:tcPr>
          <w:p w14:paraId="3251FB19" w14:textId="77777777" w:rsidR="00027095" w:rsidRDefault="001C4AD5">
            <w:pPr>
              <w:jc w:val="center"/>
            </w:pPr>
            <w:r>
              <w:rPr>
                <w:rFonts w:eastAsiaTheme="minorEastAsia"/>
                <w:color w:val="000000" w:themeColor="text1"/>
                <w:szCs w:val="21"/>
              </w:rPr>
              <w:t>03618</w:t>
            </w:r>
          </w:p>
        </w:tc>
        <w:tc>
          <w:tcPr>
            <w:tcW w:w="1701" w:type="dxa"/>
            <w:vAlign w:val="center"/>
          </w:tcPr>
          <w:p w14:paraId="0E1AB378" w14:textId="77777777" w:rsidR="00027095" w:rsidRDefault="001C4AD5">
            <w:pPr>
              <w:jc w:val="center"/>
            </w:pPr>
            <w:r>
              <w:rPr>
                <w:rFonts w:eastAsiaTheme="minorEastAsia"/>
                <w:color w:val="000000" w:themeColor="text1"/>
                <w:szCs w:val="21"/>
              </w:rPr>
              <w:t>重庆农村商业银行</w:t>
            </w:r>
          </w:p>
        </w:tc>
        <w:tc>
          <w:tcPr>
            <w:tcW w:w="1276" w:type="dxa"/>
            <w:vAlign w:val="center"/>
          </w:tcPr>
          <w:p w14:paraId="3163BDB7" w14:textId="77777777" w:rsidR="00027095" w:rsidRDefault="001C4AD5">
            <w:pPr>
              <w:jc w:val="right"/>
            </w:pPr>
            <w:r>
              <w:rPr>
                <w:rFonts w:eastAsiaTheme="minorEastAsia"/>
                <w:color w:val="000000" w:themeColor="text1"/>
                <w:szCs w:val="21"/>
              </w:rPr>
              <w:t>18,950,000.00</w:t>
            </w:r>
          </w:p>
        </w:tc>
        <w:tc>
          <w:tcPr>
            <w:tcW w:w="1842" w:type="dxa"/>
            <w:vAlign w:val="center"/>
          </w:tcPr>
          <w:p w14:paraId="5A71D505" w14:textId="77777777" w:rsidR="00027095" w:rsidRDefault="001C4AD5">
            <w:pPr>
              <w:jc w:val="right"/>
            </w:pPr>
            <w:r>
              <w:rPr>
                <w:rFonts w:eastAsiaTheme="minorEastAsia"/>
                <w:color w:val="000000" w:themeColor="text1"/>
                <w:szCs w:val="21"/>
              </w:rPr>
              <w:t>68,868,349.62</w:t>
            </w:r>
          </w:p>
        </w:tc>
        <w:tc>
          <w:tcPr>
            <w:tcW w:w="1616" w:type="dxa"/>
            <w:vAlign w:val="center"/>
          </w:tcPr>
          <w:p w14:paraId="5C05FBDA" w14:textId="77777777" w:rsidR="00027095" w:rsidRDefault="001C4AD5">
            <w:pPr>
              <w:jc w:val="right"/>
            </w:pPr>
            <w:r>
              <w:rPr>
                <w:rFonts w:eastAsiaTheme="minorEastAsia"/>
                <w:color w:val="000000" w:themeColor="text1"/>
                <w:szCs w:val="21"/>
              </w:rPr>
              <w:t>2.37</w:t>
            </w:r>
          </w:p>
        </w:tc>
      </w:tr>
    </w:tbl>
    <w:p w14:paraId="30530108"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7F79BA8F" w14:textId="77777777">
        <w:tc>
          <w:tcPr>
            <w:tcW w:w="817" w:type="dxa"/>
            <w:vAlign w:val="center"/>
          </w:tcPr>
          <w:p w14:paraId="7B5B643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7C1FDFA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6DD2FAE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51F1556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32661B46"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1231118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027095" w14:paraId="06E6F2D9" w14:textId="77777777">
        <w:tc>
          <w:tcPr>
            <w:tcW w:w="817" w:type="dxa"/>
            <w:vAlign w:val="center"/>
          </w:tcPr>
          <w:p w14:paraId="7BF6F655" w14:textId="77777777" w:rsidR="00027095" w:rsidRDefault="001C4AD5">
            <w:pPr>
              <w:jc w:val="center"/>
            </w:pPr>
            <w:r>
              <w:rPr>
                <w:rFonts w:eastAsiaTheme="minorEastAsia"/>
                <w:color w:val="000000" w:themeColor="text1"/>
                <w:szCs w:val="21"/>
              </w:rPr>
              <w:t>1</w:t>
            </w:r>
          </w:p>
        </w:tc>
        <w:tc>
          <w:tcPr>
            <w:tcW w:w="1276" w:type="dxa"/>
            <w:vAlign w:val="center"/>
          </w:tcPr>
          <w:p w14:paraId="4C551AC8" w14:textId="77777777" w:rsidR="00027095" w:rsidRDefault="001C4AD5">
            <w:pPr>
              <w:jc w:val="center"/>
            </w:pPr>
            <w:r>
              <w:rPr>
                <w:rFonts w:eastAsiaTheme="minorEastAsia"/>
                <w:color w:val="000000" w:themeColor="text1"/>
                <w:szCs w:val="21"/>
              </w:rPr>
              <w:t>00659</w:t>
            </w:r>
          </w:p>
        </w:tc>
        <w:tc>
          <w:tcPr>
            <w:tcW w:w="1701" w:type="dxa"/>
            <w:vAlign w:val="center"/>
          </w:tcPr>
          <w:p w14:paraId="77F146E4" w14:textId="77777777" w:rsidR="00027095" w:rsidRDefault="001C4AD5">
            <w:pPr>
              <w:jc w:val="center"/>
            </w:pPr>
            <w:r>
              <w:rPr>
                <w:rFonts w:eastAsiaTheme="minorEastAsia"/>
                <w:color w:val="000000" w:themeColor="text1"/>
                <w:szCs w:val="21"/>
              </w:rPr>
              <w:t>新创建集团</w:t>
            </w:r>
          </w:p>
        </w:tc>
        <w:tc>
          <w:tcPr>
            <w:tcW w:w="1276" w:type="dxa"/>
            <w:vAlign w:val="center"/>
          </w:tcPr>
          <w:p w14:paraId="7E3989AB" w14:textId="77777777" w:rsidR="00027095" w:rsidRDefault="001C4AD5">
            <w:pPr>
              <w:jc w:val="right"/>
            </w:pPr>
            <w:r>
              <w:rPr>
                <w:rFonts w:eastAsiaTheme="minorEastAsia"/>
                <w:color w:val="000000" w:themeColor="text1"/>
                <w:szCs w:val="21"/>
              </w:rPr>
              <w:t>3,751,000.00</w:t>
            </w:r>
          </w:p>
        </w:tc>
        <w:tc>
          <w:tcPr>
            <w:tcW w:w="1842" w:type="dxa"/>
            <w:vAlign w:val="center"/>
          </w:tcPr>
          <w:p w14:paraId="0063543E" w14:textId="77777777" w:rsidR="00027095" w:rsidRDefault="001C4AD5">
            <w:pPr>
              <w:jc w:val="right"/>
            </w:pPr>
            <w:r>
              <w:rPr>
                <w:rFonts w:eastAsiaTheme="minorEastAsia"/>
                <w:color w:val="000000" w:themeColor="text1"/>
                <w:szCs w:val="21"/>
              </w:rPr>
              <w:t>27,128,566.61</w:t>
            </w:r>
          </w:p>
        </w:tc>
        <w:tc>
          <w:tcPr>
            <w:tcW w:w="1616" w:type="dxa"/>
            <w:vAlign w:val="center"/>
          </w:tcPr>
          <w:p w14:paraId="7DA39062" w14:textId="77777777" w:rsidR="00027095" w:rsidRDefault="001C4AD5">
            <w:pPr>
              <w:jc w:val="right"/>
            </w:pPr>
            <w:r>
              <w:rPr>
                <w:rFonts w:eastAsiaTheme="minorEastAsia"/>
                <w:color w:val="000000" w:themeColor="text1"/>
                <w:szCs w:val="21"/>
              </w:rPr>
              <w:t>0.93</w:t>
            </w:r>
          </w:p>
        </w:tc>
      </w:tr>
    </w:tbl>
    <w:p w14:paraId="64FF1844"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2952D3B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p w14:paraId="6990628D"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6321A3F8"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1C9C5EC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p w14:paraId="35EBB6A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本基金本报告期末未持有债券。</w:t>
      </w:r>
    </w:p>
    <w:p w14:paraId="2ECBFD4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2BFDB3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7548B73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01A8F58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9E0C36A"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4EB5A541"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29919B9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2099AD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5585CE1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093F6993"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0C1E87E"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0A011D8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本基金本报告期末未持有股指期货。</w:t>
      </w:r>
    </w:p>
    <w:p w14:paraId="67D702F5" w14:textId="77777777" w:rsidR="00881A82" w:rsidRPr="00473486" w:rsidRDefault="00881A82">
      <w:pPr>
        <w:adjustRightInd w:val="0"/>
        <w:snapToGrid w:val="0"/>
        <w:spacing w:line="360" w:lineRule="exact"/>
        <w:rPr>
          <w:rFonts w:eastAsiaTheme="minorEastAsia"/>
          <w:color w:val="000000" w:themeColor="text1"/>
          <w:sz w:val="24"/>
        </w:rPr>
      </w:pPr>
    </w:p>
    <w:p w14:paraId="3E996A50"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1E905BD3"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231F828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0AE006FC"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本基金投资的前十名证券的发行主体中，新华人寿保险股份有限公司报告编制日前一年内曾受到央行北京市分行、国家金融监督管理总局的处罚。</w:t>
      </w:r>
    </w:p>
    <w:p w14:paraId="4F78A805" w14:textId="77777777" w:rsidR="00027095" w:rsidRDefault="001C4AD5">
      <w:pPr>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w:t>
      </w:r>
      <w:r>
        <w:rPr>
          <w:rFonts w:eastAsiaTheme="minorEastAsia"/>
          <w:color w:val="000000" w:themeColor="text1"/>
          <w:szCs w:val="21"/>
        </w:rPr>
        <w:t>。除上述主体外，本基金投资的其他前十名证券的发行主体本期没有出现被监管部门立案调查，或在报告编制日前一年内受到公开谴责、处罚的情形。</w:t>
      </w:r>
    </w:p>
    <w:p w14:paraId="62D2A3AD"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45DE183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340EEBE2" w14:textId="77777777">
        <w:trPr>
          <w:trHeight w:val="567"/>
        </w:trPr>
        <w:tc>
          <w:tcPr>
            <w:tcW w:w="944" w:type="dxa"/>
            <w:vAlign w:val="center"/>
          </w:tcPr>
          <w:p w14:paraId="7453ACD3"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491A195B"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094B97E5"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27BFD774" w14:textId="77777777">
        <w:trPr>
          <w:trHeight w:val="567"/>
        </w:trPr>
        <w:tc>
          <w:tcPr>
            <w:tcW w:w="944" w:type="dxa"/>
            <w:vAlign w:val="center"/>
          </w:tcPr>
          <w:p w14:paraId="3B7BFFB7"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lastRenderedPageBreak/>
              <w:t>1</w:t>
            </w:r>
          </w:p>
        </w:tc>
        <w:tc>
          <w:tcPr>
            <w:tcW w:w="2761" w:type="dxa"/>
            <w:vAlign w:val="center"/>
          </w:tcPr>
          <w:p w14:paraId="1F0DD551"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70BD42F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394FA86B" w14:textId="77777777">
        <w:trPr>
          <w:trHeight w:val="567"/>
        </w:trPr>
        <w:tc>
          <w:tcPr>
            <w:tcW w:w="944" w:type="dxa"/>
            <w:vAlign w:val="center"/>
          </w:tcPr>
          <w:p w14:paraId="05B93438"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2D14E8DD"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163639AF"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281258AD" w14:textId="77777777">
        <w:trPr>
          <w:trHeight w:val="567"/>
        </w:trPr>
        <w:tc>
          <w:tcPr>
            <w:tcW w:w="944" w:type="dxa"/>
            <w:vAlign w:val="center"/>
          </w:tcPr>
          <w:p w14:paraId="3FFCF367"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66128AC9"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70632F16"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12,813,829.43</w:t>
            </w:r>
          </w:p>
        </w:tc>
      </w:tr>
      <w:tr w:rsidR="00881A82" w:rsidRPr="00473486" w14:paraId="2A37F36B" w14:textId="77777777">
        <w:trPr>
          <w:trHeight w:val="567"/>
        </w:trPr>
        <w:tc>
          <w:tcPr>
            <w:tcW w:w="944" w:type="dxa"/>
            <w:vAlign w:val="center"/>
          </w:tcPr>
          <w:p w14:paraId="62E0BE16"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14:paraId="62E938A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282EE5F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00BABA8A" w14:textId="77777777">
        <w:trPr>
          <w:trHeight w:val="567"/>
        </w:trPr>
        <w:tc>
          <w:tcPr>
            <w:tcW w:w="944" w:type="dxa"/>
            <w:vAlign w:val="center"/>
          </w:tcPr>
          <w:p w14:paraId="3F82116F"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7BE3A6B0"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677EA632"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43FFFBC5" w14:textId="77777777">
        <w:trPr>
          <w:trHeight w:val="567"/>
        </w:trPr>
        <w:tc>
          <w:tcPr>
            <w:tcW w:w="944" w:type="dxa"/>
            <w:vAlign w:val="center"/>
          </w:tcPr>
          <w:p w14:paraId="1692E29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1C0BF6B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120424AF"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7A72E0D9" w14:textId="77777777">
        <w:trPr>
          <w:trHeight w:val="567"/>
        </w:trPr>
        <w:tc>
          <w:tcPr>
            <w:tcW w:w="944" w:type="dxa"/>
          </w:tcPr>
          <w:p w14:paraId="4E6A7A8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65EACFC0"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7C30E29F"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E9A26AB" w14:textId="77777777">
        <w:trPr>
          <w:trHeight w:val="567"/>
        </w:trPr>
        <w:tc>
          <w:tcPr>
            <w:tcW w:w="944" w:type="dxa"/>
            <w:vAlign w:val="center"/>
          </w:tcPr>
          <w:p w14:paraId="2428E509"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4FE75C04"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79C1E5CF"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3D9CE80" w14:textId="77777777">
        <w:trPr>
          <w:trHeight w:val="567"/>
        </w:trPr>
        <w:tc>
          <w:tcPr>
            <w:tcW w:w="944" w:type="dxa"/>
            <w:vAlign w:val="center"/>
          </w:tcPr>
          <w:p w14:paraId="1ACA3A5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5B2C5193"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4E4262EC"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12,813,829.43</w:t>
            </w:r>
          </w:p>
        </w:tc>
      </w:tr>
    </w:tbl>
    <w:p w14:paraId="35D3EB6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p w14:paraId="1DF9AAC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本基金本报告期末未持有处于转股期的可转换债券。</w:t>
      </w:r>
    </w:p>
    <w:p w14:paraId="0E195329"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7C980E94"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707436EE"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356C2958"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117AE99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335F15ED" w14:textId="77777777" w:rsidR="00881A82" w:rsidRPr="00473486" w:rsidRDefault="00881A82">
      <w:pPr>
        <w:spacing w:line="360" w:lineRule="auto"/>
        <w:rPr>
          <w:rFonts w:eastAsiaTheme="minorEastAsia"/>
          <w:bCs/>
          <w:color w:val="000000" w:themeColor="text1"/>
          <w:szCs w:val="21"/>
        </w:rPr>
      </w:pPr>
    </w:p>
    <w:p w14:paraId="61D8EC0E"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59E4AF73"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352BAADD" w14:textId="77777777" w:rsidR="00881A82" w:rsidRPr="00473486" w:rsidRDefault="00881A82">
      <w:pPr>
        <w:spacing w:line="360" w:lineRule="auto"/>
        <w:ind w:firstLineChars="200" w:firstLine="420"/>
        <w:rPr>
          <w:rFonts w:eastAsiaTheme="minorEastAsia"/>
          <w:color w:val="000000" w:themeColor="text1"/>
          <w:szCs w:val="21"/>
        </w:rPr>
      </w:pPr>
    </w:p>
    <w:p w14:paraId="6746C330"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20BAFFA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5BFAEE78"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0EE5CC5"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369C6C3"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1,908,359,000.00</w:t>
            </w:r>
          </w:p>
        </w:tc>
      </w:tr>
      <w:tr w:rsidR="00881A82" w:rsidRPr="00473486" w14:paraId="50960DBA"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49B644F"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8640810"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526,000,000.00</w:t>
            </w:r>
          </w:p>
        </w:tc>
      </w:tr>
      <w:tr w:rsidR="00881A82" w:rsidRPr="00473486" w14:paraId="459713B4"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7997017"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46DDBD3"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95,000,000.00</w:t>
            </w:r>
          </w:p>
        </w:tc>
      </w:tr>
      <w:tr w:rsidR="00881A82" w:rsidRPr="00473486" w14:paraId="5E6BE21C"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FDBC95D"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lastRenderedPageBreak/>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DC8E0FB"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8557CC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BCE3FB5"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26F0667"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2,339,359,000.00</w:t>
            </w:r>
          </w:p>
        </w:tc>
      </w:tr>
    </w:tbl>
    <w:p w14:paraId="62A1A714"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14:paraId="6E93859A"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2C794EE5"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44D47B0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680EBED"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3AE7ACE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64E0F088"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§8</w:t>
      </w:r>
      <w:r w:rsidRPr="00473486">
        <w:rPr>
          <w:rFonts w:eastAsiaTheme="minorEastAsia"/>
          <w:color w:val="000000" w:themeColor="text1"/>
          <w:kern w:val="0"/>
          <w:sz w:val="24"/>
          <w:szCs w:val="24"/>
        </w:rPr>
        <w:t>备查文件目录</w:t>
      </w:r>
    </w:p>
    <w:p w14:paraId="247890B6"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8.1 </w:t>
      </w:r>
      <w:r w:rsidRPr="00473486">
        <w:rPr>
          <w:rFonts w:eastAsiaTheme="minorEastAsia"/>
          <w:b/>
          <w:color w:val="000000" w:themeColor="text1"/>
          <w:sz w:val="24"/>
        </w:rPr>
        <w:t>备查文件目录</w:t>
      </w:r>
    </w:p>
    <w:p w14:paraId="405460E5"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001615AD"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摩根标普港股通低波红利交易型开放式指数证券投资基金基金合同</w:t>
      </w:r>
    </w:p>
    <w:p w14:paraId="6A4A3136"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摩根标普港股通低波红利交易型开放式指数证券投资基金托管协议</w:t>
      </w:r>
    </w:p>
    <w:p w14:paraId="3B4EDAA2"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5B263D2F"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65062716"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3816703A" w14:textId="77777777" w:rsidR="00027095" w:rsidRDefault="001C4AD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4FDC36DD"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4E31954D" w14:textId="77777777" w:rsidR="00881A82" w:rsidRPr="00473486" w:rsidRDefault="00881A82">
      <w:pPr>
        <w:spacing w:line="360" w:lineRule="auto"/>
        <w:ind w:firstLineChars="200" w:firstLine="480"/>
        <w:rPr>
          <w:rFonts w:eastAsiaTheme="minorEastAsia"/>
          <w:color w:val="000000" w:themeColor="text1"/>
          <w:sz w:val="24"/>
        </w:rPr>
      </w:pPr>
    </w:p>
    <w:p w14:paraId="5F397CB8"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8.2 </w:t>
      </w:r>
      <w:r w:rsidRPr="00473486">
        <w:rPr>
          <w:rFonts w:eastAsiaTheme="minorEastAsia"/>
          <w:b/>
          <w:color w:val="000000" w:themeColor="text1"/>
          <w:sz w:val="24"/>
        </w:rPr>
        <w:t>存放地点</w:t>
      </w:r>
    </w:p>
    <w:p w14:paraId="3B727F34"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基金管理人或基金托管人处。</w:t>
      </w:r>
    </w:p>
    <w:p w14:paraId="3286B7FF" w14:textId="77777777" w:rsidR="00881A82" w:rsidRPr="00473486" w:rsidRDefault="00881A82">
      <w:pPr>
        <w:spacing w:line="360" w:lineRule="auto"/>
        <w:ind w:firstLineChars="200" w:firstLine="480"/>
        <w:rPr>
          <w:rFonts w:eastAsiaTheme="minorEastAsia"/>
          <w:color w:val="000000" w:themeColor="text1"/>
          <w:sz w:val="24"/>
        </w:rPr>
      </w:pPr>
    </w:p>
    <w:p w14:paraId="754D7DC3"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8.3 </w:t>
      </w:r>
      <w:r w:rsidRPr="00473486">
        <w:rPr>
          <w:rFonts w:eastAsiaTheme="minorEastAsia"/>
          <w:b/>
          <w:color w:val="000000" w:themeColor="text1"/>
          <w:sz w:val="24"/>
        </w:rPr>
        <w:t>查阅方式</w:t>
      </w:r>
    </w:p>
    <w:p w14:paraId="38DE90A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4D606FBF" w14:textId="77777777" w:rsidR="00881A82" w:rsidRPr="00473486" w:rsidRDefault="00881A82">
      <w:pPr>
        <w:spacing w:line="360" w:lineRule="auto"/>
        <w:ind w:left="840"/>
        <w:jc w:val="right"/>
        <w:rPr>
          <w:rFonts w:eastAsiaTheme="minorEastAsia"/>
          <w:color w:val="000000" w:themeColor="text1"/>
          <w:sz w:val="24"/>
        </w:rPr>
      </w:pPr>
    </w:p>
    <w:p w14:paraId="07ABCFC0" w14:textId="77777777" w:rsidR="00881A82" w:rsidRPr="00473486" w:rsidRDefault="00881A82">
      <w:pPr>
        <w:spacing w:line="360" w:lineRule="auto"/>
        <w:ind w:left="840"/>
        <w:jc w:val="right"/>
        <w:rPr>
          <w:rFonts w:eastAsiaTheme="minorEastAsia"/>
          <w:color w:val="000000" w:themeColor="text1"/>
          <w:sz w:val="24"/>
        </w:rPr>
      </w:pPr>
    </w:p>
    <w:p w14:paraId="654DB8A9" w14:textId="77777777" w:rsidR="00881A82" w:rsidRPr="00473486" w:rsidRDefault="00881A82">
      <w:pPr>
        <w:spacing w:line="360" w:lineRule="auto"/>
        <w:ind w:left="840"/>
        <w:jc w:val="right"/>
        <w:rPr>
          <w:rFonts w:eastAsiaTheme="minorEastAsia"/>
          <w:color w:val="000000" w:themeColor="text1"/>
          <w:sz w:val="24"/>
        </w:rPr>
      </w:pPr>
    </w:p>
    <w:p w14:paraId="71B22945" w14:textId="77777777" w:rsidR="00881A82" w:rsidRPr="00473486" w:rsidRDefault="00881A82">
      <w:pPr>
        <w:spacing w:line="360" w:lineRule="auto"/>
        <w:ind w:left="840"/>
        <w:jc w:val="right"/>
        <w:rPr>
          <w:rFonts w:eastAsiaTheme="minorEastAsia"/>
          <w:color w:val="000000" w:themeColor="text1"/>
          <w:sz w:val="24"/>
        </w:rPr>
      </w:pPr>
    </w:p>
    <w:p w14:paraId="5AE64243" w14:textId="77777777" w:rsidR="00881A82" w:rsidRPr="00473486" w:rsidRDefault="00881A82">
      <w:pPr>
        <w:spacing w:line="360" w:lineRule="auto"/>
        <w:ind w:left="840"/>
        <w:jc w:val="right"/>
        <w:rPr>
          <w:rFonts w:eastAsiaTheme="minorEastAsia"/>
          <w:color w:val="000000" w:themeColor="text1"/>
          <w:sz w:val="24"/>
        </w:rPr>
      </w:pPr>
    </w:p>
    <w:p w14:paraId="4E88EA77"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7597C72C"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二〇二四年十月二十五日</w:t>
      </w:r>
    </w:p>
    <w:p w14:paraId="5AC0CB0F"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BF21" w14:textId="77777777" w:rsidR="007F3EDF" w:rsidRDefault="007F3EDF">
      <w:r>
        <w:separator/>
      </w:r>
    </w:p>
  </w:endnote>
  <w:endnote w:type="continuationSeparator" w:id="0">
    <w:p w14:paraId="5D73D388"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BFFD" w14:textId="77777777"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656C"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81FB9C7"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053B"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27</w:t>
    </w:r>
    <w:r>
      <w:rPr>
        <w:rStyle w:val="af5"/>
      </w:rPr>
      <w:fldChar w:fldCharType="end"/>
    </w:r>
  </w:p>
  <w:p w14:paraId="1CA2752A"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B424" w14:textId="77777777" w:rsidR="007F3EDF" w:rsidRDefault="007F3EDF">
      <w:r>
        <w:separator/>
      </w:r>
    </w:p>
  </w:footnote>
  <w:footnote w:type="continuationSeparator" w:id="0">
    <w:p w14:paraId="196637F1"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8B4C" w14:textId="77777777" w:rsidR="00881A82" w:rsidRDefault="007D1E3A">
    <w:pPr>
      <w:pStyle w:val="af"/>
      <w:pBdr>
        <w:bottom w:val="single" w:sz="6" w:space="0" w:color="auto"/>
      </w:pBdr>
      <w:jc w:val="right"/>
    </w:pPr>
    <w:r>
      <w:t>摩根</w:t>
    </w:r>
    <w:proofErr w:type="gramStart"/>
    <w:r>
      <w:t>标普港股通低波</w:t>
    </w:r>
    <w:proofErr w:type="gramEnd"/>
    <w:r>
      <w:t>红利交易型开放式指数证券投资基金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27095"/>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4AD5"/>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379A59"/>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1106</Words>
  <Characters>6309</Characters>
  <Application>Microsoft Office Word</Application>
  <DocSecurity>0</DocSecurity>
  <Lines>52</Lines>
  <Paragraphs>14</Paragraphs>
  <ScaleCrop>false</ScaleCrop>
  <Company>TRT. Ltd. Co.</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158</cp:revision>
  <cp:lastPrinted>2007-07-19T00:46:00Z</cp:lastPrinted>
  <dcterms:created xsi:type="dcterms:W3CDTF">2012-11-21T04:46:00Z</dcterms:created>
  <dcterms:modified xsi:type="dcterms:W3CDTF">2024-10-24T05:48:00Z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