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7DA2D4" w14:textId="77777777" w:rsidR="0046526F" w:rsidRDefault="0046526F">
      <w:pPr>
        <w:spacing w:line="360" w:lineRule="auto"/>
        <w:rPr>
          <w:rFonts w:ascii="宋体" w:hAnsi="宋体" w:hint="eastAsia"/>
          <w:sz w:val="48"/>
        </w:rPr>
      </w:pPr>
      <w:r>
        <w:rPr>
          <w:rFonts w:ascii="宋体" w:hAnsi="宋体" w:hint="eastAsia"/>
          <w:sz w:val="48"/>
        </w:rPr>
        <w:t xml:space="preserve">　 </w:t>
      </w:r>
    </w:p>
    <w:p w14:paraId="7BDC819E" w14:textId="3A8EE6CF" w:rsidR="0046526F" w:rsidRDefault="0046526F">
      <w:pPr>
        <w:spacing w:line="360" w:lineRule="auto"/>
        <w:rPr>
          <w:rFonts w:ascii="宋体" w:hAnsi="宋体" w:hint="eastAsia"/>
          <w:sz w:val="48"/>
        </w:rPr>
      </w:pPr>
      <w:r>
        <w:rPr>
          <w:rFonts w:ascii="宋体" w:hAnsi="宋体" w:hint="eastAsia"/>
          <w:sz w:val="48"/>
        </w:rPr>
        <w:t xml:space="preserve">　 </w:t>
      </w:r>
      <w:r w:rsidR="009740D3">
        <w:rPr>
          <w:rFonts w:ascii="宋体" w:hAnsi="宋体" w:hint="eastAsia"/>
          <w:sz w:val="48"/>
        </w:rPr>
        <w:t xml:space="preserve"> </w:t>
      </w:r>
    </w:p>
    <w:p w14:paraId="55658C19" w14:textId="77777777" w:rsidR="0046526F" w:rsidRDefault="0046526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标普港股通低波</w:t>
      </w:r>
      <w:proofErr w:type="gramEnd"/>
      <w:r>
        <w:rPr>
          <w:rFonts w:ascii="宋体" w:hAnsi="宋体" w:hint="eastAsia"/>
          <w:b/>
          <w:bCs/>
          <w:color w:val="000000" w:themeColor="text1"/>
          <w:sz w:val="48"/>
          <w:szCs w:val="30"/>
        </w:rPr>
        <w:t>红利交易型开放式指数证券投资基金</w:t>
      </w:r>
      <w:r>
        <w:rPr>
          <w:rFonts w:ascii="宋体" w:hAnsi="宋体" w:hint="eastAsia"/>
          <w:b/>
          <w:bCs/>
          <w:color w:val="000000" w:themeColor="text1"/>
          <w:sz w:val="48"/>
          <w:szCs w:val="30"/>
        </w:rPr>
        <w:br/>
        <w:t>2026年第1季度报告</w:t>
      </w:r>
    </w:p>
    <w:p w14:paraId="33BC851B"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624B3778" w14:textId="77777777" w:rsidR="0046526F" w:rsidRDefault="0046526F">
      <w:pPr>
        <w:spacing w:line="360" w:lineRule="auto"/>
        <w:jc w:val="center"/>
      </w:pPr>
      <w:r>
        <w:rPr>
          <w:rFonts w:ascii="宋体" w:hAnsi="宋体" w:hint="eastAsia"/>
          <w:b/>
          <w:bCs/>
          <w:sz w:val="28"/>
          <w:szCs w:val="30"/>
        </w:rPr>
        <w:t>2026年3月31日</w:t>
      </w:r>
    </w:p>
    <w:p w14:paraId="7A9BEE8D"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4B1B9002"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7B706F12"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2361F748" w14:textId="77777777" w:rsidR="0046526F" w:rsidRDefault="0046526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05854CF"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57BA3FE5"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1F3224F6"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61C0C164"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3AC7F2DE"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23BD0AD0"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26549113" w14:textId="77777777" w:rsidR="0046526F" w:rsidRDefault="0046526F">
      <w:pPr>
        <w:spacing w:line="360" w:lineRule="auto"/>
        <w:jc w:val="center"/>
        <w:rPr>
          <w:rFonts w:ascii="宋体" w:hAnsi="宋体" w:hint="eastAsia"/>
          <w:sz w:val="28"/>
          <w:szCs w:val="30"/>
        </w:rPr>
      </w:pPr>
      <w:r>
        <w:rPr>
          <w:rFonts w:ascii="宋体" w:hAnsi="宋体" w:hint="eastAsia"/>
          <w:sz w:val="28"/>
          <w:szCs w:val="30"/>
        </w:rPr>
        <w:t xml:space="preserve">　 </w:t>
      </w:r>
    </w:p>
    <w:p w14:paraId="154E52A2" w14:textId="77777777" w:rsidR="0046526F" w:rsidRDefault="0046526F">
      <w:pPr>
        <w:spacing w:line="360" w:lineRule="auto"/>
        <w:ind w:firstLineChars="800" w:firstLine="2249"/>
        <w:jc w:val="left"/>
      </w:pPr>
      <w:r>
        <w:rPr>
          <w:rFonts w:ascii="宋体" w:hAnsi="宋体" w:hint="eastAsia"/>
          <w:b/>
          <w:bCs/>
          <w:sz w:val="28"/>
          <w:szCs w:val="30"/>
        </w:rPr>
        <w:t>基金管理人：摩根基金管理（中国）有限公司</w:t>
      </w:r>
    </w:p>
    <w:p w14:paraId="78C4C453" w14:textId="77777777" w:rsidR="0046526F" w:rsidRDefault="0046526F">
      <w:pPr>
        <w:spacing w:line="360" w:lineRule="auto"/>
        <w:ind w:firstLineChars="800" w:firstLine="2249"/>
        <w:jc w:val="left"/>
      </w:pPr>
      <w:r>
        <w:rPr>
          <w:rFonts w:ascii="宋体" w:hAnsi="宋体" w:hint="eastAsia"/>
          <w:b/>
          <w:bCs/>
          <w:sz w:val="28"/>
          <w:szCs w:val="30"/>
        </w:rPr>
        <w:t>基金托管人：广发证券股份有限公司</w:t>
      </w:r>
    </w:p>
    <w:p w14:paraId="2FAC9C30" w14:textId="77777777" w:rsidR="0046526F" w:rsidRDefault="0046526F">
      <w:pPr>
        <w:spacing w:line="360" w:lineRule="auto"/>
        <w:ind w:firstLineChars="800" w:firstLine="2249"/>
        <w:jc w:val="left"/>
      </w:pPr>
      <w:r>
        <w:rPr>
          <w:rFonts w:ascii="宋体" w:hAnsi="宋体" w:hint="eastAsia"/>
          <w:b/>
          <w:bCs/>
          <w:sz w:val="28"/>
          <w:szCs w:val="30"/>
        </w:rPr>
        <w:t>报告送出日期：2026年4月22日</w:t>
      </w:r>
    </w:p>
    <w:p w14:paraId="0BF0B6FB" w14:textId="77777777" w:rsidR="0046526F" w:rsidRDefault="0046526F">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2CA870FC" w14:textId="77777777" w:rsidR="0046526F" w:rsidRDefault="0046526F">
      <w:pPr>
        <w:spacing w:line="360" w:lineRule="auto"/>
        <w:ind w:firstLineChars="200" w:firstLine="420"/>
        <w:divId w:val="1738018545"/>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w:t>
      </w:r>
      <w:proofErr w:type="gramStart"/>
      <w:r>
        <w:rPr>
          <w:rFonts w:ascii="宋体" w:hAnsi="宋体" w:hint="eastAsia"/>
        </w:rPr>
        <w:t>托管人广发</w:t>
      </w:r>
      <w:proofErr w:type="gramEnd"/>
      <w:r>
        <w:rPr>
          <w:rFonts w:ascii="宋体" w:hAnsi="宋体" w:hint="eastAsia"/>
        </w:rPr>
        <w:t xml:space="preserve">证券股份有限公司根据本基金合同规定，于2026年4月21日复核了本报告中的财务指标、净值表现和投资组合报告等内容，保证复核内容不存在虚假记载、误导性陈述或者重大遗漏。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503370E" w14:textId="77777777" w:rsidR="0046526F" w:rsidRDefault="0046526F">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3C3B26" w14:paraId="2976BA30" w14:textId="77777777">
        <w:trPr>
          <w:divId w:val="714426385"/>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4072C" w14:textId="77777777" w:rsidR="0046526F" w:rsidRDefault="0046526F">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3742330" w14:textId="77777777" w:rsidR="0046526F" w:rsidRDefault="0046526F">
            <w:pPr>
              <w:widowControl/>
              <w:spacing w:line="315" w:lineRule="atLeast"/>
              <w:jc w:val="left"/>
            </w:pPr>
            <w:r>
              <w:rPr>
                <w:rFonts w:asciiTheme="minorEastAsia" w:eastAsiaTheme="minorEastAsia" w:hAnsiTheme="minorEastAsia" w:hint="eastAsia"/>
              </w:rPr>
              <w:t>摩根</w:t>
            </w:r>
            <w:proofErr w:type="gramStart"/>
            <w:r>
              <w:rPr>
                <w:rFonts w:asciiTheme="minorEastAsia" w:eastAsiaTheme="minorEastAsia" w:hAnsiTheme="minorEastAsia" w:hint="eastAsia"/>
              </w:rPr>
              <w:t>标普港股通低波</w:t>
            </w:r>
            <w:proofErr w:type="gramEnd"/>
            <w:r>
              <w:rPr>
                <w:rFonts w:asciiTheme="minorEastAsia" w:eastAsiaTheme="minorEastAsia" w:hAnsiTheme="minorEastAsia" w:hint="eastAsia"/>
              </w:rPr>
              <w:t>红利ETF</w:t>
            </w:r>
          </w:p>
        </w:tc>
      </w:tr>
      <w:tr w:rsidR="003C3B26" w14:paraId="7D99A916"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D17D6F" w14:textId="77777777" w:rsidR="0046526F" w:rsidRDefault="0046526F">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1C5D56D" w14:textId="77777777" w:rsidR="0046526F" w:rsidRDefault="0046526F">
            <w:pPr>
              <w:widowControl/>
              <w:spacing w:line="315" w:lineRule="atLeast"/>
              <w:jc w:val="left"/>
            </w:pPr>
            <w:r>
              <w:rPr>
                <w:rFonts w:asciiTheme="minorEastAsia" w:eastAsiaTheme="minorEastAsia" w:hAnsiTheme="minorEastAsia" w:hint="eastAsia"/>
              </w:rPr>
              <w:t>513630</w:t>
            </w:r>
          </w:p>
        </w:tc>
      </w:tr>
      <w:tr w:rsidR="003C3B26" w14:paraId="4C6A805E"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AF89FD1" w14:textId="77777777" w:rsidR="0046526F" w:rsidRDefault="0046526F">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F17BAE9" w14:textId="77777777" w:rsidR="0046526F" w:rsidRDefault="0046526F">
            <w:pPr>
              <w:widowControl/>
              <w:spacing w:line="315" w:lineRule="atLeast"/>
              <w:jc w:val="left"/>
            </w:pPr>
            <w:r>
              <w:rPr>
                <w:rFonts w:asciiTheme="minorEastAsia" w:eastAsiaTheme="minorEastAsia" w:hAnsiTheme="minorEastAsia" w:hint="eastAsia"/>
              </w:rPr>
              <w:t>513630</w:t>
            </w:r>
          </w:p>
        </w:tc>
      </w:tr>
      <w:tr w:rsidR="003C3B26" w14:paraId="1035C127"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CB7C94" w14:textId="77777777" w:rsidR="0046526F" w:rsidRDefault="0046526F">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576F8DC" w14:textId="77777777" w:rsidR="0046526F" w:rsidRDefault="0046526F">
            <w:pPr>
              <w:widowControl/>
              <w:spacing w:line="315" w:lineRule="atLeast"/>
              <w:jc w:val="left"/>
            </w:pPr>
            <w:r>
              <w:rPr>
                <w:rFonts w:asciiTheme="minorEastAsia" w:eastAsiaTheme="minorEastAsia" w:hAnsiTheme="minorEastAsia" w:hint="eastAsia"/>
              </w:rPr>
              <w:t>交易型开放式</w:t>
            </w:r>
          </w:p>
        </w:tc>
      </w:tr>
      <w:tr w:rsidR="003C3B26" w14:paraId="1A025696"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93FB59A" w14:textId="77777777" w:rsidR="0046526F" w:rsidRDefault="0046526F">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C26DD3E" w14:textId="77777777" w:rsidR="0046526F" w:rsidRDefault="0046526F">
            <w:pPr>
              <w:widowControl/>
              <w:spacing w:line="315" w:lineRule="atLeast"/>
              <w:jc w:val="left"/>
            </w:pPr>
            <w:r>
              <w:rPr>
                <w:rFonts w:asciiTheme="minorEastAsia" w:eastAsiaTheme="minorEastAsia" w:hAnsiTheme="minorEastAsia" w:hint="eastAsia"/>
              </w:rPr>
              <w:t>2023年11月23日</w:t>
            </w:r>
          </w:p>
        </w:tc>
      </w:tr>
      <w:tr w:rsidR="003C3B26" w14:paraId="52B1C8C6" w14:textId="77777777">
        <w:trPr>
          <w:divId w:val="714426385"/>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6C081C5" w14:textId="77777777" w:rsidR="0046526F" w:rsidRDefault="0046526F">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23F5523" w14:textId="77777777" w:rsidR="0046526F" w:rsidRDefault="0046526F">
            <w:pPr>
              <w:widowControl/>
              <w:spacing w:line="315" w:lineRule="atLeast"/>
              <w:jc w:val="left"/>
            </w:pPr>
            <w:r>
              <w:rPr>
                <w:rFonts w:asciiTheme="minorEastAsia" w:eastAsiaTheme="minorEastAsia" w:hAnsiTheme="minorEastAsia" w:hint="eastAsia"/>
              </w:rPr>
              <w:t xml:space="preserve">9,557,359,000.00份 </w:t>
            </w:r>
          </w:p>
        </w:tc>
      </w:tr>
      <w:tr w:rsidR="003C3B26" w14:paraId="770A8FAB" w14:textId="77777777">
        <w:trPr>
          <w:divId w:val="71442638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9704274" w14:textId="77777777" w:rsidR="0046526F" w:rsidRDefault="0046526F">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2B2238C" w14:textId="77777777" w:rsidR="0046526F" w:rsidRDefault="0046526F">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3C3B26" w14:paraId="1DDE48CA" w14:textId="77777777">
        <w:trPr>
          <w:divId w:val="71442638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B367CD8" w14:textId="77777777" w:rsidR="0046526F" w:rsidRDefault="0046526F">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4604FB3" w14:textId="77777777" w:rsidR="0046526F" w:rsidRDefault="0046526F">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以期在规定</w:t>
            </w:r>
            <w:r>
              <w:rPr>
                <w:rFonts w:asciiTheme="minorEastAsia" w:eastAsiaTheme="minorEastAsia" w:hAnsiTheme="minorEastAsia" w:hint="eastAsia"/>
              </w:rPr>
              <w:lastRenderedPageBreak/>
              <w:t>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(3)本基金力争日均跟踪偏离度的绝对值不超过0.35%，年跟踪误差不超过4%。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(4)港股通标的股票投资策略</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3C3B26" w14:paraId="1A940C90"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39B4126" w14:textId="77777777" w:rsidR="0046526F" w:rsidRDefault="0046526F">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61F51DB" w14:textId="77777777" w:rsidR="0046526F" w:rsidRDefault="0046526F">
            <w:pPr>
              <w:widowControl/>
              <w:spacing w:line="315" w:lineRule="atLeast"/>
              <w:jc w:val="left"/>
            </w:pPr>
            <w:r>
              <w:rPr>
                <w:rFonts w:asciiTheme="minorEastAsia" w:eastAsiaTheme="minorEastAsia" w:hAnsiTheme="minorEastAsia" w:hint="eastAsia"/>
              </w:rPr>
              <w:t>本基金的业绩比较基准为标的指数，即</w:t>
            </w:r>
            <w:proofErr w:type="gramStart"/>
            <w:r>
              <w:rPr>
                <w:rFonts w:asciiTheme="minorEastAsia" w:eastAsiaTheme="minorEastAsia" w:hAnsiTheme="minorEastAsia" w:hint="eastAsia"/>
              </w:rPr>
              <w:t>标普港股通低波</w:t>
            </w:r>
            <w:proofErr w:type="gramEnd"/>
            <w:r>
              <w:rPr>
                <w:rFonts w:asciiTheme="minorEastAsia" w:eastAsiaTheme="minorEastAsia" w:hAnsiTheme="minorEastAsia" w:hint="eastAsia"/>
              </w:rPr>
              <w:t>红利指数收益率。本基金标的指数变更的，相应更换基金名称和业绩比较基准，并在履行适当程序后及时公告。</w:t>
            </w:r>
          </w:p>
        </w:tc>
      </w:tr>
      <w:tr w:rsidR="003C3B26" w14:paraId="6919E58E"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CB2A729" w14:textId="77777777" w:rsidR="0046526F" w:rsidRDefault="0046526F">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CC3A83D" w14:textId="77777777" w:rsidR="0046526F" w:rsidRDefault="0046526F">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r w:rsidR="003C3B26" w14:paraId="164BB1CE"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18857AC" w14:textId="77777777" w:rsidR="0046526F" w:rsidRDefault="0046526F">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6982838" w14:textId="77777777" w:rsidR="0046526F" w:rsidRDefault="0046526F">
            <w:pPr>
              <w:widowControl/>
              <w:spacing w:line="315" w:lineRule="atLeast"/>
              <w:jc w:val="left"/>
            </w:pPr>
            <w:r>
              <w:rPr>
                <w:rFonts w:asciiTheme="minorEastAsia" w:eastAsiaTheme="minorEastAsia" w:hAnsiTheme="minorEastAsia" w:hint="eastAsia"/>
              </w:rPr>
              <w:t>摩根基金管理（中国）有限公司</w:t>
            </w:r>
          </w:p>
        </w:tc>
      </w:tr>
      <w:tr w:rsidR="003C3B26" w14:paraId="04249B72" w14:textId="77777777">
        <w:trPr>
          <w:divId w:val="71442638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0F0EDEC" w14:textId="77777777" w:rsidR="0046526F" w:rsidRDefault="0046526F">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5E45884" w14:textId="77777777" w:rsidR="0046526F" w:rsidRDefault="0046526F">
            <w:pPr>
              <w:widowControl/>
              <w:spacing w:line="315" w:lineRule="atLeast"/>
              <w:jc w:val="left"/>
            </w:pPr>
            <w:r>
              <w:rPr>
                <w:rFonts w:asciiTheme="minorEastAsia" w:eastAsiaTheme="minorEastAsia" w:hAnsiTheme="minorEastAsia" w:hint="eastAsia"/>
              </w:rPr>
              <w:t>广发证券股份有限公司</w:t>
            </w:r>
          </w:p>
        </w:tc>
      </w:tr>
    </w:tbl>
    <w:p w14:paraId="0B6C0F94" w14:textId="77777777" w:rsidR="0046526F" w:rsidRDefault="0046526F">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4B9E45DB" w14:textId="77777777" w:rsidR="0046526F" w:rsidRDefault="0046526F">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11EAB907" w14:textId="77777777" w:rsidR="0046526F" w:rsidRDefault="0046526F">
      <w:pPr>
        <w:jc w:val="right"/>
        <w:divId w:val="195016482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3C3B26" w14:paraId="0E9A8079" w14:textId="77777777">
        <w:trPr>
          <w:divId w:val="1950164820"/>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4C90C8B" w14:textId="77777777" w:rsidR="0046526F" w:rsidRDefault="0046526F">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F329E1" w14:textId="77777777" w:rsidR="0046526F" w:rsidRDefault="0046526F">
            <w:pPr>
              <w:pStyle w:val="a5"/>
              <w:jc w:val="center"/>
              <w:rPr>
                <w:rFonts w:hint="eastAsia"/>
              </w:rPr>
            </w:pPr>
            <w:r>
              <w:rPr>
                <w:rFonts w:hint="eastAsia"/>
                <w:kern w:val="2"/>
                <w:sz w:val="21"/>
                <w:szCs w:val="24"/>
                <w:lang w:eastAsia="zh-Hans"/>
              </w:rPr>
              <w:t>报告期（2026年1月1日-2026年3月31日）</w:t>
            </w:r>
          </w:p>
        </w:tc>
      </w:tr>
      <w:tr w:rsidR="003C3B26" w14:paraId="2B2A8742" w14:textId="77777777">
        <w:trPr>
          <w:divId w:val="195016482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F4C5E" w14:textId="77777777" w:rsidR="0046526F" w:rsidRDefault="0046526F">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184A6" w14:textId="77777777" w:rsidR="0046526F" w:rsidRDefault="0046526F">
            <w:pPr>
              <w:jc w:val="right"/>
            </w:pPr>
            <w:r>
              <w:rPr>
                <w:rFonts w:ascii="宋体" w:hAnsi="宋体" w:hint="eastAsia"/>
                <w:szCs w:val="24"/>
                <w:lang w:eastAsia="zh-Hans"/>
              </w:rPr>
              <w:t>944,408,434.36</w:t>
            </w:r>
          </w:p>
        </w:tc>
      </w:tr>
      <w:tr w:rsidR="003C3B26" w14:paraId="1AD7F117" w14:textId="77777777">
        <w:trPr>
          <w:divId w:val="195016482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93B63C" w14:textId="77777777" w:rsidR="0046526F" w:rsidRDefault="0046526F">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2EBAB" w14:textId="77777777" w:rsidR="0046526F" w:rsidRDefault="0046526F">
            <w:pPr>
              <w:jc w:val="right"/>
            </w:pPr>
            <w:r>
              <w:rPr>
                <w:rFonts w:ascii="宋体" w:hAnsi="宋体" w:hint="eastAsia"/>
                <w:szCs w:val="24"/>
                <w:lang w:eastAsia="zh-Hans"/>
              </w:rPr>
              <w:t>347,318,917.10</w:t>
            </w:r>
          </w:p>
        </w:tc>
      </w:tr>
      <w:tr w:rsidR="003C3B26" w14:paraId="7EA389B1" w14:textId="77777777">
        <w:trPr>
          <w:divId w:val="195016482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48BD65" w14:textId="77777777" w:rsidR="0046526F" w:rsidRDefault="0046526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96B4D1" w14:textId="77777777" w:rsidR="0046526F" w:rsidRDefault="0046526F">
            <w:pPr>
              <w:jc w:val="right"/>
            </w:pPr>
            <w:r>
              <w:rPr>
                <w:rFonts w:ascii="宋体" w:hAnsi="宋体" w:hint="eastAsia"/>
                <w:szCs w:val="24"/>
                <w:lang w:eastAsia="zh-Hans"/>
              </w:rPr>
              <w:t>0.0359</w:t>
            </w:r>
          </w:p>
        </w:tc>
      </w:tr>
      <w:tr w:rsidR="003C3B26" w14:paraId="3B19A9E0" w14:textId="77777777">
        <w:trPr>
          <w:divId w:val="195016482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E64E59" w14:textId="77777777" w:rsidR="0046526F" w:rsidRDefault="0046526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8A0B2" w14:textId="77777777" w:rsidR="0046526F" w:rsidRDefault="0046526F">
            <w:pPr>
              <w:jc w:val="right"/>
            </w:pPr>
            <w:r>
              <w:rPr>
                <w:rFonts w:ascii="宋体" w:hAnsi="宋体" w:hint="eastAsia"/>
                <w:szCs w:val="24"/>
                <w:lang w:eastAsia="zh-Hans"/>
              </w:rPr>
              <w:t>15,667,981,146.38</w:t>
            </w:r>
          </w:p>
        </w:tc>
      </w:tr>
      <w:tr w:rsidR="003C3B26" w14:paraId="647F5D3E" w14:textId="77777777">
        <w:trPr>
          <w:divId w:val="195016482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96CEB7" w14:textId="77777777" w:rsidR="0046526F" w:rsidRDefault="0046526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5223D" w14:textId="77777777" w:rsidR="0046526F" w:rsidRDefault="0046526F">
            <w:pPr>
              <w:jc w:val="right"/>
            </w:pPr>
            <w:r>
              <w:rPr>
                <w:rFonts w:ascii="宋体" w:hAnsi="宋体" w:hint="eastAsia"/>
                <w:szCs w:val="24"/>
                <w:lang w:eastAsia="zh-Hans"/>
              </w:rPr>
              <w:t>1.6394</w:t>
            </w:r>
          </w:p>
        </w:tc>
      </w:tr>
    </w:tbl>
    <w:p w14:paraId="0529009F" w14:textId="77777777" w:rsidR="0046526F" w:rsidRDefault="0046526F">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w:t>
      </w:r>
      <w:r>
        <w:rPr>
          <w:rFonts w:ascii="宋体" w:hAnsi="宋体" w:hint="eastAsia"/>
          <w:szCs w:val="24"/>
          <w:lang w:eastAsia="zh-Hans"/>
        </w:rPr>
        <w:lastRenderedPageBreak/>
        <w:t>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11099939" w14:textId="77777777" w:rsidR="0046526F" w:rsidRDefault="0046526F">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3847E1CB" w14:textId="77777777" w:rsidR="0046526F" w:rsidRDefault="0046526F">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3C3B26" w14:paraId="06C6B174" w14:textId="77777777">
        <w:trPr>
          <w:divId w:val="1646815504"/>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AE0A87" w14:textId="77777777" w:rsidR="0046526F" w:rsidRDefault="0046526F">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D6B876" w14:textId="77777777" w:rsidR="0046526F" w:rsidRDefault="0046526F">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6F2B0F" w14:textId="77777777" w:rsidR="0046526F" w:rsidRDefault="0046526F">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D3AE05" w14:textId="77777777" w:rsidR="0046526F" w:rsidRDefault="0046526F">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C7F245" w14:textId="77777777" w:rsidR="0046526F" w:rsidRDefault="0046526F">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A63607" w14:textId="77777777" w:rsidR="0046526F" w:rsidRDefault="0046526F">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739922" w14:textId="77777777" w:rsidR="0046526F" w:rsidRDefault="0046526F">
            <w:pPr>
              <w:spacing w:line="360" w:lineRule="auto"/>
              <w:jc w:val="center"/>
            </w:pPr>
            <w:r>
              <w:rPr>
                <w:rFonts w:ascii="宋体" w:hAnsi="宋体" w:hint="eastAsia"/>
              </w:rPr>
              <w:t xml:space="preserve">②－④ </w:t>
            </w:r>
          </w:p>
        </w:tc>
      </w:tr>
      <w:tr w:rsidR="003C3B26" w14:paraId="23A73CB7" w14:textId="77777777">
        <w:trPr>
          <w:divId w:val="16468155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F926B9C" w14:textId="77777777" w:rsidR="0046526F" w:rsidRDefault="0046526F">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37098C" w14:textId="77777777" w:rsidR="0046526F" w:rsidRDefault="0046526F">
            <w:pPr>
              <w:spacing w:line="360" w:lineRule="auto"/>
              <w:jc w:val="right"/>
            </w:pPr>
            <w:r>
              <w:rPr>
                <w:rFonts w:ascii="宋体" w:hAnsi="宋体" w:hint="eastAsia"/>
              </w:rPr>
              <w:t>2.06%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7643CE" w14:textId="77777777" w:rsidR="0046526F" w:rsidRDefault="0046526F">
            <w:pPr>
              <w:spacing w:line="360" w:lineRule="auto"/>
              <w:jc w:val="right"/>
            </w:pPr>
            <w:r>
              <w:rPr>
                <w:rFonts w:ascii="宋体" w:hAnsi="宋体" w:hint="eastAsia"/>
              </w:rPr>
              <w:t>0.91%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143118" w14:textId="77777777" w:rsidR="0046526F" w:rsidRDefault="0046526F">
            <w:pPr>
              <w:spacing w:line="360" w:lineRule="auto"/>
              <w:jc w:val="right"/>
            </w:pPr>
            <w:r>
              <w:rPr>
                <w:rFonts w:ascii="宋体" w:hAnsi="宋体" w:hint="eastAsia"/>
              </w:rPr>
              <w:t xml:space="preserve">2.31%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AC37EA" w14:textId="77777777" w:rsidR="0046526F" w:rsidRDefault="0046526F">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E9EFD0" w14:textId="77777777" w:rsidR="0046526F" w:rsidRDefault="0046526F">
            <w:pPr>
              <w:spacing w:line="360" w:lineRule="auto"/>
              <w:jc w:val="right"/>
            </w:pPr>
            <w:r>
              <w:rPr>
                <w:rFonts w:ascii="宋体" w:hAnsi="宋体" w:hint="eastAsia"/>
              </w:rPr>
              <w:t>-0.25%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A1D64D" w14:textId="77777777" w:rsidR="0046526F" w:rsidRDefault="0046526F">
            <w:pPr>
              <w:spacing w:line="360" w:lineRule="auto"/>
              <w:jc w:val="right"/>
            </w:pPr>
            <w:r>
              <w:rPr>
                <w:rFonts w:ascii="宋体" w:hAnsi="宋体" w:hint="eastAsia"/>
              </w:rPr>
              <w:t>-0.02%</w:t>
            </w:r>
          </w:p>
        </w:tc>
      </w:tr>
      <w:tr w:rsidR="003C3B26" w14:paraId="7A44C9A7" w14:textId="77777777">
        <w:trPr>
          <w:divId w:val="16468155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1D0EBCE" w14:textId="77777777" w:rsidR="0046526F" w:rsidRDefault="0046526F">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F327F0" w14:textId="77777777" w:rsidR="0046526F" w:rsidRDefault="0046526F">
            <w:pPr>
              <w:spacing w:line="360" w:lineRule="auto"/>
              <w:jc w:val="right"/>
            </w:pPr>
            <w:r>
              <w:rPr>
                <w:rFonts w:ascii="宋体" w:hAnsi="宋体" w:hint="eastAsia"/>
              </w:rPr>
              <w:t>6.66%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4FDD74" w14:textId="77777777" w:rsidR="0046526F" w:rsidRDefault="0046526F">
            <w:pPr>
              <w:spacing w:line="360" w:lineRule="auto"/>
              <w:jc w:val="right"/>
            </w:pPr>
            <w:r>
              <w:rPr>
                <w:rFonts w:ascii="宋体" w:hAnsi="宋体" w:hint="eastAsia"/>
              </w:rPr>
              <w:t>0.85%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EF9EFA" w14:textId="77777777" w:rsidR="0046526F" w:rsidRDefault="0046526F">
            <w:pPr>
              <w:spacing w:line="360" w:lineRule="auto"/>
              <w:jc w:val="right"/>
            </w:pPr>
            <w:r>
              <w:rPr>
                <w:rFonts w:ascii="宋体" w:hAnsi="宋体" w:hint="eastAsia"/>
              </w:rPr>
              <w:t xml:space="preserve">6.60%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B2D5FA" w14:textId="77777777" w:rsidR="0046526F" w:rsidRDefault="0046526F">
            <w:pPr>
              <w:spacing w:line="360" w:lineRule="auto"/>
              <w:jc w:val="right"/>
            </w:pPr>
            <w:r>
              <w:rPr>
                <w:rFonts w:ascii="宋体" w:hAnsi="宋体" w:hint="eastAsia"/>
              </w:rPr>
              <w:t>0.86%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C7CD02" w14:textId="77777777" w:rsidR="0046526F" w:rsidRDefault="0046526F">
            <w:pPr>
              <w:spacing w:line="360" w:lineRule="auto"/>
              <w:jc w:val="right"/>
            </w:pPr>
            <w:r>
              <w:rPr>
                <w:rFonts w:ascii="宋体" w:hAnsi="宋体" w:hint="eastAsia"/>
              </w:rPr>
              <w:t>0.06%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10A2DD" w14:textId="77777777" w:rsidR="0046526F" w:rsidRDefault="0046526F">
            <w:pPr>
              <w:spacing w:line="360" w:lineRule="auto"/>
              <w:jc w:val="right"/>
            </w:pPr>
            <w:r>
              <w:rPr>
                <w:rFonts w:ascii="宋体" w:hAnsi="宋体" w:hint="eastAsia"/>
              </w:rPr>
              <w:t>-0.01%</w:t>
            </w:r>
          </w:p>
        </w:tc>
      </w:tr>
      <w:tr w:rsidR="003C3B26" w14:paraId="685E0F54" w14:textId="77777777">
        <w:trPr>
          <w:divId w:val="16468155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BF915E9" w14:textId="77777777" w:rsidR="0046526F" w:rsidRDefault="0046526F">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CA6A6D" w14:textId="77777777" w:rsidR="0046526F" w:rsidRDefault="0046526F">
            <w:pPr>
              <w:spacing w:line="360" w:lineRule="auto"/>
              <w:jc w:val="right"/>
            </w:pPr>
            <w:r>
              <w:rPr>
                <w:rFonts w:ascii="宋体" w:hAnsi="宋体" w:hint="eastAsia"/>
              </w:rPr>
              <w:t>24.75%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61CF2F" w14:textId="77777777" w:rsidR="0046526F" w:rsidRDefault="0046526F">
            <w:pPr>
              <w:spacing w:line="360" w:lineRule="auto"/>
              <w:jc w:val="right"/>
            </w:pPr>
            <w:r>
              <w:rPr>
                <w:rFonts w:ascii="宋体" w:hAnsi="宋体" w:hint="eastAsia"/>
              </w:rPr>
              <w:t>0.92%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561404" w14:textId="77777777" w:rsidR="0046526F" w:rsidRDefault="0046526F">
            <w:pPr>
              <w:spacing w:line="360" w:lineRule="auto"/>
              <w:jc w:val="right"/>
            </w:pPr>
            <w:r>
              <w:rPr>
                <w:rFonts w:ascii="宋体" w:hAnsi="宋体" w:hint="eastAsia"/>
              </w:rPr>
              <w:t xml:space="preserve">19.50%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4AC468" w14:textId="77777777" w:rsidR="0046526F" w:rsidRDefault="0046526F">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5D936F" w14:textId="77777777" w:rsidR="0046526F" w:rsidRDefault="0046526F">
            <w:pPr>
              <w:spacing w:line="360" w:lineRule="auto"/>
              <w:jc w:val="right"/>
            </w:pPr>
            <w:r>
              <w:rPr>
                <w:rFonts w:ascii="宋体" w:hAnsi="宋体" w:hint="eastAsia"/>
              </w:rPr>
              <w:t>5.25%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EDF85D" w14:textId="77777777" w:rsidR="0046526F" w:rsidRDefault="0046526F">
            <w:pPr>
              <w:spacing w:line="360" w:lineRule="auto"/>
              <w:jc w:val="right"/>
            </w:pPr>
            <w:r>
              <w:rPr>
                <w:rFonts w:ascii="宋体" w:hAnsi="宋体" w:hint="eastAsia"/>
              </w:rPr>
              <w:t>-0.01%</w:t>
            </w:r>
          </w:p>
        </w:tc>
      </w:tr>
      <w:tr w:rsidR="003C3B26" w14:paraId="6561D1E3" w14:textId="77777777">
        <w:trPr>
          <w:divId w:val="16468155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B7EF9FB" w14:textId="77777777" w:rsidR="0046526F" w:rsidRDefault="0046526F">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4904AC" w14:textId="77777777" w:rsidR="0046526F" w:rsidRDefault="0046526F">
            <w:pPr>
              <w:spacing w:line="360" w:lineRule="auto"/>
              <w:jc w:val="right"/>
            </w:pPr>
            <w:r>
              <w:rPr>
                <w:rFonts w:ascii="宋体" w:hAnsi="宋体" w:hint="eastAsia"/>
              </w:rPr>
              <w:t>64.73%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45294D" w14:textId="77777777" w:rsidR="0046526F" w:rsidRDefault="0046526F">
            <w:pPr>
              <w:spacing w:line="360" w:lineRule="auto"/>
              <w:jc w:val="right"/>
            </w:pPr>
            <w:r>
              <w:rPr>
                <w:rFonts w:ascii="宋体" w:hAnsi="宋体" w:hint="eastAsia"/>
              </w:rPr>
              <w:t>0.99%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4E619C" w14:textId="77777777" w:rsidR="0046526F" w:rsidRDefault="0046526F">
            <w:pPr>
              <w:spacing w:line="360" w:lineRule="auto"/>
              <w:jc w:val="right"/>
            </w:pPr>
            <w:r>
              <w:rPr>
                <w:rFonts w:ascii="宋体" w:hAnsi="宋体" w:hint="eastAsia"/>
              </w:rPr>
              <w:t xml:space="preserve">54.90%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039A93" w14:textId="77777777" w:rsidR="0046526F" w:rsidRDefault="0046526F">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4DF1CF" w14:textId="77777777" w:rsidR="0046526F" w:rsidRDefault="0046526F">
            <w:pPr>
              <w:spacing w:line="360" w:lineRule="auto"/>
              <w:jc w:val="right"/>
            </w:pPr>
            <w:r>
              <w:rPr>
                <w:rFonts w:ascii="宋体" w:hAnsi="宋体" w:hint="eastAsia"/>
              </w:rPr>
              <w:t>9.83%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428E82" w14:textId="77777777" w:rsidR="0046526F" w:rsidRDefault="0046526F">
            <w:pPr>
              <w:spacing w:line="360" w:lineRule="auto"/>
              <w:jc w:val="right"/>
            </w:pPr>
            <w:r>
              <w:rPr>
                <w:rFonts w:ascii="宋体" w:hAnsi="宋体" w:hint="eastAsia"/>
              </w:rPr>
              <w:t>-0.01%</w:t>
            </w:r>
          </w:p>
        </w:tc>
      </w:tr>
    </w:tbl>
    <w:p w14:paraId="74BDE84C" w14:textId="77777777" w:rsidR="0046526F" w:rsidRDefault="0046526F">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3485AEF6" w14:textId="54C71A5F" w:rsidR="0046526F" w:rsidRDefault="00252D2E">
      <w:pPr>
        <w:spacing w:line="360" w:lineRule="auto"/>
        <w:jc w:val="left"/>
        <w:divId w:val="957568240"/>
      </w:pPr>
      <w:bookmarkStart w:id="51" w:name="m07_04_07_09_tab"/>
      <w:bookmarkStart w:id="52" w:name="m07_04_07_09"/>
      <w:bookmarkStart w:id="53" w:name="m01_01"/>
      <w:r>
        <w:rPr>
          <w:rFonts w:ascii="宋体" w:hAnsi="宋体" w:hint="eastAsia"/>
          <w:noProof/>
        </w:rPr>
        <w:drawing>
          <wp:inline distT="0" distB="0" distL="0" distR="0" wp14:anchorId="754B9802" wp14:editId="70137B5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795D6E2" w14:textId="77777777" w:rsidR="0046526F" w:rsidRDefault="0046526F">
      <w:pPr>
        <w:spacing w:line="360" w:lineRule="auto"/>
        <w:divId w:val="957568240"/>
      </w:pPr>
      <w:r>
        <w:rPr>
          <w:rFonts w:ascii="宋体" w:hAnsi="宋体" w:hint="eastAsia"/>
        </w:rPr>
        <w:t>注：</w:t>
      </w:r>
      <w:r>
        <w:rPr>
          <w:rFonts w:ascii="宋体" w:hAnsi="宋体" w:hint="eastAsia"/>
          <w:lang w:eastAsia="zh-Hans"/>
        </w:rPr>
        <w:t>本基金合同生效日为2023年11月23日，图示的时间段为合同生效日至本报告期末。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1A614278" w14:textId="77777777" w:rsidR="0046526F" w:rsidRDefault="0046526F">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lastRenderedPageBreak/>
        <w:t>管理人报告</w:t>
      </w:r>
      <w:bookmarkEnd w:id="54"/>
      <w:bookmarkEnd w:id="55"/>
      <w:bookmarkEnd w:id="56"/>
      <w:bookmarkEnd w:id="57"/>
      <w:bookmarkEnd w:id="58"/>
      <w:proofErr w:type="spellEnd"/>
      <w:r>
        <w:rPr>
          <w:rFonts w:hAnsi="宋体" w:hint="eastAsia"/>
        </w:rPr>
        <w:t xml:space="preserve"> </w:t>
      </w:r>
    </w:p>
    <w:p w14:paraId="203FA912" w14:textId="77777777" w:rsidR="0046526F" w:rsidRDefault="0046526F">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C3B26" w14:paraId="39C32B27" w14:textId="77777777">
        <w:trPr>
          <w:divId w:val="3386264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5E936" w14:textId="77777777" w:rsidR="0046526F" w:rsidRDefault="0046526F">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09602" w14:textId="77777777" w:rsidR="0046526F" w:rsidRDefault="0046526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798F3" w14:textId="77777777" w:rsidR="0046526F" w:rsidRDefault="0046526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39464" w14:textId="77777777" w:rsidR="0046526F" w:rsidRDefault="0046526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B0B2AA" w14:textId="77777777" w:rsidR="0046526F" w:rsidRDefault="0046526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C3B26" w14:paraId="5100A35B" w14:textId="77777777">
        <w:trPr>
          <w:divId w:val="3386264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B59B4" w14:textId="77777777" w:rsidR="0046526F" w:rsidRDefault="0046526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CFC66" w14:textId="77777777" w:rsidR="0046526F" w:rsidRDefault="0046526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B9CC3" w14:textId="77777777" w:rsidR="0046526F" w:rsidRDefault="0046526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9B829" w14:textId="77777777" w:rsidR="0046526F" w:rsidRDefault="0046526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AD623" w14:textId="77777777" w:rsidR="0046526F" w:rsidRDefault="0046526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5BD02" w14:textId="77777777" w:rsidR="0046526F" w:rsidRDefault="0046526F">
            <w:pPr>
              <w:widowControl/>
              <w:jc w:val="left"/>
            </w:pPr>
          </w:p>
        </w:tc>
      </w:tr>
      <w:tr w:rsidR="003C3B26" w14:paraId="426E6ABF" w14:textId="77777777">
        <w:trPr>
          <w:divId w:val="3386264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7CBA7" w14:textId="77777777" w:rsidR="0046526F" w:rsidRDefault="0046526F">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C873C" w14:textId="77777777" w:rsidR="0046526F" w:rsidRDefault="0046526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CB9CD" w14:textId="77777777" w:rsidR="0046526F" w:rsidRDefault="0046526F">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0BF5F" w14:textId="77777777" w:rsidR="0046526F" w:rsidRDefault="0046526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A6771" w14:textId="77777777" w:rsidR="0046526F" w:rsidRDefault="0046526F">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F4246" w14:textId="77777777" w:rsidR="0046526F" w:rsidRDefault="0046526F">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r w:rsidR="003C3B26" w14:paraId="33778D14" w14:textId="77777777">
        <w:trPr>
          <w:divId w:val="3386264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1E9D8" w14:textId="77777777" w:rsidR="0046526F" w:rsidRDefault="0046526F">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4CFBE" w14:textId="77777777" w:rsidR="0046526F" w:rsidRDefault="0046526F">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2A8C7" w14:textId="77777777" w:rsidR="0046526F" w:rsidRDefault="0046526F">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1C4B1" w14:textId="77777777" w:rsidR="0046526F" w:rsidRDefault="0046526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39171" w14:textId="77777777" w:rsidR="0046526F" w:rsidRDefault="0046526F">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F7F68" w14:textId="77777777" w:rsidR="0046526F" w:rsidRDefault="0046526F">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0C6BF902" w14:textId="77777777" w:rsidR="0046526F" w:rsidRDefault="0046526F">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53C72CE" w14:textId="77777777" w:rsidR="0046526F" w:rsidRDefault="0046526F">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1B0D21B4" w14:textId="77777777" w:rsidR="0046526F" w:rsidRDefault="0046526F">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1D2BA33" w14:textId="77777777" w:rsidR="0046526F" w:rsidRDefault="0046526F">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6C3E1F20" w14:textId="77777777" w:rsidR="0046526F" w:rsidRDefault="0046526F">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263CFE58" w14:textId="77777777" w:rsidR="0046526F" w:rsidRDefault="0046526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CF64938" w14:textId="77777777" w:rsidR="0046526F" w:rsidRDefault="0046526F">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5F639540" w14:textId="77777777" w:rsidR="0046526F" w:rsidRDefault="0046526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A61A307" w14:textId="77777777" w:rsidR="0046526F" w:rsidRDefault="0046526F">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5EB7F0CC" w14:textId="77777777" w:rsidR="0046526F" w:rsidRDefault="0046526F">
      <w:pPr>
        <w:spacing w:line="360" w:lineRule="auto"/>
        <w:ind w:firstLineChars="200" w:firstLine="420"/>
        <w:jc w:val="left"/>
      </w:pPr>
      <w:r>
        <w:rPr>
          <w:rFonts w:ascii="宋体" w:hAnsi="宋体" w:cs="宋体" w:hint="eastAsia"/>
          <w:color w:val="000000"/>
          <w:kern w:val="0"/>
        </w:rPr>
        <w:t>2026年一季度，</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指数先涨后跌，季度累计上涨4.65%。一季度港股整体走势分化：1月在内外资共振下，恒生指数一度突破28000点；2月受科技股集中回调的影响，恒生科技指数单月重挫逾10%，市场风格显著切换；3月以来，中东局势持续升级，国际油价突破百元关口，美联储降息预期随之大幅收敛，外资阶段性流出，港股主板承压明显。在此背景下，该指数的防御特性得到充分体现：2月科技风格深度调整期间，指数因其高股息、低波动的属性反而逆势上涨；3月国际油价高企，指数中能源、公用事业等板块亦为其表现提供了一定的缓冲。</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展望未来，宏观层面，中东局势是当前影响全球资产定价的核心变量：国际油价破</w:t>
      </w:r>
      <w:proofErr w:type="gramStart"/>
      <w:r>
        <w:rPr>
          <w:rFonts w:ascii="宋体" w:hAnsi="宋体" w:cs="宋体" w:hint="eastAsia"/>
          <w:color w:val="000000"/>
          <w:kern w:val="0"/>
        </w:rPr>
        <w:t>百带来</w:t>
      </w:r>
      <w:proofErr w:type="gramEnd"/>
      <w:r>
        <w:rPr>
          <w:rFonts w:ascii="宋体" w:hAnsi="宋体" w:cs="宋体" w:hint="eastAsia"/>
          <w:color w:val="000000"/>
          <w:kern w:val="0"/>
        </w:rPr>
        <w:t>的通胀压力，已使美联储降息窗口明显推迟，全球利率中枢较此前预期或将有所上移。在此背景下，港股整体估值扩张空间受到一定约束，但对</w:t>
      </w:r>
      <w:proofErr w:type="gramStart"/>
      <w:r>
        <w:rPr>
          <w:rFonts w:ascii="宋体" w:hAnsi="宋体" w:cs="宋体" w:hint="eastAsia"/>
          <w:color w:val="000000"/>
          <w:kern w:val="0"/>
        </w:rPr>
        <w:t>本指数</w:t>
      </w:r>
      <w:proofErr w:type="gramEnd"/>
      <w:r>
        <w:rPr>
          <w:rFonts w:ascii="宋体" w:hAnsi="宋体" w:cs="宋体" w:hint="eastAsia"/>
          <w:color w:val="000000"/>
          <w:kern w:val="0"/>
        </w:rPr>
        <w:t>而言，公用事业、能源等板块相对较高的权重反而在油价上行周期中对指数表现形成了结构性支撑。与此同时，对AI产业投入回报不确定性的担忧也引发了一定程度的资金再平衡需求，有望推动更多配置资金转向红利等防御性资产。中长期来看，伴随中国经济稳步复苏叠加"</w:t>
      </w:r>
      <w:proofErr w:type="gramStart"/>
      <w:r>
        <w:rPr>
          <w:rFonts w:ascii="宋体" w:hAnsi="宋体" w:cs="宋体" w:hint="eastAsia"/>
          <w:color w:val="000000"/>
          <w:kern w:val="0"/>
        </w:rPr>
        <w:t>十五五</w:t>
      </w:r>
      <w:proofErr w:type="gramEnd"/>
      <w:r>
        <w:rPr>
          <w:rFonts w:ascii="宋体" w:hAnsi="宋体" w:cs="宋体" w:hint="eastAsia"/>
          <w:color w:val="000000"/>
          <w:kern w:val="0"/>
        </w:rPr>
        <w:t>"规划政策逐步落地，公用事业、金融等高股息板块的盈利韧性料将持续。预计在震荡加剧的市场环境中，港股红利</w:t>
      </w:r>
      <w:proofErr w:type="gramStart"/>
      <w:r>
        <w:rPr>
          <w:rFonts w:ascii="宋体" w:hAnsi="宋体" w:cs="宋体" w:hint="eastAsia"/>
          <w:color w:val="000000"/>
          <w:kern w:val="0"/>
        </w:rPr>
        <w:t>低波资产</w:t>
      </w:r>
      <w:proofErr w:type="gramEnd"/>
      <w:r>
        <w:rPr>
          <w:rFonts w:ascii="宋体" w:hAnsi="宋体" w:cs="宋体" w:hint="eastAsia"/>
          <w:color w:val="000000"/>
          <w:kern w:val="0"/>
        </w:rPr>
        <w:t>"防御+收益"</w:t>
      </w:r>
      <w:r>
        <w:rPr>
          <w:rFonts w:ascii="宋体" w:hAnsi="宋体" w:cs="宋体" w:hint="eastAsia"/>
          <w:color w:val="000000"/>
          <w:kern w:val="0"/>
        </w:rPr>
        <w:lastRenderedPageBreak/>
        <w:t>的双重属性将持续吸引配置型资金，成为底仓构建的优质选择。</w:t>
      </w:r>
    </w:p>
    <w:p w14:paraId="519DB739" w14:textId="77777777" w:rsidR="0046526F" w:rsidRDefault="0046526F">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2A8ADBE0" w14:textId="77777777" w:rsidR="0046526F" w:rsidRDefault="0046526F">
      <w:pPr>
        <w:spacing w:line="360" w:lineRule="auto"/>
        <w:ind w:firstLineChars="200" w:firstLine="420"/>
        <w:divId w:val="888222147"/>
      </w:pPr>
      <w:r>
        <w:rPr>
          <w:rFonts w:ascii="宋体" w:hAnsi="宋体" w:hint="eastAsia"/>
        </w:rPr>
        <w:t>本报告期摩根</w:t>
      </w:r>
      <w:proofErr w:type="gramStart"/>
      <w:r>
        <w:rPr>
          <w:rFonts w:ascii="宋体" w:hAnsi="宋体" w:hint="eastAsia"/>
        </w:rPr>
        <w:t>标普港股通低波</w:t>
      </w:r>
      <w:proofErr w:type="gramEnd"/>
      <w:r>
        <w:rPr>
          <w:rFonts w:ascii="宋体" w:hAnsi="宋体" w:hint="eastAsia"/>
        </w:rPr>
        <w:t>红利ETF份额净值增长率为:2.06%，同期业绩比较基准收益率为:2.31%。</w:t>
      </w:r>
    </w:p>
    <w:p w14:paraId="2C21F5DF" w14:textId="77777777" w:rsidR="0046526F" w:rsidRDefault="0046526F">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2DE22928" w14:textId="77777777" w:rsidR="0046526F" w:rsidRDefault="0046526F">
      <w:pPr>
        <w:spacing w:line="360" w:lineRule="auto"/>
        <w:ind w:firstLineChars="200" w:firstLine="420"/>
        <w:jc w:val="left"/>
      </w:pPr>
      <w:r>
        <w:rPr>
          <w:rFonts w:ascii="宋体" w:hAnsi="宋体" w:hint="eastAsia"/>
        </w:rPr>
        <w:t>无。</w:t>
      </w:r>
    </w:p>
    <w:p w14:paraId="58519F66" w14:textId="77777777" w:rsidR="0046526F" w:rsidRDefault="0046526F">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4E5CEAEA" w14:textId="77777777" w:rsidR="0046526F" w:rsidRDefault="0046526F">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C3B26" w14:paraId="7B9A78BD"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ACEB32" w14:textId="77777777" w:rsidR="0046526F" w:rsidRDefault="0046526F">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DC7D559" w14:textId="77777777" w:rsidR="0046526F" w:rsidRDefault="0046526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6509EA9" w14:textId="77777777" w:rsidR="0046526F" w:rsidRDefault="0046526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DE37F60" w14:textId="77777777" w:rsidR="0046526F" w:rsidRDefault="0046526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C3B26" w14:paraId="12A4AA11"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16D5F4" w14:textId="77777777" w:rsidR="0046526F" w:rsidRDefault="0046526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71AF60A" w14:textId="77777777" w:rsidR="0046526F" w:rsidRDefault="0046526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5DB5FA" w14:textId="77777777" w:rsidR="0046526F" w:rsidRDefault="0046526F">
            <w:pPr>
              <w:jc w:val="right"/>
            </w:pPr>
            <w:r>
              <w:rPr>
                <w:rFonts w:ascii="宋体" w:hAnsi="宋体" w:hint="eastAsia"/>
                <w:szCs w:val="24"/>
                <w:lang w:eastAsia="zh-Hans"/>
              </w:rPr>
              <w:t>15,556,167,718.37</w:t>
            </w:r>
          </w:p>
        </w:tc>
        <w:tc>
          <w:tcPr>
            <w:tcW w:w="1333" w:type="pct"/>
            <w:tcBorders>
              <w:top w:val="single" w:sz="4" w:space="0" w:color="auto"/>
              <w:left w:val="nil"/>
              <w:bottom w:val="single" w:sz="4" w:space="0" w:color="auto"/>
              <w:right w:val="single" w:sz="4" w:space="0" w:color="auto"/>
            </w:tcBorders>
            <w:vAlign w:val="center"/>
            <w:hideMark/>
          </w:tcPr>
          <w:p w14:paraId="461AF137" w14:textId="77777777" w:rsidR="0046526F" w:rsidRDefault="0046526F">
            <w:pPr>
              <w:jc w:val="right"/>
            </w:pPr>
            <w:r>
              <w:rPr>
                <w:rFonts w:ascii="宋体" w:hAnsi="宋体" w:hint="eastAsia"/>
                <w:szCs w:val="24"/>
                <w:lang w:eastAsia="zh-Hans"/>
              </w:rPr>
              <w:t>99.20</w:t>
            </w:r>
          </w:p>
        </w:tc>
      </w:tr>
      <w:tr w:rsidR="003C3B26" w14:paraId="2D850EF2"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1D14E8" w14:textId="77777777" w:rsidR="0046526F" w:rsidRDefault="004652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B7F41A" w14:textId="77777777" w:rsidR="0046526F" w:rsidRDefault="0046526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1C71E5" w14:textId="77777777" w:rsidR="0046526F" w:rsidRDefault="0046526F">
            <w:pPr>
              <w:jc w:val="right"/>
            </w:pPr>
            <w:r>
              <w:rPr>
                <w:rFonts w:ascii="宋体" w:hAnsi="宋体" w:hint="eastAsia"/>
                <w:szCs w:val="24"/>
                <w:lang w:eastAsia="zh-Hans"/>
              </w:rPr>
              <w:t>15,556,167,718.37</w:t>
            </w:r>
          </w:p>
        </w:tc>
        <w:tc>
          <w:tcPr>
            <w:tcW w:w="1333" w:type="pct"/>
            <w:tcBorders>
              <w:top w:val="single" w:sz="4" w:space="0" w:color="auto"/>
              <w:left w:val="nil"/>
              <w:bottom w:val="single" w:sz="4" w:space="0" w:color="auto"/>
              <w:right w:val="single" w:sz="4" w:space="0" w:color="auto"/>
            </w:tcBorders>
            <w:vAlign w:val="center"/>
            <w:hideMark/>
          </w:tcPr>
          <w:p w14:paraId="1A4A3FFA" w14:textId="77777777" w:rsidR="0046526F" w:rsidRDefault="0046526F">
            <w:pPr>
              <w:jc w:val="right"/>
            </w:pPr>
            <w:r>
              <w:rPr>
                <w:rFonts w:ascii="宋体" w:hAnsi="宋体" w:hint="eastAsia"/>
                <w:szCs w:val="24"/>
                <w:lang w:eastAsia="zh-Hans"/>
              </w:rPr>
              <w:t>99.20</w:t>
            </w:r>
          </w:p>
        </w:tc>
      </w:tr>
      <w:tr w:rsidR="003C3B26" w14:paraId="45BED461"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9B2B6F" w14:textId="77777777" w:rsidR="0046526F" w:rsidRDefault="0046526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FDE3324" w14:textId="77777777" w:rsidR="0046526F" w:rsidRDefault="0046526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5CC28B"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A03FDD" w14:textId="77777777" w:rsidR="0046526F" w:rsidRDefault="0046526F">
            <w:pPr>
              <w:jc w:val="right"/>
            </w:pPr>
            <w:r>
              <w:rPr>
                <w:rFonts w:ascii="宋体" w:hAnsi="宋体" w:hint="eastAsia"/>
                <w:szCs w:val="24"/>
                <w:lang w:eastAsia="zh-Hans"/>
              </w:rPr>
              <w:t>-</w:t>
            </w:r>
          </w:p>
        </w:tc>
      </w:tr>
      <w:tr w:rsidR="003C3B26" w14:paraId="33C4CC0D"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E677F0" w14:textId="77777777" w:rsidR="0046526F" w:rsidRDefault="0046526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893FED7" w14:textId="77777777" w:rsidR="0046526F" w:rsidRDefault="0046526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A450FA"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C35C9C" w14:textId="77777777" w:rsidR="0046526F" w:rsidRDefault="0046526F">
            <w:pPr>
              <w:jc w:val="right"/>
            </w:pPr>
            <w:r>
              <w:rPr>
                <w:rFonts w:ascii="宋体" w:hAnsi="宋体" w:hint="eastAsia"/>
                <w:szCs w:val="24"/>
                <w:lang w:eastAsia="zh-Hans"/>
              </w:rPr>
              <w:t>-</w:t>
            </w:r>
          </w:p>
        </w:tc>
      </w:tr>
      <w:tr w:rsidR="003C3B26" w14:paraId="54DD4068"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D4E079" w14:textId="77777777" w:rsidR="0046526F" w:rsidRDefault="004652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B43BF4" w14:textId="77777777" w:rsidR="0046526F" w:rsidRDefault="0046526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6CC9BE"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847083" w14:textId="77777777" w:rsidR="0046526F" w:rsidRDefault="0046526F">
            <w:pPr>
              <w:jc w:val="right"/>
            </w:pPr>
            <w:r>
              <w:rPr>
                <w:rFonts w:ascii="宋体" w:hAnsi="宋体" w:hint="eastAsia"/>
                <w:szCs w:val="24"/>
                <w:lang w:eastAsia="zh-Hans"/>
              </w:rPr>
              <w:t>-</w:t>
            </w:r>
          </w:p>
        </w:tc>
      </w:tr>
      <w:tr w:rsidR="003C3B26" w14:paraId="7C9F1FA4"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FCC86C" w14:textId="77777777" w:rsidR="0046526F" w:rsidRDefault="004652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A1ADA0" w14:textId="77777777" w:rsidR="0046526F" w:rsidRDefault="0046526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8EBD86"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0994D3" w14:textId="77777777" w:rsidR="0046526F" w:rsidRDefault="0046526F">
            <w:pPr>
              <w:jc w:val="right"/>
            </w:pPr>
            <w:r>
              <w:rPr>
                <w:rFonts w:ascii="宋体" w:hAnsi="宋体" w:hint="eastAsia"/>
                <w:szCs w:val="24"/>
                <w:lang w:eastAsia="zh-Hans"/>
              </w:rPr>
              <w:t>-</w:t>
            </w:r>
          </w:p>
        </w:tc>
      </w:tr>
      <w:tr w:rsidR="003C3B26" w14:paraId="58A278B6"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8DD13B" w14:textId="77777777" w:rsidR="0046526F" w:rsidRDefault="0046526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EA0D1F8" w14:textId="77777777" w:rsidR="0046526F" w:rsidRDefault="0046526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A41BF0"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D0C858" w14:textId="77777777" w:rsidR="0046526F" w:rsidRDefault="0046526F">
            <w:pPr>
              <w:jc w:val="right"/>
            </w:pPr>
            <w:r>
              <w:rPr>
                <w:rFonts w:ascii="宋体" w:hAnsi="宋体" w:hint="eastAsia"/>
                <w:szCs w:val="24"/>
                <w:lang w:eastAsia="zh-Hans"/>
              </w:rPr>
              <w:t>-</w:t>
            </w:r>
          </w:p>
        </w:tc>
      </w:tr>
      <w:tr w:rsidR="003C3B26" w14:paraId="3E23EFD4"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FDC66A" w14:textId="77777777" w:rsidR="0046526F" w:rsidRDefault="0046526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1B1CAB8" w14:textId="77777777" w:rsidR="0046526F" w:rsidRDefault="0046526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BAB236"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539264" w14:textId="77777777" w:rsidR="0046526F" w:rsidRDefault="0046526F">
            <w:pPr>
              <w:jc w:val="right"/>
            </w:pPr>
            <w:r>
              <w:rPr>
                <w:rFonts w:ascii="宋体" w:hAnsi="宋体" w:hint="eastAsia"/>
                <w:szCs w:val="24"/>
                <w:lang w:eastAsia="zh-Hans"/>
              </w:rPr>
              <w:t>-</w:t>
            </w:r>
          </w:p>
        </w:tc>
      </w:tr>
      <w:tr w:rsidR="003C3B26" w14:paraId="20E8B043"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B46845" w14:textId="77777777" w:rsidR="0046526F" w:rsidRDefault="0046526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B10C0C9" w14:textId="77777777" w:rsidR="0046526F" w:rsidRDefault="0046526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C0AED2"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FF72EC" w14:textId="77777777" w:rsidR="0046526F" w:rsidRDefault="0046526F">
            <w:pPr>
              <w:jc w:val="right"/>
            </w:pPr>
            <w:r>
              <w:rPr>
                <w:rFonts w:ascii="宋体" w:hAnsi="宋体" w:hint="eastAsia"/>
                <w:szCs w:val="24"/>
                <w:lang w:eastAsia="zh-Hans"/>
              </w:rPr>
              <w:t>-</w:t>
            </w:r>
          </w:p>
        </w:tc>
      </w:tr>
      <w:tr w:rsidR="003C3B26" w14:paraId="3E96B7C2"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BEBCBB" w14:textId="77777777" w:rsidR="0046526F" w:rsidRDefault="0046526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5B02DD" w14:textId="77777777" w:rsidR="0046526F" w:rsidRDefault="0046526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89A336" w14:textId="77777777" w:rsidR="0046526F" w:rsidRDefault="0046526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474108" w14:textId="77777777" w:rsidR="0046526F" w:rsidRDefault="0046526F">
            <w:pPr>
              <w:jc w:val="right"/>
            </w:pPr>
            <w:r>
              <w:rPr>
                <w:rFonts w:ascii="宋体" w:hAnsi="宋体" w:hint="eastAsia"/>
                <w:szCs w:val="24"/>
                <w:lang w:eastAsia="zh-Hans"/>
              </w:rPr>
              <w:t>-</w:t>
            </w:r>
          </w:p>
        </w:tc>
      </w:tr>
      <w:tr w:rsidR="003C3B26" w14:paraId="4245ED12"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145E06" w14:textId="77777777" w:rsidR="0046526F" w:rsidRDefault="0046526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367F023" w14:textId="77777777" w:rsidR="0046526F" w:rsidRDefault="0046526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742E07" w14:textId="77777777" w:rsidR="0046526F" w:rsidRDefault="0046526F">
            <w:pPr>
              <w:jc w:val="right"/>
            </w:pPr>
            <w:r>
              <w:rPr>
                <w:rFonts w:ascii="宋体" w:hAnsi="宋体" w:hint="eastAsia"/>
                <w:szCs w:val="24"/>
                <w:lang w:eastAsia="zh-Hans"/>
              </w:rPr>
              <w:t>98,856,953.56</w:t>
            </w:r>
          </w:p>
        </w:tc>
        <w:tc>
          <w:tcPr>
            <w:tcW w:w="1333" w:type="pct"/>
            <w:tcBorders>
              <w:top w:val="single" w:sz="4" w:space="0" w:color="auto"/>
              <w:left w:val="nil"/>
              <w:bottom w:val="single" w:sz="4" w:space="0" w:color="auto"/>
              <w:right w:val="single" w:sz="4" w:space="0" w:color="auto"/>
            </w:tcBorders>
            <w:vAlign w:val="center"/>
            <w:hideMark/>
          </w:tcPr>
          <w:p w14:paraId="3516AF0A" w14:textId="77777777" w:rsidR="0046526F" w:rsidRDefault="0046526F">
            <w:pPr>
              <w:jc w:val="right"/>
            </w:pPr>
            <w:r>
              <w:rPr>
                <w:rFonts w:ascii="宋体" w:hAnsi="宋体" w:hint="eastAsia"/>
                <w:szCs w:val="24"/>
                <w:lang w:eastAsia="zh-Hans"/>
              </w:rPr>
              <w:t>0.63</w:t>
            </w:r>
          </w:p>
        </w:tc>
      </w:tr>
      <w:tr w:rsidR="003C3B26" w14:paraId="4830D45A"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A4AE99" w14:textId="77777777" w:rsidR="0046526F" w:rsidRDefault="0046526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BCADC01" w14:textId="77777777" w:rsidR="0046526F" w:rsidRDefault="0046526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66E395" w14:textId="77777777" w:rsidR="0046526F" w:rsidRDefault="0046526F">
            <w:pPr>
              <w:jc w:val="right"/>
            </w:pPr>
            <w:r>
              <w:rPr>
                <w:rFonts w:ascii="宋体" w:hAnsi="宋体" w:hint="eastAsia"/>
                <w:szCs w:val="24"/>
                <w:lang w:eastAsia="zh-Hans"/>
              </w:rPr>
              <w:t>26,328,755.45</w:t>
            </w:r>
          </w:p>
        </w:tc>
        <w:tc>
          <w:tcPr>
            <w:tcW w:w="1333" w:type="pct"/>
            <w:tcBorders>
              <w:top w:val="single" w:sz="4" w:space="0" w:color="auto"/>
              <w:left w:val="nil"/>
              <w:bottom w:val="single" w:sz="4" w:space="0" w:color="auto"/>
              <w:right w:val="single" w:sz="4" w:space="0" w:color="auto"/>
            </w:tcBorders>
            <w:vAlign w:val="center"/>
            <w:hideMark/>
          </w:tcPr>
          <w:p w14:paraId="3635C770" w14:textId="77777777" w:rsidR="0046526F" w:rsidRDefault="0046526F">
            <w:pPr>
              <w:jc w:val="right"/>
            </w:pPr>
            <w:r>
              <w:rPr>
                <w:rFonts w:ascii="宋体" w:hAnsi="宋体" w:hint="eastAsia"/>
                <w:szCs w:val="24"/>
                <w:lang w:eastAsia="zh-Hans"/>
              </w:rPr>
              <w:t>0.17</w:t>
            </w:r>
          </w:p>
        </w:tc>
      </w:tr>
      <w:tr w:rsidR="003C3B26" w14:paraId="53A12E6C" w14:textId="77777777">
        <w:trPr>
          <w:divId w:val="5509656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4F512C" w14:textId="77777777" w:rsidR="0046526F" w:rsidRDefault="0046526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1E9BB9B" w14:textId="77777777" w:rsidR="0046526F" w:rsidRDefault="0046526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CF131C" w14:textId="77777777" w:rsidR="0046526F" w:rsidRDefault="0046526F">
            <w:pPr>
              <w:jc w:val="right"/>
            </w:pPr>
            <w:r>
              <w:rPr>
                <w:rFonts w:ascii="宋体" w:hAnsi="宋体" w:hint="eastAsia"/>
                <w:szCs w:val="24"/>
                <w:lang w:eastAsia="zh-Hans"/>
              </w:rPr>
              <w:t>15,681,353,427.38</w:t>
            </w:r>
          </w:p>
        </w:tc>
        <w:tc>
          <w:tcPr>
            <w:tcW w:w="1333" w:type="pct"/>
            <w:tcBorders>
              <w:top w:val="single" w:sz="4" w:space="0" w:color="auto"/>
              <w:left w:val="nil"/>
              <w:bottom w:val="single" w:sz="4" w:space="0" w:color="auto"/>
              <w:right w:val="single" w:sz="4" w:space="0" w:color="auto"/>
            </w:tcBorders>
            <w:vAlign w:val="center"/>
            <w:hideMark/>
          </w:tcPr>
          <w:p w14:paraId="291CDEEF" w14:textId="77777777" w:rsidR="0046526F" w:rsidRDefault="0046526F">
            <w:pPr>
              <w:jc w:val="right"/>
            </w:pPr>
            <w:r>
              <w:rPr>
                <w:rFonts w:ascii="宋体" w:hAnsi="宋体" w:hint="eastAsia"/>
                <w:szCs w:val="24"/>
                <w:lang w:eastAsia="zh-Hans"/>
              </w:rPr>
              <w:t>100.00</w:t>
            </w:r>
          </w:p>
        </w:tc>
      </w:tr>
    </w:tbl>
    <w:p w14:paraId="697EB688" w14:textId="77777777" w:rsidR="0046526F" w:rsidRDefault="0046526F">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机制投资的港股公允价值为人民币15,556,167,718.37元,占期末净值比例为99.29%。</w:t>
      </w:r>
    </w:p>
    <w:p w14:paraId="3D2D5C51" w14:textId="77777777" w:rsidR="0046526F" w:rsidRDefault="0046526F">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103B7242" w14:textId="77777777" w:rsidR="0046526F" w:rsidRDefault="0046526F">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539B17DB" w14:textId="77777777" w:rsidR="0046526F" w:rsidRDefault="0046526F">
      <w:pPr>
        <w:spacing w:line="360" w:lineRule="auto"/>
        <w:ind w:firstLineChars="200" w:firstLine="420"/>
      </w:pPr>
      <w:r>
        <w:rPr>
          <w:rFonts w:ascii="宋体" w:hAnsi="宋体" w:hint="eastAsia"/>
          <w:szCs w:val="21"/>
          <w:lang w:eastAsia="zh-Hans"/>
        </w:rPr>
        <w:t>本基金本报告期末未持有指数投资股票。</w:t>
      </w:r>
    </w:p>
    <w:p w14:paraId="7FEF0A24" w14:textId="77777777" w:rsidR="0046526F" w:rsidRDefault="0046526F">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bookmarkEnd w:id="122"/>
      <w:bookmarkEnd w:id="123"/>
      <w:bookmarkEnd w:id="124"/>
    </w:p>
    <w:p w14:paraId="10650243" w14:textId="77777777" w:rsidR="0046526F" w:rsidRDefault="0046526F">
      <w:pPr>
        <w:spacing w:line="360" w:lineRule="auto"/>
        <w:ind w:firstLineChars="200" w:firstLine="420"/>
      </w:pPr>
      <w:r>
        <w:rPr>
          <w:rFonts w:ascii="宋体" w:hAnsi="宋体" w:hint="eastAsia"/>
          <w:szCs w:val="21"/>
          <w:lang w:eastAsia="zh-Hans"/>
        </w:rPr>
        <w:t>本基金本报告期末未持有积极投资股票。</w:t>
      </w:r>
    </w:p>
    <w:p w14:paraId="0E148F7F" w14:textId="77777777" w:rsidR="0046526F" w:rsidRDefault="0046526F">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3C3B26" w14:paraId="04690FEF"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D1B5BB" w14:textId="77777777" w:rsidR="0046526F" w:rsidRDefault="0046526F">
            <w:pPr>
              <w:jc w:val="center"/>
            </w:pPr>
            <w:r>
              <w:rPr>
                <w:rFonts w:ascii="宋体" w:hAnsi="宋体" w:hint="eastAsia"/>
                <w:color w:val="000000"/>
              </w:rPr>
              <w:lastRenderedPageBreak/>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35A26C" w14:textId="77777777" w:rsidR="0046526F" w:rsidRDefault="0046526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A4DAC2" w14:textId="77777777" w:rsidR="0046526F" w:rsidRDefault="0046526F">
            <w:pPr>
              <w:jc w:val="center"/>
            </w:pPr>
            <w:r>
              <w:rPr>
                <w:rFonts w:ascii="宋体" w:hAnsi="宋体" w:hint="eastAsia"/>
                <w:color w:val="000000"/>
              </w:rPr>
              <w:t xml:space="preserve">占基金资产净值比例（%） </w:t>
            </w:r>
          </w:p>
        </w:tc>
      </w:tr>
      <w:tr w:rsidR="003C3B26" w14:paraId="17571EFB"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D94F3ED" w14:textId="77777777" w:rsidR="0046526F" w:rsidRDefault="0046526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5EBC76" w14:textId="77777777" w:rsidR="0046526F" w:rsidRDefault="0046526F">
            <w:pPr>
              <w:jc w:val="right"/>
            </w:pPr>
            <w:r>
              <w:rPr>
                <w:rFonts w:ascii="宋体" w:hAnsi="宋体" w:hint="eastAsia"/>
                <w:szCs w:val="24"/>
                <w:lang w:eastAsia="zh-Hans"/>
              </w:rPr>
              <w:t>267,319,469.74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70F440" w14:textId="77777777" w:rsidR="0046526F" w:rsidRDefault="0046526F">
            <w:pPr>
              <w:jc w:val="right"/>
            </w:pPr>
            <w:r>
              <w:rPr>
                <w:rFonts w:ascii="宋体" w:hAnsi="宋体" w:hint="eastAsia"/>
                <w:szCs w:val="24"/>
                <w:lang w:eastAsia="zh-Hans"/>
              </w:rPr>
              <w:t>1.71</w:t>
            </w:r>
          </w:p>
        </w:tc>
      </w:tr>
      <w:tr w:rsidR="003C3B26" w14:paraId="7937D42E"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44C53F6" w14:textId="77777777" w:rsidR="0046526F" w:rsidRDefault="0046526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3DB07F" w14:textId="77777777" w:rsidR="0046526F" w:rsidRDefault="0046526F">
            <w:pPr>
              <w:jc w:val="right"/>
            </w:pPr>
            <w:r>
              <w:rPr>
                <w:rFonts w:ascii="宋体" w:hAnsi="宋体" w:hint="eastAsia"/>
                <w:szCs w:val="24"/>
                <w:lang w:eastAsia="zh-Hans"/>
              </w:rPr>
              <w:t>338,438,266.80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A8F7D0" w14:textId="77777777" w:rsidR="0046526F" w:rsidRDefault="0046526F">
            <w:pPr>
              <w:jc w:val="right"/>
            </w:pPr>
            <w:r>
              <w:rPr>
                <w:rFonts w:ascii="宋体" w:hAnsi="宋体" w:hint="eastAsia"/>
                <w:szCs w:val="24"/>
                <w:lang w:eastAsia="zh-Hans"/>
              </w:rPr>
              <w:t>2.16</w:t>
            </w:r>
          </w:p>
        </w:tc>
      </w:tr>
      <w:tr w:rsidR="003C3B26" w14:paraId="3515873E"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D3DF05" w14:textId="77777777" w:rsidR="0046526F" w:rsidRDefault="0046526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41FBBD3" w14:textId="77777777" w:rsidR="0046526F" w:rsidRDefault="0046526F">
            <w:pPr>
              <w:jc w:val="right"/>
            </w:pPr>
            <w:r>
              <w:rPr>
                <w:rFonts w:ascii="宋体" w:hAnsi="宋体" w:hint="eastAsia"/>
                <w:szCs w:val="24"/>
                <w:lang w:eastAsia="zh-Hans"/>
              </w:rPr>
              <w:t>1,036,114,462.38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7574FC" w14:textId="77777777" w:rsidR="0046526F" w:rsidRDefault="0046526F">
            <w:pPr>
              <w:jc w:val="right"/>
            </w:pPr>
            <w:r>
              <w:rPr>
                <w:rFonts w:ascii="宋体" w:hAnsi="宋体" w:hint="eastAsia"/>
                <w:szCs w:val="24"/>
                <w:lang w:eastAsia="zh-Hans"/>
              </w:rPr>
              <w:t>6.61</w:t>
            </w:r>
          </w:p>
        </w:tc>
      </w:tr>
      <w:tr w:rsidR="003C3B26" w14:paraId="6571AD65"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5F228FF" w14:textId="77777777" w:rsidR="0046526F" w:rsidRDefault="0046526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61B8AF4" w14:textId="77777777" w:rsidR="0046526F" w:rsidRDefault="0046526F">
            <w:pPr>
              <w:jc w:val="right"/>
            </w:pPr>
            <w:r>
              <w:rPr>
                <w:rFonts w:ascii="宋体" w:hAnsi="宋体" w:hint="eastAsia"/>
                <w:szCs w:val="24"/>
                <w:lang w:eastAsia="zh-Hans"/>
              </w:rPr>
              <w:t>1,998,394,270.63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9AE7955" w14:textId="77777777" w:rsidR="0046526F" w:rsidRDefault="0046526F">
            <w:pPr>
              <w:jc w:val="right"/>
            </w:pPr>
            <w:r>
              <w:rPr>
                <w:rFonts w:ascii="宋体" w:hAnsi="宋体" w:hint="eastAsia"/>
                <w:szCs w:val="24"/>
                <w:lang w:eastAsia="zh-Hans"/>
              </w:rPr>
              <w:t>12.75</w:t>
            </w:r>
          </w:p>
        </w:tc>
      </w:tr>
      <w:tr w:rsidR="003C3B26" w14:paraId="194EB862"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515F96C" w14:textId="77777777" w:rsidR="0046526F" w:rsidRDefault="0046526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0E7622" w14:textId="77777777" w:rsidR="0046526F" w:rsidRDefault="0046526F">
            <w:pPr>
              <w:jc w:val="right"/>
            </w:pPr>
            <w:r>
              <w:rPr>
                <w:rFonts w:ascii="宋体" w:hAnsi="宋体" w:hint="eastAsia"/>
                <w:szCs w:val="24"/>
                <w:lang w:eastAsia="zh-Hans"/>
              </w:rPr>
              <w:t>2,496,150,790.47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D6BE49" w14:textId="77777777" w:rsidR="0046526F" w:rsidRDefault="0046526F">
            <w:pPr>
              <w:jc w:val="right"/>
            </w:pPr>
            <w:r>
              <w:rPr>
                <w:rFonts w:ascii="宋体" w:hAnsi="宋体" w:hint="eastAsia"/>
                <w:szCs w:val="24"/>
                <w:lang w:eastAsia="zh-Hans"/>
              </w:rPr>
              <w:t>15.93</w:t>
            </w:r>
          </w:p>
        </w:tc>
      </w:tr>
      <w:tr w:rsidR="003C3B26" w14:paraId="0FF7179A"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04547A" w14:textId="77777777" w:rsidR="0046526F" w:rsidRDefault="0046526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D29B418" w14:textId="77777777" w:rsidR="0046526F" w:rsidRDefault="0046526F">
            <w:pPr>
              <w:jc w:val="right"/>
            </w:pPr>
            <w:r>
              <w:rPr>
                <w:rFonts w:ascii="宋体" w:hAnsi="宋体" w:hint="eastAsia"/>
                <w:szCs w:val="24"/>
                <w:lang w:eastAsia="zh-Hans"/>
              </w:rPr>
              <w:t>334,357,611.84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EEEC96" w14:textId="77777777" w:rsidR="0046526F" w:rsidRDefault="0046526F">
            <w:pPr>
              <w:jc w:val="right"/>
            </w:pPr>
            <w:r>
              <w:rPr>
                <w:rFonts w:ascii="宋体" w:hAnsi="宋体" w:hint="eastAsia"/>
                <w:szCs w:val="24"/>
                <w:lang w:eastAsia="zh-Hans"/>
              </w:rPr>
              <w:t>2.13</w:t>
            </w:r>
          </w:p>
        </w:tc>
      </w:tr>
      <w:tr w:rsidR="003C3B26" w14:paraId="40AC71E3"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5513202" w14:textId="77777777" w:rsidR="0046526F" w:rsidRDefault="0046526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F84001" w14:textId="77777777" w:rsidR="0046526F" w:rsidRDefault="0046526F">
            <w:pPr>
              <w:jc w:val="right"/>
            </w:pPr>
            <w:r>
              <w:rPr>
                <w:rFonts w:ascii="宋体" w:hAnsi="宋体" w:hint="eastAsia"/>
                <w:szCs w:val="24"/>
                <w:lang w:eastAsia="zh-Hans"/>
              </w:rPr>
              <w:t>2,074,379,005.14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BC58ED" w14:textId="77777777" w:rsidR="0046526F" w:rsidRDefault="0046526F">
            <w:pPr>
              <w:jc w:val="right"/>
            </w:pPr>
            <w:r>
              <w:rPr>
                <w:rFonts w:ascii="宋体" w:hAnsi="宋体" w:hint="eastAsia"/>
                <w:szCs w:val="24"/>
                <w:lang w:eastAsia="zh-Hans"/>
              </w:rPr>
              <w:t>13.24</w:t>
            </w:r>
          </w:p>
        </w:tc>
      </w:tr>
      <w:tr w:rsidR="003C3B26" w14:paraId="21F3D446"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99D99F" w14:textId="77777777" w:rsidR="0046526F" w:rsidRDefault="0046526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3E7F87" w14:textId="77777777" w:rsidR="0046526F" w:rsidRDefault="0046526F">
            <w:pPr>
              <w:jc w:val="right"/>
            </w:pPr>
            <w:r>
              <w:rPr>
                <w:rFonts w:ascii="宋体" w:hAnsi="宋体" w:hint="eastAsia"/>
                <w:szCs w:val="24"/>
                <w:lang w:eastAsia="zh-Hans"/>
              </w:rPr>
              <w:t>138,022,302.53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FAF44EC" w14:textId="77777777" w:rsidR="0046526F" w:rsidRDefault="0046526F">
            <w:pPr>
              <w:jc w:val="right"/>
            </w:pPr>
            <w:r>
              <w:rPr>
                <w:rFonts w:ascii="宋体" w:hAnsi="宋体" w:hint="eastAsia"/>
                <w:szCs w:val="24"/>
                <w:lang w:eastAsia="zh-Hans"/>
              </w:rPr>
              <w:t>0.88</w:t>
            </w:r>
          </w:p>
        </w:tc>
      </w:tr>
      <w:tr w:rsidR="003C3B26" w14:paraId="72BA22F3"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223404C" w14:textId="77777777" w:rsidR="0046526F" w:rsidRDefault="0046526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66664C" w14:textId="77777777" w:rsidR="0046526F" w:rsidRDefault="0046526F">
            <w:pPr>
              <w:jc w:val="right"/>
            </w:pPr>
            <w:r>
              <w:rPr>
                <w:rFonts w:ascii="宋体" w:hAnsi="宋体" w:hint="eastAsia"/>
                <w:szCs w:val="24"/>
                <w:lang w:eastAsia="zh-Hans"/>
              </w:rPr>
              <w:t>1,514,943,765.82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C6F3E6A" w14:textId="77777777" w:rsidR="0046526F" w:rsidRDefault="0046526F">
            <w:pPr>
              <w:jc w:val="right"/>
            </w:pPr>
            <w:r>
              <w:rPr>
                <w:rFonts w:ascii="宋体" w:hAnsi="宋体" w:hint="eastAsia"/>
                <w:szCs w:val="24"/>
                <w:lang w:eastAsia="zh-Hans"/>
              </w:rPr>
              <w:t>9.67</w:t>
            </w:r>
          </w:p>
        </w:tc>
      </w:tr>
      <w:tr w:rsidR="003C3B26" w14:paraId="1FBC32A4"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9DBB830" w14:textId="77777777" w:rsidR="0046526F" w:rsidRDefault="0046526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3609A4" w14:textId="77777777" w:rsidR="0046526F" w:rsidRDefault="0046526F">
            <w:pPr>
              <w:jc w:val="right"/>
            </w:pPr>
            <w:r>
              <w:rPr>
                <w:rFonts w:ascii="宋体" w:hAnsi="宋体" w:hint="eastAsia"/>
                <w:szCs w:val="24"/>
                <w:lang w:eastAsia="zh-Hans"/>
              </w:rPr>
              <w:t>3,042,796,419.58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D1CAA41" w14:textId="77777777" w:rsidR="0046526F" w:rsidRDefault="0046526F">
            <w:pPr>
              <w:jc w:val="right"/>
            </w:pPr>
            <w:r>
              <w:rPr>
                <w:rFonts w:ascii="宋体" w:hAnsi="宋体" w:hint="eastAsia"/>
                <w:szCs w:val="24"/>
                <w:lang w:eastAsia="zh-Hans"/>
              </w:rPr>
              <w:t>19.42</w:t>
            </w:r>
          </w:p>
        </w:tc>
      </w:tr>
      <w:tr w:rsidR="003C3B26" w14:paraId="30233943"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1EF8BCE" w14:textId="77777777" w:rsidR="0046526F" w:rsidRDefault="0046526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D32997" w14:textId="77777777" w:rsidR="0046526F" w:rsidRDefault="0046526F">
            <w:pPr>
              <w:jc w:val="right"/>
            </w:pPr>
            <w:r>
              <w:rPr>
                <w:rFonts w:ascii="宋体" w:hAnsi="宋体" w:hint="eastAsia"/>
                <w:szCs w:val="24"/>
                <w:lang w:eastAsia="zh-Hans"/>
              </w:rPr>
              <w:t>2,315,251,353.44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EF51D6" w14:textId="77777777" w:rsidR="0046526F" w:rsidRDefault="0046526F">
            <w:pPr>
              <w:jc w:val="right"/>
            </w:pPr>
            <w:r>
              <w:rPr>
                <w:rFonts w:ascii="宋体" w:hAnsi="宋体" w:hint="eastAsia"/>
                <w:szCs w:val="24"/>
                <w:lang w:eastAsia="zh-Hans"/>
              </w:rPr>
              <w:t>14.78</w:t>
            </w:r>
          </w:p>
        </w:tc>
      </w:tr>
      <w:tr w:rsidR="003C3B26" w14:paraId="2853EB1B" w14:textId="77777777">
        <w:trPr>
          <w:divId w:val="5404794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25893DC" w14:textId="77777777" w:rsidR="0046526F" w:rsidRDefault="0046526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2D3491" w14:textId="77777777" w:rsidR="0046526F" w:rsidRDefault="0046526F">
            <w:pPr>
              <w:jc w:val="right"/>
            </w:pPr>
            <w:r>
              <w:rPr>
                <w:rFonts w:ascii="宋体" w:hAnsi="宋体" w:hint="eastAsia"/>
                <w:szCs w:val="24"/>
                <w:lang w:eastAsia="zh-Hans"/>
              </w:rPr>
              <w:t>15,556,167,718.37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4669C2" w14:textId="77777777" w:rsidR="0046526F" w:rsidRDefault="0046526F">
            <w:pPr>
              <w:jc w:val="right"/>
            </w:pPr>
            <w:r>
              <w:rPr>
                <w:rFonts w:ascii="宋体" w:hAnsi="宋体" w:hint="eastAsia"/>
                <w:szCs w:val="24"/>
                <w:lang w:eastAsia="zh-Hans"/>
              </w:rPr>
              <w:t>99.29</w:t>
            </w:r>
          </w:p>
        </w:tc>
      </w:tr>
    </w:tbl>
    <w:p w14:paraId="366F240E" w14:textId="77777777" w:rsidR="0046526F" w:rsidRDefault="0046526F">
      <w:pPr>
        <w:spacing w:line="360" w:lineRule="auto"/>
      </w:pPr>
      <w:r>
        <w:rPr>
          <w:rFonts w:ascii="宋体" w:hAnsi="宋体" w:hint="eastAsia"/>
          <w:szCs w:val="21"/>
        </w:rPr>
        <w:t>注：</w:t>
      </w:r>
      <w:r>
        <w:rPr>
          <w:rFonts w:ascii="宋体" w:hAnsi="宋体" w:hint="eastAsia"/>
          <w:szCs w:val="21"/>
          <w:lang w:eastAsia="zh-Hans"/>
        </w:rPr>
        <w:t>以上分类采用全球行业分类标准（GICS）。</w:t>
      </w:r>
    </w:p>
    <w:p w14:paraId="60C70C9E" w14:textId="77777777" w:rsidR="0046526F" w:rsidRDefault="0046526F">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4F3BF9F1" w14:textId="77777777" w:rsidR="0046526F" w:rsidRDefault="0046526F">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C3B26" w14:paraId="100A2FFC" w14:textId="77777777">
        <w:trPr>
          <w:divId w:val="43745364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F065A5" w14:textId="77777777" w:rsidR="0046526F" w:rsidRDefault="0046526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7855A5" w14:textId="77777777" w:rsidR="0046526F" w:rsidRDefault="0046526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7A413B" w14:textId="77777777" w:rsidR="0046526F" w:rsidRDefault="0046526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25474D" w14:textId="77777777" w:rsidR="0046526F" w:rsidRDefault="0046526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2D5121" w14:textId="77777777" w:rsidR="0046526F" w:rsidRDefault="0046526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8E3813" w14:textId="77777777" w:rsidR="0046526F" w:rsidRDefault="0046526F">
            <w:pPr>
              <w:jc w:val="center"/>
            </w:pPr>
            <w:r>
              <w:rPr>
                <w:rFonts w:ascii="宋体" w:hAnsi="宋体" w:hint="eastAsia"/>
                <w:color w:val="000000"/>
              </w:rPr>
              <w:t xml:space="preserve">占基金资产净值比例（%） </w:t>
            </w:r>
          </w:p>
        </w:tc>
      </w:tr>
      <w:tr w:rsidR="003C3B26" w14:paraId="57C41683"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F8C6B" w14:textId="77777777" w:rsidR="0046526F" w:rsidRDefault="0046526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AD5B7" w14:textId="77777777" w:rsidR="0046526F" w:rsidRDefault="0046526F">
            <w:pPr>
              <w:jc w:val="center"/>
            </w:pPr>
            <w:r>
              <w:rPr>
                <w:rFonts w:ascii="宋体" w:hAnsi="宋体" w:hint="eastAsia"/>
                <w:szCs w:val="24"/>
                <w:lang w:eastAsia="zh-Hans"/>
              </w:rPr>
              <w:t>00883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5963D" w14:textId="77777777" w:rsidR="0046526F" w:rsidRDefault="0046526F">
            <w:pPr>
              <w:jc w:val="center"/>
            </w:pPr>
            <w:r>
              <w:rPr>
                <w:rFonts w:ascii="宋体" w:hAnsi="宋体" w:hint="eastAsia"/>
                <w:szCs w:val="24"/>
                <w:lang w:eastAsia="zh-Hans"/>
              </w:rPr>
              <w:t>中国海洋石油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163F3" w14:textId="77777777" w:rsidR="0046526F" w:rsidRDefault="0046526F">
            <w:pPr>
              <w:jc w:val="right"/>
            </w:pPr>
            <w:r>
              <w:rPr>
                <w:rFonts w:ascii="宋体" w:hAnsi="宋体" w:hint="eastAsia"/>
                <w:szCs w:val="24"/>
                <w:lang w:eastAsia="zh-Hans"/>
              </w:rPr>
              <w:t>20,202,000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42730" w14:textId="77777777" w:rsidR="0046526F" w:rsidRDefault="0046526F">
            <w:pPr>
              <w:jc w:val="right"/>
            </w:pPr>
            <w:r>
              <w:rPr>
                <w:rFonts w:ascii="宋体" w:hAnsi="宋体" w:hint="eastAsia"/>
                <w:szCs w:val="24"/>
                <w:lang w:eastAsia="zh-Hans"/>
              </w:rPr>
              <w:t>499,445,965.20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021F8" w14:textId="77777777" w:rsidR="0046526F" w:rsidRDefault="0046526F">
            <w:pPr>
              <w:jc w:val="right"/>
            </w:pPr>
            <w:r>
              <w:rPr>
                <w:rFonts w:ascii="宋体" w:hAnsi="宋体" w:hint="eastAsia"/>
                <w:szCs w:val="24"/>
                <w:lang w:eastAsia="zh-Hans"/>
              </w:rPr>
              <w:t>3.19</w:t>
            </w:r>
          </w:p>
        </w:tc>
      </w:tr>
      <w:tr w:rsidR="003C3B26" w14:paraId="39708BDE"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07D41" w14:textId="77777777" w:rsidR="0046526F" w:rsidRDefault="0046526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1DC09" w14:textId="77777777" w:rsidR="0046526F" w:rsidRDefault="0046526F">
            <w:pPr>
              <w:jc w:val="center"/>
            </w:pPr>
            <w:r>
              <w:rPr>
                <w:rFonts w:ascii="宋体" w:hAnsi="宋体" w:hint="eastAsia"/>
                <w:szCs w:val="24"/>
                <w:lang w:eastAsia="zh-Hans"/>
              </w:rPr>
              <w:t>00288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332AA" w14:textId="77777777" w:rsidR="0046526F" w:rsidRDefault="0046526F">
            <w:pPr>
              <w:jc w:val="center"/>
            </w:pPr>
            <w:r>
              <w:rPr>
                <w:rFonts w:ascii="宋体" w:hAnsi="宋体" w:hint="eastAsia"/>
                <w:szCs w:val="24"/>
                <w:lang w:eastAsia="zh-Hans"/>
              </w:rPr>
              <w:t>万洲国际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B8518" w14:textId="77777777" w:rsidR="0046526F" w:rsidRDefault="0046526F">
            <w:pPr>
              <w:jc w:val="right"/>
            </w:pPr>
            <w:r>
              <w:rPr>
                <w:rFonts w:ascii="宋体" w:hAnsi="宋体" w:hint="eastAsia"/>
                <w:szCs w:val="24"/>
                <w:lang w:eastAsia="zh-Hans"/>
              </w:rPr>
              <w:t>54,740,500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D9B52" w14:textId="77777777" w:rsidR="0046526F" w:rsidRDefault="0046526F">
            <w:pPr>
              <w:jc w:val="right"/>
            </w:pPr>
            <w:r>
              <w:rPr>
                <w:rFonts w:ascii="宋体" w:hAnsi="宋体" w:hint="eastAsia"/>
                <w:szCs w:val="24"/>
                <w:lang w:eastAsia="zh-Hans"/>
              </w:rPr>
              <w:t>495,897,857.11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C7C11" w14:textId="77777777" w:rsidR="0046526F" w:rsidRDefault="0046526F">
            <w:pPr>
              <w:jc w:val="right"/>
            </w:pPr>
            <w:r>
              <w:rPr>
                <w:rFonts w:ascii="宋体" w:hAnsi="宋体" w:hint="eastAsia"/>
                <w:szCs w:val="24"/>
                <w:lang w:eastAsia="zh-Hans"/>
              </w:rPr>
              <w:t>3.17</w:t>
            </w:r>
          </w:p>
        </w:tc>
      </w:tr>
      <w:tr w:rsidR="003C3B26" w14:paraId="1178CE35"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28882" w14:textId="77777777" w:rsidR="0046526F" w:rsidRDefault="0046526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BBA4B" w14:textId="77777777" w:rsidR="0046526F" w:rsidRDefault="0046526F">
            <w:pPr>
              <w:jc w:val="center"/>
            </w:pPr>
            <w:r>
              <w:rPr>
                <w:rFonts w:ascii="宋体" w:hAnsi="宋体" w:hint="eastAsia"/>
                <w:szCs w:val="24"/>
                <w:lang w:eastAsia="zh-Hans"/>
              </w:rPr>
              <w:t>00857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6ABA1" w14:textId="77777777" w:rsidR="0046526F" w:rsidRDefault="0046526F">
            <w:pPr>
              <w:jc w:val="center"/>
            </w:pPr>
            <w:r>
              <w:rPr>
                <w:rFonts w:ascii="宋体" w:hAnsi="宋体" w:hint="eastAsia"/>
                <w:szCs w:val="24"/>
                <w:lang w:eastAsia="zh-Hans"/>
              </w:rPr>
              <w:t>中国石油股份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33E44" w14:textId="77777777" w:rsidR="0046526F" w:rsidRDefault="0046526F">
            <w:pPr>
              <w:jc w:val="right"/>
            </w:pPr>
            <w:r>
              <w:rPr>
                <w:rFonts w:ascii="宋体" w:hAnsi="宋体" w:hint="eastAsia"/>
                <w:szCs w:val="24"/>
                <w:lang w:eastAsia="zh-Hans"/>
              </w:rPr>
              <w:t>50,110,000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89D6E" w14:textId="77777777" w:rsidR="0046526F" w:rsidRDefault="0046526F">
            <w:pPr>
              <w:jc w:val="right"/>
            </w:pPr>
            <w:r>
              <w:rPr>
                <w:rFonts w:ascii="宋体" w:hAnsi="宋体" w:hint="eastAsia"/>
                <w:szCs w:val="24"/>
                <w:lang w:eastAsia="zh-Hans"/>
              </w:rPr>
              <w:t>475,629,713.38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C5FEC" w14:textId="77777777" w:rsidR="0046526F" w:rsidRDefault="0046526F">
            <w:pPr>
              <w:jc w:val="right"/>
            </w:pPr>
            <w:r>
              <w:rPr>
                <w:rFonts w:ascii="宋体" w:hAnsi="宋体" w:hint="eastAsia"/>
                <w:szCs w:val="24"/>
                <w:lang w:eastAsia="zh-Hans"/>
              </w:rPr>
              <w:t>3.04</w:t>
            </w:r>
          </w:p>
        </w:tc>
      </w:tr>
      <w:tr w:rsidR="003C3B26" w14:paraId="08976668"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B8944" w14:textId="77777777" w:rsidR="0046526F" w:rsidRDefault="0046526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DD085" w14:textId="77777777" w:rsidR="0046526F" w:rsidRDefault="0046526F">
            <w:pPr>
              <w:jc w:val="center"/>
            </w:pPr>
            <w:r>
              <w:rPr>
                <w:rFonts w:ascii="宋体" w:hAnsi="宋体" w:hint="eastAsia"/>
                <w:szCs w:val="24"/>
                <w:lang w:eastAsia="zh-Hans"/>
              </w:rPr>
              <w:t>00008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5377C" w14:textId="77777777" w:rsidR="0046526F" w:rsidRDefault="0046526F">
            <w:pPr>
              <w:jc w:val="center"/>
            </w:pPr>
            <w:r>
              <w:rPr>
                <w:rFonts w:ascii="宋体" w:hAnsi="宋体" w:hint="eastAsia"/>
                <w:szCs w:val="24"/>
                <w:lang w:eastAsia="zh-Hans"/>
              </w:rPr>
              <w:t>电讯盈科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E8097" w14:textId="77777777" w:rsidR="0046526F" w:rsidRDefault="0046526F">
            <w:pPr>
              <w:jc w:val="right"/>
            </w:pPr>
            <w:r>
              <w:rPr>
                <w:rFonts w:ascii="宋体" w:hAnsi="宋体" w:hint="eastAsia"/>
                <w:szCs w:val="24"/>
                <w:lang w:eastAsia="zh-Hans"/>
              </w:rPr>
              <w:t>88,426,000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7F419" w14:textId="77777777" w:rsidR="0046526F" w:rsidRDefault="0046526F">
            <w:pPr>
              <w:jc w:val="right"/>
            </w:pPr>
            <w:r>
              <w:rPr>
                <w:rFonts w:ascii="宋体" w:hAnsi="宋体" w:hint="eastAsia"/>
                <w:szCs w:val="24"/>
                <w:lang w:eastAsia="zh-Hans"/>
              </w:rPr>
              <w:t>452,839,272.86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C5BB7" w14:textId="77777777" w:rsidR="0046526F" w:rsidRDefault="0046526F">
            <w:pPr>
              <w:jc w:val="right"/>
            </w:pPr>
            <w:r>
              <w:rPr>
                <w:rFonts w:ascii="宋体" w:hAnsi="宋体" w:hint="eastAsia"/>
                <w:szCs w:val="24"/>
                <w:lang w:eastAsia="zh-Hans"/>
              </w:rPr>
              <w:t>2.89</w:t>
            </w:r>
          </w:p>
        </w:tc>
      </w:tr>
      <w:tr w:rsidR="003C3B26" w14:paraId="66AA3D57"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05EFA" w14:textId="77777777" w:rsidR="0046526F" w:rsidRDefault="0046526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86354" w14:textId="77777777" w:rsidR="0046526F" w:rsidRDefault="0046526F">
            <w:pPr>
              <w:jc w:val="center"/>
            </w:pPr>
            <w:r>
              <w:rPr>
                <w:rFonts w:ascii="宋体" w:hAnsi="宋体" w:hint="eastAsia"/>
                <w:szCs w:val="24"/>
                <w:lang w:eastAsia="zh-Hans"/>
              </w:rPr>
              <w:t>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7646E" w14:textId="77777777" w:rsidR="0046526F" w:rsidRDefault="0046526F">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4C4C5" w14:textId="77777777" w:rsidR="0046526F" w:rsidRDefault="0046526F">
            <w:pPr>
              <w:jc w:val="right"/>
            </w:pPr>
            <w:r>
              <w:rPr>
                <w:rFonts w:ascii="宋体" w:hAnsi="宋体" w:hint="eastAsia"/>
                <w:szCs w:val="24"/>
                <w:lang w:eastAsia="zh-Hans"/>
              </w:rPr>
              <w:t>10,656,500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DC096" w14:textId="77777777" w:rsidR="0046526F" w:rsidRDefault="0046526F">
            <w:pPr>
              <w:jc w:val="right"/>
            </w:pPr>
            <w:r>
              <w:rPr>
                <w:rFonts w:ascii="宋体" w:hAnsi="宋体" w:hint="eastAsia"/>
                <w:szCs w:val="24"/>
                <w:lang w:eastAsia="zh-Hans"/>
              </w:rPr>
              <w:t>433,950,305.85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2209F" w14:textId="77777777" w:rsidR="0046526F" w:rsidRDefault="0046526F">
            <w:pPr>
              <w:jc w:val="right"/>
            </w:pPr>
            <w:r>
              <w:rPr>
                <w:rFonts w:ascii="宋体" w:hAnsi="宋体" w:hint="eastAsia"/>
                <w:szCs w:val="24"/>
                <w:lang w:eastAsia="zh-Hans"/>
              </w:rPr>
              <w:t>2.77</w:t>
            </w:r>
          </w:p>
        </w:tc>
      </w:tr>
      <w:tr w:rsidR="003C3B26" w14:paraId="2A917CBA"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01AAF" w14:textId="77777777" w:rsidR="0046526F" w:rsidRDefault="0046526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C6A84" w14:textId="77777777" w:rsidR="0046526F" w:rsidRDefault="0046526F">
            <w:pPr>
              <w:jc w:val="center"/>
            </w:pPr>
            <w:r>
              <w:rPr>
                <w:rFonts w:ascii="宋体" w:hAnsi="宋体" w:hint="eastAsia"/>
                <w:szCs w:val="24"/>
                <w:lang w:eastAsia="zh-Hans"/>
              </w:rPr>
              <w:t>03328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F139C" w14:textId="77777777" w:rsidR="0046526F" w:rsidRDefault="0046526F">
            <w:pPr>
              <w:jc w:val="center"/>
            </w:pPr>
            <w:r>
              <w:rPr>
                <w:rFonts w:ascii="宋体" w:hAnsi="宋体" w:hint="eastAsia"/>
                <w:szCs w:val="24"/>
                <w:lang w:eastAsia="zh-Hans"/>
              </w:rPr>
              <w:t>交通银行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0105A" w14:textId="77777777" w:rsidR="0046526F" w:rsidRDefault="0046526F">
            <w:pPr>
              <w:jc w:val="right"/>
            </w:pPr>
            <w:r>
              <w:rPr>
                <w:rFonts w:ascii="宋体" w:hAnsi="宋体" w:hint="eastAsia"/>
                <w:szCs w:val="24"/>
                <w:lang w:eastAsia="zh-Hans"/>
              </w:rPr>
              <w:t>68,604,000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02DE0" w14:textId="77777777" w:rsidR="0046526F" w:rsidRDefault="0046526F">
            <w:pPr>
              <w:jc w:val="right"/>
            </w:pPr>
            <w:r>
              <w:rPr>
                <w:rFonts w:ascii="宋体" w:hAnsi="宋体" w:hint="eastAsia"/>
                <w:szCs w:val="24"/>
                <w:lang w:eastAsia="zh-Hans"/>
              </w:rPr>
              <w:t>426,440,268.67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CDAC4" w14:textId="77777777" w:rsidR="0046526F" w:rsidRDefault="0046526F">
            <w:pPr>
              <w:jc w:val="right"/>
            </w:pPr>
            <w:r>
              <w:rPr>
                <w:rFonts w:ascii="宋体" w:hAnsi="宋体" w:hint="eastAsia"/>
                <w:szCs w:val="24"/>
                <w:lang w:eastAsia="zh-Hans"/>
              </w:rPr>
              <w:t>2.72</w:t>
            </w:r>
          </w:p>
        </w:tc>
      </w:tr>
      <w:tr w:rsidR="003C3B26" w14:paraId="32DF83E7"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AB826" w14:textId="77777777" w:rsidR="0046526F" w:rsidRDefault="0046526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755B5" w14:textId="77777777" w:rsidR="0046526F" w:rsidRDefault="0046526F">
            <w:pPr>
              <w:jc w:val="center"/>
            </w:pPr>
            <w:r>
              <w:rPr>
                <w:rFonts w:ascii="宋体" w:hAnsi="宋体" w:hint="eastAsia"/>
                <w:szCs w:val="24"/>
                <w:lang w:eastAsia="zh-Hans"/>
              </w:rPr>
              <w:t>03988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FDAAC" w14:textId="77777777" w:rsidR="0046526F" w:rsidRDefault="0046526F">
            <w:pPr>
              <w:jc w:val="center"/>
            </w:pPr>
            <w:r>
              <w:rPr>
                <w:rFonts w:ascii="宋体" w:hAnsi="宋体" w:hint="eastAsia"/>
                <w:szCs w:val="24"/>
                <w:lang w:eastAsia="zh-Hans"/>
              </w:rPr>
              <w:t>中国银行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4AAC2" w14:textId="77777777" w:rsidR="0046526F" w:rsidRDefault="0046526F">
            <w:pPr>
              <w:jc w:val="right"/>
            </w:pPr>
            <w:r>
              <w:rPr>
                <w:rFonts w:ascii="宋体" w:hAnsi="宋体" w:hint="eastAsia"/>
                <w:szCs w:val="24"/>
                <w:lang w:eastAsia="zh-Hans"/>
              </w:rPr>
              <w:t>93,191,000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7D01B" w14:textId="77777777" w:rsidR="0046526F" w:rsidRDefault="0046526F">
            <w:pPr>
              <w:jc w:val="right"/>
            </w:pPr>
            <w:r>
              <w:rPr>
                <w:rFonts w:ascii="宋体" w:hAnsi="宋体" w:hint="eastAsia"/>
                <w:szCs w:val="24"/>
                <w:lang w:eastAsia="zh-Hans"/>
              </w:rPr>
              <w:t>408,946,477.45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790EC" w14:textId="77777777" w:rsidR="0046526F" w:rsidRDefault="0046526F">
            <w:pPr>
              <w:jc w:val="right"/>
            </w:pPr>
            <w:r>
              <w:rPr>
                <w:rFonts w:ascii="宋体" w:hAnsi="宋体" w:hint="eastAsia"/>
                <w:szCs w:val="24"/>
                <w:lang w:eastAsia="zh-Hans"/>
              </w:rPr>
              <w:t>2.61</w:t>
            </w:r>
          </w:p>
        </w:tc>
      </w:tr>
      <w:tr w:rsidR="003C3B26" w14:paraId="54296403"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40A69" w14:textId="77777777" w:rsidR="0046526F" w:rsidRDefault="0046526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041A6" w14:textId="77777777" w:rsidR="0046526F" w:rsidRDefault="0046526F">
            <w:pPr>
              <w:jc w:val="center"/>
            </w:pPr>
            <w:r>
              <w:rPr>
                <w:rFonts w:ascii="宋体" w:hAnsi="宋体" w:hint="eastAsia"/>
                <w:szCs w:val="24"/>
                <w:lang w:eastAsia="zh-Hans"/>
              </w:rPr>
              <w:t>03360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35F88" w14:textId="77777777" w:rsidR="0046526F" w:rsidRDefault="0046526F">
            <w:pPr>
              <w:jc w:val="center"/>
            </w:pPr>
            <w:r>
              <w:rPr>
                <w:rFonts w:ascii="宋体" w:hAnsi="宋体" w:hint="eastAsia"/>
                <w:szCs w:val="24"/>
                <w:lang w:eastAsia="zh-Hans"/>
              </w:rPr>
              <w:t>远东宏信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4E9A1" w14:textId="77777777" w:rsidR="0046526F" w:rsidRDefault="0046526F">
            <w:pPr>
              <w:jc w:val="right"/>
            </w:pPr>
            <w:r>
              <w:rPr>
                <w:rFonts w:ascii="宋体" w:hAnsi="宋体" w:hint="eastAsia"/>
                <w:szCs w:val="24"/>
                <w:lang w:eastAsia="zh-Hans"/>
              </w:rPr>
              <w:t>65,053,000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39DD4" w14:textId="77777777" w:rsidR="0046526F" w:rsidRDefault="0046526F">
            <w:pPr>
              <w:jc w:val="right"/>
            </w:pPr>
            <w:r>
              <w:rPr>
                <w:rFonts w:ascii="宋体" w:hAnsi="宋体" w:hint="eastAsia"/>
                <w:szCs w:val="24"/>
                <w:lang w:eastAsia="zh-Hans"/>
              </w:rPr>
              <w:t>404,367,366.30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AADC6" w14:textId="77777777" w:rsidR="0046526F" w:rsidRDefault="0046526F">
            <w:pPr>
              <w:jc w:val="right"/>
            </w:pPr>
            <w:r>
              <w:rPr>
                <w:rFonts w:ascii="宋体" w:hAnsi="宋体" w:hint="eastAsia"/>
                <w:szCs w:val="24"/>
                <w:lang w:eastAsia="zh-Hans"/>
              </w:rPr>
              <w:t>2.58</w:t>
            </w:r>
          </w:p>
        </w:tc>
      </w:tr>
      <w:tr w:rsidR="003C3B26" w14:paraId="7B5D072E"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EB42F" w14:textId="77777777" w:rsidR="0046526F" w:rsidRDefault="0046526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35AE6" w14:textId="77777777" w:rsidR="0046526F" w:rsidRDefault="0046526F">
            <w:pPr>
              <w:jc w:val="center"/>
            </w:pPr>
            <w:r>
              <w:rPr>
                <w:rFonts w:ascii="宋体" w:hAnsi="宋体" w:hint="eastAsia"/>
                <w:szCs w:val="24"/>
                <w:lang w:eastAsia="zh-Hans"/>
              </w:rPr>
              <w:t>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2EBA5" w14:textId="77777777" w:rsidR="0046526F" w:rsidRDefault="0046526F">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6D45B" w14:textId="77777777" w:rsidR="0046526F" w:rsidRDefault="0046526F">
            <w:pPr>
              <w:jc w:val="right"/>
            </w:pPr>
            <w:r>
              <w:rPr>
                <w:rFonts w:ascii="宋体" w:hAnsi="宋体" w:hint="eastAsia"/>
                <w:szCs w:val="24"/>
                <w:lang w:eastAsia="zh-Hans"/>
              </w:rPr>
              <w:t>5,560,000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DA8D5" w14:textId="77777777" w:rsidR="0046526F" w:rsidRDefault="0046526F">
            <w:pPr>
              <w:jc w:val="right"/>
            </w:pPr>
            <w:r>
              <w:rPr>
                <w:rFonts w:ascii="宋体" w:hAnsi="宋体" w:hint="eastAsia"/>
                <w:szCs w:val="24"/>
                <w:lang w:eastAsia="zh-Hans"/>
              </w:rPr>
              <w:t>388,563,338.30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2E44B" w14:textId="77777777" w:rsidR="0046526F" w:rsidRDefault="0046526F">
            <w:pPr>
              <w:jc w:val="right"/>
            </w:pPr>
            <w:r>
              <w:rPr>
                <w:rFonts w:ascii="宋体" w:hAnsi="宋体" w:hint="eastAsia"/>
                <w:szCs w:val="24"/>
                <w:lang w:eastAsia="zh-Hans"/>
              </w:rPr>
              <w:t>2.48</w:t>
            </w:r>
          </w:p>
        </w:tc>
      </w:tr>
      <w:tr w:rsidR="003C3B26" w14:paraId="60BE3B2B" w14:textId="77777777">
        <w:trPr>
          <w:divId w:val="4374536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96C2B" w14:textId="77777777" w:rsidR="0046526F" w:rsidRDefault="0046526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77C39" w14:textId="77777777" w:rsidR="0046526F" w:rsidRDefault="0046526F">
            <w:pPr>
              <w:jc w:val="center"/>
            </w:pPr>
            <w:r>
              <w:rPr>
                <w:rFonts w:ascii="宋体" w:hAnsi="宋体" w:hint="eastAsia"/>
                <w:szCs w:val="24"/>
                <w:lang w:eastAsia="zh-Hans"/>
              </w:rPr>
              <w:t>00939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55EEF" w14:textId="77777777" w:rsidR="0046526F" w:rsidRDefault="0046526F">
            <w:pPr>
              <w:jc w:val="center"/>
            </w:pPr>
            <w:r>
              <w:rPr>
                <w:rFonts w:ascii="宋体" w:hAnsi="宋体" w:hint="eastAsia"/>
                <w:szCs w:val="24"/>
                <w:lang w:eastAsia="zh-Hans"/>
              </w:rPr>
              <w:t>建设银行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7FAEC" w14:textId="77777777" w:rsidR="0046526F" w:rsidRDefault="0046526F">
            <w:pPr>
              <w:jc w:val="right"/>
            </w:pPr>
            <w:r>
              <w:rPr>
                <w:rFonts w:ascii="宋体" w:hAnsi="宋体" w:hint="eastAsia"/>
                <w:szCs w:val="24"/>
                <w:lang w:eastAsia="zh-Hans"/>
              </w:rPr>
              <w:t>52,252,000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21291" w14:textId="77777777" w:rsidR="0046526F" w:rsidRDefault="0046526F">
            <w:pPr>
              <w:jc w:val="right"/>
            </w:pPr>
            <w:r>
              <w:rPr>
                <w:rFonts w:ascii="宋体" w:hAnsi="宋体" w:hint="eastAsia"/>
                <w:szCs w:val="24"/>
                <w:lang w:eastAsia="zh-Hans"/>
              </w:rPr>
              <w:t>387,080,229.53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F0E8E" w14:textId="77777777" w:rsidR="0046526F" w:rsidRDefault="0046526F">
            <w:pPr>
              <w:jc w:val="right"/>
            </w:pPr>
            <w:r>
              <w:rPr>
                <w:rFonts w:ascii="宋体" w:hAnsi="宋体" w:hint="eastAsia"/>
                <w:szCs w:val="24"/>
                <w:lang w:eastAsia="zh-Hans"/>
              </w:rPr>
              <w:t>2.47</w:t>
            </w:r>
          </w:p>
        </w:tc>
      </w:tr>
    </w:tbl>
    <w:p w14:paraId="7CF0DBCD" w14:textId="77777777" w:rsidR="0046526F" w:rsidRDefault="0046526F">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3F2D38FD" w14:textId="77777777" w:rsidR="0046526F" w:rsidRDefault="0046526F">
      <w:pPr>
        <w:spacing w:line="360" w:lineRule="auto"/>
        <w:ind w:firstLineChars="200" w:firstLine="420"/>
        <w:jc w:val="left"/>
        <w:divId w:val="118423969"/>
      </w:pPr>
      <w:r>
        <w:rPr>
          <w:rFonts w:ascii="宋体" w:hAnsi="宋体" w:hint="eastAsia"/>
          <w:color w:val="000000"/>
          <w:szCs w:val="21"/>
          <w:lang w:eastAsia="zh-Hans"/>
        </w:rPr>
        <w:t>本基金本报告期末未持有积极投资股票。</w:t>
      </w:r>
    </w:p>
    <w:p w14:paraId="44F022F1" w14:textId="77777777" w:rsidR="0046526F" w:rsidRDefault="0046526F">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4B795A02" w14:textId="77777777" w:rsidR="0046526F" w:rsidRDefault="0046526F">
      <w:pPr>
        <w:spacing w:line="360" w:lineRule="auto"/>
        <w:ind w:firstLineChars="200" w:firstLine="420"/>
        <w:jc w:val="left"/>
        <w:divId w:val="294796692"/>
      </w:pPr>
      <w:r>
        <w:rPr>
          <w:rFonts w:ascii="宋体" w:hAnsi="宋体" w:hint="eastAsia"/>
        </w:rPr>
        <w:t>本基金本报告期末未持有债券。</w:t>
      </w:r>
      <w:bookmarkStart w:id="146" w:name="m08QD_06"/>
      <w:bookmarkEnd w:id="146"/>
      <w:r>
        <w:rPr>
          <w:rFonts w:ascii="宋体" w:hAnsi="宋体" w:hint="eastAsia"/>
        </w:rPr>
        <w:t xml:space="preserve"> </w:t>
      </w:r>
    </w:p>
    <w:p w14:paraId="097ECC22" w14:textId="77777777" w:rsidR="0046526F" w:rsidRDefault="0046526F">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6069D9D0" w14:textId="77777777" w:rsidR="0046526F" w:rsidRDefault="0046526F">
      <w:pPr>
        <w:spacing w:line="360" w:lineRule="auto"/>
        <w:ind w:firstLineChars="200" w:firstLine="420"/>
        <w:jc w:val="left"/>
        <w:divId w:val="1904171389"/>
      </w:pPr>
      <w:r>
        <w:rPr>
          <w:rFonts w:ascii="宋体" w:hAnsi="宋体" w:hint="eastAsia"/>
          <w:color w:val="000000"/>
          <w:szCs w:val="21"/>
          <w:lang w:eastAsia="zh-Hans"/>
        </w:rPr>
        <w:t>本基金本报告期末未持有债券。</w:t>
      </w:r>
    </w:p>
    <w:p w14:paraId="57D5F9DF" w14:textId="77777777" w:rsidR="0046526F" w:rsidRDefault="0046526F">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lastRenderedPageBreak/>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46DFBCC6" w14:textId="77777777" w:rsidR="0046526F" w:rsidRDefault="0046526F">
      <w:pPr>
        <w:spacing w:line="360" w:lineRule="auto"/>
        <w:ind w:firstLineChars="200" w:firstLine="420"/>
        <w:jc w:val="left"/>
        <w:divId w:val="1033926314"/>
      </w:pPr>
      <w:r>
        <w:rPr>
          <w:rFonts w:ascii="宋体" w:hAnsi="宋体" w:hint="eastAsia"/>
          <w:color w:val="000000"/>
          <w:szCs w:val="21"/>
          <w:lang w:eastAsia="zh-Hans"/>
        </w:rPr>
        <w:t>本基金本报告期末未持有资产支持证券。</w:t>
      </w:r>
    </w:p>
    <w:p w14:paraId="1059CCD4" w14:textId="77777777" w:rsidR="0046526F" w:rsidRDefault="0046526F">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60138CC6" w14:textId="77777777" w:rsidR="0046526F" w:rsidRDefault="0046526F">
      <w:pPr>
        <w:spacing w:line="360" w:lineRule="auto"/>
        <w:ind w:firstLineChars="200" w:firstLine="420"/>
      </w:pPr>
      <w:r>
        <w:rPr>
          <w:rFonts w:ascii="宋体" w:hAnsi="宋体" w:hint="eastAsia"/>
          <w:szCs w:val="21"/>
          <w:lang w:eastAsia="zh-Hans"/>
        </w:rPr>
        <w:t>本基金本报告期末未持有贵金属。</w:t>
      </w:r>
    </w:p>
    <w:p w14:paraId="690C64C3" w14:textId="77777777" w:rsidR="0046526F" w:rsidRDefault="0046526F">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1B828F11" w14:textId="77777777" w:rsidR="0046526F" w:rsidRDefault="0046526F">
      <w:pPr>
        <w:spacing w:line="360" w:lineRule="auto"/>
        <w:ind w:firstLineChars="200" w:firstLine="420"/>
      </w:pPr>
      <w:r>
        <w:rPr>
          <w:rFonts w:ascii="宋体" w:hAnsi="宋体" w:hint="eastAsia"/>
          <w:szCs w:val="21"/>
          <w:lang w:eastAsia="zh-Hans"/>
        </w:rPr>
        <w:t>本基金本报告期末未持有权证。</w:t>
      </w:r>
    </w:p>
    <w:p w14:paraId="7AB74D2C" w14:textId="77777777" w:rsidR="0046526F" w:rsidRDefault="0046526F">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6518948E" w14:textId="77777777" w:rsidR="0046526F" w:rsidRDefault="0046526F">
      <w:pPr>
        <w:spacing w:line="360" w:lineRule="auto"/>
        <w:ind w:firstLineChars="200" w:firstLine="420"/>
      </w:pPr>
      <w:r>
        <w:rPr>
          <w:rFonts w:ascii="宋体" w:hAnsi="宋体" w:hint="eastAsia"/>
          <w:szCs w:val="21"/>
          <w:lang w:eastAsia="zh-Hans"/>
        </w:rPr>
        <w:t>本基金本报告期末未持有股指期货。</w:t>
      </w:r>
    </w:p>
    <w:p w14:paraId="7B080A49" w14:textId="77777777" w:rsidR="0046526F" w:rsidRDefault="0046526F">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7E7F98A3" w14:textId="77777777" w:rsidR="0046526F" w:rsidRDefault="0046526F">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000FAAD1" w14:textId="77777777" w:rsidR="0046526F" w:rsidRDefault="0046526F">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7418C24E" w14:textId="77777777" w:rsidR="0046526F" w:rsidRDefault="0046526F">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74E314E2" w14:textId="77777777" w:rsidR="0046526F" w:rsidRDefault="0046526F">
      <w:pPr>
        <w:spacing w:line="360" w:lineRule="auto"/>
        <w:ind w:firstLineChars="200" w:firstLine="420"/>
      </w:pPr>
      <w:r>
        <w:rPr>
          <w:rFonts w:ascii="宋体" w:hAnsi="宋体" w:hint="eastAsia"/>
        </w:rPr>
        <w:t>本基金投资的前十名证券的发行主体中，交通银行股份有限公司报告编制日前一年内曾受到央行的处罚，中国银行股份有限公司报告编制日前一年内曾受到国家金融监督管理总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6A514F7" w14:textId="77777777" w:rsidR="0046526F" w:rsidRDefault="0046526F">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4622331A" w14:textId="77777777" w:rsidR="0046526F" w:rsidRDefault="0046526F">
      <w:pPr>
        <w:spacing w:line="360" w:lineRule="auto"/>
        <w:ind w:firstLineChars="200" w:firstLine="420"/>
      </w:pPr>
      <w:r>
        <w:rPr>
          <w:rFonts w:ascii="宋体" w:hAnsi="宋体" w:hint="eastAsia"/>
        </w:rPr>
        <w:t>报告期内本基金投资的前十名股票中没有在基金合同规定备选股票库之外的股票。</w:t>
      </w:r>
    </w:p>
    <w:p w14:paraId="290F5173" w14:textId="77777777" w:rsidR="0046526F" w:rsidRDefault="0046526F">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C3B26" w14:paraId="6C516946" w14:textId="77777777">
        <w:trPr>
          <w:divId w:val="195382794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47CEC" w14:textId="77777777" w:rsidR="0046526F" w:rsidRDefault="0046526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942E6" w14:textId="77777777" w:rsidR="0046526F" w:rsidRDefault="0046526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8513D" w14:textId="77777777" w:rsidR="0046526F" w:rsidRDefault="0046526F">
            <w:pPr>
              <w:jc w:val="center"/>
            </w:pPr>
            <w:r>
              <w:rPr>
                <w:rFonts w:ascii="宋体" w:hAnsi="宋体" w:hint="eastAsia"/>
              </w:rPr>
              <w:t>金额（元）</w:t>
            </w:r>
            <w:r>
              <w:t xml:space="preserve"> </w:t>
            </w:r>
          </w:p>
        </w:tc>
      </w:tr>
      <w:tr w:rsidR="003C3B26" w14:paraId="06ACBA1B"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093A6" w14:textId="77777777" w:rsidR="0046526F" w:rsidRDefault="0046526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D0C76" w14:textId="77777777" w:rsidR="0046526F" w:rsidRDefault="0046526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3FDCE" w14:textId="77777777" w:rsidR="0046526F" w:rsidRDefault="0046526F">
            <w:pPr>
              <w:jc w:val="right"/>
            </w:pPr>
            <w:r>
              <w:rPr>
                <w:rFonts w:ascii="宋体" w:hAnsi="宋体" w:hint="eastAsia"/>
              </w:rPr>
              <w:t>-</w:t>
            </w:r>
          </w:p>
        </w:tc>
      </w:tr>
      <w:tr w:rsidR="003C3B26" w14:paraId="408F7A82"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C5170" w14:textId="77777777" w:rsidR="0046526F" w:rsidRDefault="0046526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CEEEE" w14:textId="77777777" w:rsidR="0046526F" w:rsidRDefault="0046526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717F8" w14:textId="77777777" w:rsidR="0046526F" w:rsidRDefault="0046526F">
            <w:pPr>
              <w:jc w:val="right"/>
            </w:pPr>
            <w:r>
              <w:rPr>
                <w:rFonts w:ascii="宋体" w:hAnsi="宋体" w:hint="eastAsia"/>
              </w:rPr>
              <w:t>-</w:t>
            </w:r>
          </w:p>
        </w:tc>
      </w:tr>
      <w:tr w:rsidR="003C3B26" w14:paraId="4928909C"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B98E7" w14:textId="77777777" w:rsidR="0046526F" w:rsidRDefault="0046526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5C14A" w14:textId="77777777" w:rsidR="0046526F" w:rsidRDefault="0046526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518E3" w14:textId="77777777" w:rsidR="0046526F" w:rsidRDefault="0046526F">
            <w:pPr>
              <w:jc w:val="right"/>
            </w:pPr>
            <w:r>
              <w:rPr>
                <w:rFonts w:ascii="宋体" w:hAnsi="宋体" w:hint="eastAsia"/>
              </w:rPr>
              <w:t>26,328,755.45</w:t>
            </w:r>
          </w:p>
        </w:tc>
      </w:tr>
      <w:tr w:rsidR="003C3B26" w14:paraId="77F07655"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089D6" w14:textId="77777777" w:rsidR="0046526F" w:rsidRDefault="0046526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4B66D" w14:textId="77777777" w:rsidR="0046526F" w:rsidRDefault="0046526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74BB8" w14:textId="77777777" w:rsidR="0046526F" w:rsidRDefault="0046526F">
            <w:pPr>
              <w:jc w:val="right"/>
            </w:pPr>
            <w:r>
              <w:rPr>
                <w:rFonts w:ascii="宋体" w:hAnsi="宋体" w:hint="eastAsia"/>
              </w:rPr>
              <w:t>-</w:t>
            </w:r>
          </w:p>
        </w:tc>
      </w:tr>
      <w:tr w:rsidR="003C3B26" w14:paraId="0379B6C7"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88653" w14:textId="77777777" w:rsidR="0046526F" w:rsidRDefault="0046526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60A45" w14:textId="77777777" w:rsidR="0046526F" w:rsidRDefault="0046526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4FD64" w14:textId="77777777" w:rsidR="0046526F" w:rsidRDefault="0046526F">
            <w:pPr>
              <w:jc w:val="right"/>
            </w:pPr>
            <w:r>
              <w:rPr>
                <w:rFonts w:ascii="宋体" w:hAnsi="宋体" w:hint="eastAsia"/>
              </w:rPr>
              <w:t>-</w:t>
            </w:r>
          </w:p>
        </w:tc>
      </w:tr>
      <w:tr w:rsidR="003C3B26" w14:paraId="0F28545A"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5B4C6" w14:textId="77777777" w:rsidR="0046526F" w:rsidRDefault="0046526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510E2" w14:textId="77777777" w:rsidR="0046526F" w:rsidRDefault="0046526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578CF" w14:textId="77777777" w:rsidR="0046526F" w:rsidRDefault="0046526F">
            <w:pPr>
              <w:jc w:val="right"/>
            </w:pPr>
            <w:r>
              <w:rPr>
                <w:rFonts w:ascii="宋体" w:hAnsi="宋体" w:hint="eastAsia"/>
              </w:rPr>
              <w:t>-</w:t>
            </w:r>
          </w:p>
        </w:tc>
      </w:tr>
      <w:tr w:rsidR="003C3B26" w14:paraId="219D0005"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8A82F" w14:textId="77777777" w:rsidR="0046526F" w:rsidRDefault="0046526F">
            <w:pPr>
              <w:jc w:val="center"/>
            </w:pPr>
            <w:r>
              <w:rPr>
                <w:rFonts w:ascii="宋体" w:hAnsi="宋体" w:hint="eastAsia"/>
              </w:rPr>
              <w:lastRenderedPageBreak/>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8E25A" w14:textId="77777777" w:rsidR="0046526F" w:rsidRDefault="0046526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050EA" w14:textId="77777777" w:rsidR="0046526F" w:rsidRDefault="0046526F">
            <w:pPr>
              <w:jc w:val="right"/>
            </w:pPr>
            <w:r>
              <w:rPr>
                <w:rFonts w:ascii="宋体" w:hAnsi="宋体" w:hint="eastAsia"/>
              </w:rPr>
              <w:t>-</w:t>
            </w:r>
          </w:p>
        </w:tc>
      </w:tr>
      <w:tr w:rsidR="003C3B26" w14:paraId="23647552" w14:textId="77777777">
        <w:trPr>
          <w:divId w:val="19538279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67F95" w14:textId="77777777" w:rsidR="0046526F" w:rsidRDefault="0046526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940B6" w14:textId="77777777" w:rsidR="0046526F" w:rsidRDefault="0046526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447D4" w14:textId="77777777" w:rsidR="0046526F" w:rsidRDefault="0046526F">
            <w:pPr>
              <w:jc w:val="right"/>
            </w:pPr>
            <w:r>
              <w:rPr>
                <w:rFonts w:ascii="宋体" w:hAnsi="宋体" w:hint="eastAsia"/>
              </w:rPr>
              <w:t>26,328,755.45</w:t>
            </w:r>
          </w:p>
        </w:tc>
      </w:tr>
    </w:tbl>
    <w:p w14:paraId="5FF59471" w14:textId="77777777" w:rsidR="0046526F" w:rsidRDefault="0046526F">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6B4CA218" w14:textId="77777777" w:rsidR="0046526F" w:rsidRDefault="0046526F">
      <w:pPr>
        <w:spacing w:line="360" w:lineRule="auto"/>
        <w:ind w:firstLineChars="200" w:firstLine="420"/>
        <w:jc w:val="left"/>
        <w:divId w:val="1044914030"/>
      </w:pPr>
      <w:r>
        <w:rPr>
          <w:rFonts w:ascii="宋体" w:hAnsi="宋体" w:hint="eastAsia"/>
        </w:rPr>
        <w:t xml:space="preserve">本基金本报告期末未持有处于转股期的可转换债券。 </w:t>
      </w:r>
    </w:p>
    <w:p w14:paraId="75F353E6" w14:textId="77777777" w:rsidR="0046526F" w:rsidRDefault="0046526F">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12E68F06" w14:textId="77777777" w:rsidR="0046526F" w:rsidRDefault="0046526F">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3209A562" w14:textId="77777777" w:rsidR="0046526F" w:rsidRDefault="0046526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371A7007" w14:textId="77777777" w:rsidR="0046526F" w:rsidRDefault="0046526F">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0C4884B4" w14:textId="77777777" w:rsidR="0046526F" w:rsidRDefault="0046526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55179DCB" w14:textId="77777777" w:rsidR="0046526F" w:rsidRDefault="0046526F">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060D5BA0" w14:textId="77777777" w:rsidR="0046526F" w:rsidRDefault="0046526F">
      <w:pPr>
        <w:spacing w:line="360" w:lineRule="auto"/>
        <w:ind w:firstLineChars="200" w:firstLine="420"/>
        <w:jc w:val="left"/>
      </w:pPr>
      <w:r>
        <w:rPr>
          <w:rFonts w:ascii="宋体" w:hAnsi="宋体" w:hint="eastAsia"/>
        </w:rPr>
        <w:t>因四舍五入原因，投资组合报告中分项之和与合计可能存在尾差。</w:t>
      </w:r>
    </w:p>
    <w:p w14:paraId="4980CBA9" w14:textId="77777777" w:rsidR="0046526F" w:rsidRDefault="0046526F">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30"/>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6D11F79F" w14:textId="77777777" w:rsidR="0046526F" w:rsidRDefault="0046526F">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3C3B26" w14:paraId="72DF175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55577CF" w14:textId="77777777" w:rsidR="0046526F" w:rsidRDefault="004652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23384" w14:textId="77777777" w:rsidR="0046526F" w:rsidRDefault="0046526F">
            <w:pPr>
              <w:jc w:val="right"/>
            </w:pPr>
            <w:r>
              <w:rPr>
                <w:rFonts w:ascii="宋体" w:hAnsi="宋体" w:hint="eastAsia"/>
                <w:kern w:val="0"/>
                <w:szCs w:val="24"/>
                <w:lang w:eastAsia="zh-Hans"/>
              </w:rPr>
              <w:t>10,325,359,000.00</w:t>
            </w:r>
          </w:p>
        </w:tc>
      </w:tr>
      <w:tr w:rsidR="003C3B26" w14:paraId="0F46804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8F038C" w14:textId="77777777" w:rsidR="0046526F" w:rsidRDefault="004652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8812CF" w14:textId="77777777" w:rsidR="0046526F" w:rsidRDefault="0046526F">
            <w:pPr>
              <w:jc w:val="right"/>
            </w:pPr>
            <w:r>
              <w:rPr>
                <w:rFonts w:ascii="宋体" w:hAnsi="宋体" w:hint="eastAsia"/>
                <w:lang w:eastAsia="zh-Hans"/>
              </w:rPr>
              <w:t>419,000,000.00</w:t>
            </w:r>
          </w:p>
        </w:tc>
      </w:tr>
      <w:tr w:rsidR="003C3B26" w14:paraId="2E4437A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B38E37" w14:textId="77777777" w:rsidR="0046526F" w:rsidRDefault="004652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63A1D4" w14:textId="77777777" w:rsidR="0046526F" w:rsidRDefault="0046526F">
            <w:pPr>
              <w:jc w:val="right"/>
            </w:pPr>
            <w:r>
              <w:rPr>
                <w:rFonts w:ascii="宋体" w:hAnsi="宋体" w:hint="eastAsia"/>
                <w:lang w:eastAsia="zh-Hans"/>
              </w:rPr>
              <w:t>1,187,000,000.00</w:t>
            </w:r>
          </w:p>
        </w:tc>
      </w:tr>
      <w:tr w:rsidR="003C3B26" w14:paraId="745E1A1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7E241" w14:textId="77777777" w:rsidR="0046526F" w:rsidRDefault="004652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F9042" w14:textId="77777777" w:rsidR="0046526F" w:rsidRDefault="0046526F">
            <w:pPr>
              <w:jc w:val="right"/>
            </w:pPr>
            <w:r>
              <w:rPr>
                <w:rFonts w:ascii="宋体" w:hAnsi="宋体" w:hint="eastAsia"/>
                <w:lang w:eastAsia="zh-Hans"/>
              </w:rPr>
              <w:t>-</w:t>
            </w:r>
          </w:p>
        </w:tc>
      </w:tr>
      <w:tr w:rsidR="003C3B26" w14:paraId="62FAE9A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C4763" w14:textId="77777777" w:rsidR="0046526F" w:rsidRDefault="0046526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EB8931" w14:textId="77777777" w:rsidR="0046526F" w:rsidRDefault="0046526F">
            <w:pPr>
              <w:jc w:val="right"/>
            </w:pPr>
            <w:r>
              <w:rPr>
                <w:rFonts w:ascii="宋体" w:hAnsi="宋体" w:hint="eastAsia"/>
                <w:szCs w:val="24"/>
                <w:lang w:eastAsia="zh-Hans"/>
              </w:rPr>
              <w:t>9,557,359,000.00</w:t>
            </w:r>
            <w:r>
              <w:rPr>
                <w:rFonts w:ascii="宋体" w:hAnsi="宋体" w:hint="eastAsia"/>
                <w:lang w:eastAsia="zh-Hans"/>
              </w:rPr>
              <w:t xml:space="preserve"> </w:t>
            </w:r>
          </w:p>
        </w:tc>
      </w:tr>
    </w:tbl>
    <w:p w14:paraId="4EE3799F" w14:textId="77777777" w:rsidR="0046526F" w:rsidRDefault="0046526F">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07BDB88F" w14:textId="77777777" w:rsidR="0046526F" w:rsidRDefault="0046526F">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145DF9BA" w14:textId="77777777" w:rsidR="0046526F" w:rsidRDefault="0046526F">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74421BC0" w14:textId="77777777" w:rsidR="0046526F" w:rsidRDefault="0046526F">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272F8405" w14:textId="77777777" w:rsidR="0046526F" w:rsidRDefault="0046526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4E8839D" w14:textId="77777777" w:rsidR="0046526F" w:rsidRDefault="0046526F">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470E0908" w14:textId="77777777" w:rsidR="0046526F" w:rsidRDefault="0046526F">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18"/>
    <w:bookmarkEnd w:id="31"/>
    <w:bookmarkEnd w:id="32"/>
    <w:p w14:paraId="007D606F" w14:textId="77777777" w:rsidR="0046526F" w:rsidRDefault="0046526F">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64E944B5" w14:textId="77777777" w:rsidR="0046526F" w:rsidRDefault="0046526F">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63FDD168" w14:textId="77777777" w:rsidR="0046526F" w:rsidRDefault="0046526F">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lastRenderedPageBreak/>
        <w:t>备查文件目录</w:t>
      </w:r>
      <w:bookmarkEnd w:id="257"/>
      <w:bookmarkEnd w:id="258"/>
      <w:bookmarkEnd w:id="259"/>
      <w:bookmarkEnd w:id="260"/>
      <w:bookmarkEnd w:id="261"/>
      <w:proofErr w:type="spellEnd"/>
      <w:r>
        <w:rPr>
          <w:rFonts w:hAnsi="宋体" w:hint="eastAsia"/>
        </w:rPr>
        <w:t xml:space="preserve"> </w:t>
      </w:r>
    </w:p>
    <w:p w14:paraId="1B577F8A" w14:textId="77777777" w:rsidR="0046526F" w:rsidRDefault="0046526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6C4952C" w14:textId="77777777" w:rsidR="0046526F" w:rsidRDefault="0046526F">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3E9B69C3" w14:textId="77777777" w:rsidR="0046526F" w:rsidRDefault="0046526F">
      <w:pPr>
        <w:spacing w:line="360" w:lineRule="auto"/>
        <w:ind w:firstLineChars="200" w:firstLine="420"/>
        <w:jc w:val="left"/>
      </w:pPr>
      <w:r>
        <w:rPr>
          <w:rFonts w:ascii="宋体" w:hAnsi="宋体" w:cs="宋体" w:hint="eastAsia"/>
          <w:color w:val="000000"/>
          <w:kern w:val="0"/>
        </w:rPr>
        <w:t>基金管理人或基金托管人住所。</w:t>
      </w:r>
    </w:p>
    <w:p w14:paraId="6B354131" w14:textId="77777777" w:rsidR="0046526F" w:rsidRDefault="0046526F">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7512EF75" w14:textId="77777777" w:rsidR="0046526F" w:rsidRDefault="0046526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727942AD" w14:textId="77777777" w:rsidR="0046526F" w:rsidRDefault="0046526F">
      <w:pPr>
        <w:spacing w:line="360" w:lineRule="auto"/>
        <w:ind w:firstLineChars="600" w:firstLine="1687"/>
        <w:jc w:val="left"/>
      </w:pPr>
      <w:r>
        <w:rPr>
          <w:rFonts w:ascii="宋体" w:hAnsi="宋体" w:hint="eastAsia"/>
          <w:b/>
          <w:bCs/>
          <w:sz w:val="28"/>
          <w:szCs w:val="30"/>
        </w:rPr>
        <w:t xml:space="preserve">　 </w:t>
      </w:r>
    </w:p>
    <w:p w14:paraId="30FFEBB2" w14:textId="77777777" w:rsidR="0046526F" w:rsidRDefault="0046526F">
      <w:pPr>
        <w:spacing w:line="360" w:lineRule="auto"/>
        <w:ind w:firstLineChars="600" w:firstLine="1687"/>
        <w:jc w:val="left"/>
      </w:pPr>
      <w:r>
        <w:rPr>
          <w:rFonts w:ascii="宋体" w:hAnsi="宋体" w:hint="eastAsia"/>
          <w:b/>
          <w:bCs/>
          <w:sz w:val="28"/>
          <w:szCs w:val="30"/>
        </w:rPr>
        <w:t xml:space="preserve">　 </w:t>
      </w:r>
    </w:p>
    <w:p w14:paraId="6501E773" w14:textId="77777777" w:rsidR="0046526F" w:rsidRDefault="0046526F">
      <w:pPr>
        <w:spacing w:line="360" w:lineRule="auto"/>
        <w:ind w:firstLineChars="600" w:firstLine="1446"/>
        <w:jc w:val="right"/>
      </w:pPr>
      <w:r>
        <w:rPr>
          <w:rFonts w:ascii="宋体" w:hAnsi="宋体" w:hint="eastAsia"/>
          <w:b/>
          <w:bCs/>
          <w:sz w:val="24"/>
          <w:szCs w:val="24"/>
        </w:rPr>
        <w:t>摩根基金管理（中国）有限公司</w:t>
      </w:r>
    </w:p>
    <w:p w14:paraId="1519142D" w14:textId="77777777" w:rsidR="0046526F" w:rsidRDefault="0046526F">
      <w:pPr>
        <w:spacing w:line="360" w:lineRule="auto"/>
        <w:ind w:firstLineChars="600" w:firstLine="1446"/>
        <w:jc w:val="right"/>
      </w:pPr>
      <w:r>
        <w:rPr>
          <w:rFonts w:ascii="宋体" w:hAnsi="宋体" w:hint="eastAsia"/>
          <w:b/>
          <w:bCs/>
          <w:sz w:val="24"/>
          <w:szCs w:val="24"/>
        </w:rPr>
        <w:t>2026年4月22日</w:t>
      </w:r>
      <w:bookmarkEnd w:id="19"/>
    </w:p>
    <w:sectPr w:rsidR="0046526F">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82B9" w14:textId="77777777" w:rsidR="00CE2D70" w:rsidRDefault="00CE2D70">
      <w:pPr>
        <w:rPr>
          <w:szCs w:val="21"/>
        </w:rPr>
      </w:pPr>
      <w:r>
        <w:rPr>
          <w:szCs w:val="21"/>
        </w:rPr>
        <w:separator/>
      </w:r>
      <w:r>
        <w:rPr>
          <w:szCs w:val="21"/>
        </w:rPr>
        <w:t xml:space="preserve"> </w:t>
      </w:r>
    </w:p>
  </w:endnote>
  <w:endnote w:type="continuationSeparator" w:id="0">
    <w:p w14:paraId="51B0D5A0" w14:textId="77777777" w:rsidR="00CE2D70" w:rsidRDefault="00CE2D7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FA66" w14:textId="77777777" w:rsidR="0046526F" w:rsidRDefault="0046526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6B3B" w14:textId="77777777" w:rsidR="00CE2D70" w:rsidRDefault="00CE2D70">
      <w:pPr>
        <w:rPr>
          <w:szCs w:val="21"/>
        </w:rPr>
      </w:pPr>
      <w:r>
        <w:rPr>
          <w:szCs w:val="21"/>
        </w:rPr>
        <w:separator/>
      </w:r>
      <w:r>
        <w:rPr>
          <w:szCs w:val="21"/>
        </w:rPr>
        <w:t xml:space="preserve"> </w:t>
      </w:r>
    </w:p>
  </w:footnote>
  <w:footnote w:type="continuationSeparator" w:id="0">
    <w:p w14:paraId="6706729D" w14:textId="77777777" w:rsidR="00CE2D70" w:rsidRDefault="00CE2D7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D700" w14:textId="77777777" w:rsidR="0046526F" w:rsidRDefault="0046526F">
    <w:pPr>
      <w:pStyle w:val="a8"/>
      <w:jc w:val="right"/>
    </w:pPr>
    <w:r>
      <w:rPr>
        <w:rFonts w:ascii="宋体" w:hAnsi="宋体" w:hint="eastAsia"/>
      </w:rPr>
      <w:t>摩根</w:t>
    </w:r>
    <w:proofErr w:type="gramStart"/>
    <w:r>
      <w:rPr>
        <w:rFonts w:ascii="宋体" w:hAnsi="宋体" w:hint="eastAsia"/>
      </w:rPr>
      <w:t>标普港股通低波</w:t>
    </w:r>
    <w:proofErr w:type="gramEnd"/>
    <w:r>
      <w:rPr>
        <w:rFonts w:ascii="宋体" w:hAnsi="宋体" w:hint="eastAsia"/>
      </w:rPr>
      <w:t>红利交易型开放式指数证券投资基金2026年第1季度报告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19155601">
    <w:abstractNumId w:val="0"/>
  </w:num>
  <w:num w:numId="2" w16cid:durableId="1138180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3B"/>
    <w:rsid w:val="001766FE"/>
    <w:rsid w:val="00217D3B"/>
    <w:rsid w:val="00252D2E"/>
    <w:rsid w:val="003B0E93"/>
    <w:rsid w:val="003C3B26"/>
    <w:rsid w:val="0046526F"/>
    <w:rsid w:val="004B2628"/>
    <w:rsid w:val="009740D3"/>
    <w:rsid w:val="00CE2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0069193"/>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3969">
      <w:marLeft w:val="0"/>
      <w:marRight w:val="0"/>
      <w:marTop w:val="0"/>
      <w:marBottom w:val="0"/>
      <w:divBdr>
        <w:top w:val="none" w:sz="0" w:space="0" w:color="auto"/>
        <w:left w:val="none" w:sz="0" w:space="0" w:color="auto"/>
        <w:bottom w:val="none" w:sz="0" w:space="0" w:color="auto"/>
        <w:right w:val="none" w:sz="0" w:space="0" w:color="auto"/>
      </w:divBdr>
    </w:div>
    <w:div w:id="294796692">
      <w:marLeft w:val="0"/>
      <w:marRight w:val="0"/>
      <w:marTop w:val="0"/>
      <w:marBottom w:val="0"/>
      <w:divBdr>
        <w:top w:val="none" w:sz="0" w:space="0" w:color="auto"/>
        <w:left w:val="none" w:sz="0" w:space="0" w:color="auto"/>
        <w:bottom w:val="none" w:sz="0" w:space="0" w:color="auto"/>
        <w:right w:val="none" w:sz="0" w:space="0" w:color="auto"/>
      </w:divBdr>
    </w:div>
    <w:div w:id="338626478">
      <w:marLeft w:val="0"/>
      <w:marRight w:val="0"/>
      <w:marTop w:val="0"/>
      <w:marBottom w:val="0"/>
      <w:divBdr>
        <w:top w:val="none" w:sz="0" w:space="0" w:color="auto"/>
        <w:left w:val="none" w:sz="0" w:space="0" w:color="auto"/>
        <w:bottom w:val="none" w:sz="0" w:space="0" w:color="auto"/>
        <w:right w:val="none" w:sz="0" w:space="0" w:color="auto"/>
      </w:divBdr>
    </w:div>
    <w:div w:id="540479487">
      <w:marLeft w:val="0"/>
      <w:marRight w:val="0"/>
      <w:marTop w:val="0"/>
      <w:marBottom w:val="0"/>
      <w:divBdr>
        <w:top w:val="none" w:sz="0" w:space="0" w:color="auto"/>
        <w:left w:val="none" w:sz="0" w:space="0" w:color="auto"/>
        <w:bottom w:val="none" w:sz="0" w:space="0" w:color="auto"/>
        <w:right w:val="none" w:sz="0" w:space="0" w:color="auto"/>
      </w:divBdr>
    </w:div>
    <w:div w:id="550965600">
      <w:marLeft w:val="0"/>
      <w:marRight w:val="0"/>
      <w:marTop w:val="0"/>
      <w:marBottom w:val="0"/>
      <w:divBdr>
        <w:top w:val="none" w:sz="0" w:space="0" w:color="auto"/>
        <w:left w:val="none" w:sz="0" w:space="0" w:color="auto"/>
        <w:bottom w:val="none" w:sz="0" w:space="0" w:color="auto"/>
        <w:right w:val="none" w:sz="0" w:space="0" w:color="auto"/>
      </w:divBdr>
    </w:div>
    <w:div w:id="888222147">
      <w:marLeft w:val="0"/>
      <w:marRight w:val="0"/>
      <w:marTop w:val="0"/>
      <w:marBottom w:val="0"/>
      <w:divBdr>
        <w:top w:val="none" w:sz="0" w:space="0" w:color="auto"/>
        <w:left w:val="none" w:sz="0" w:space="0" w:color="auto"/>
        <w:bottom w:val="none" w:sz="0" w:space="0" w:color="auto"/>
        <w:right w:val="none" w:sz="0" w:space="0" w:color="auto"/>
      </w:divBdr>
    </w:div>
    <w:div w:id="957568240">
      <w:marLeft w:val="0"/>
      <w:marRight w:val="0"/>
      <w:marTop w:val="0"/>
      <w:marBottom w:val="0"/>
      <w:divBdr>
        <w:top w:val="none" w:sz="0" w:space="0" w:color="auto"/>
        <w:left w:val="none" w:sz="0" w:space="0" w:color="auto"/>
        <w:bottom w:val="none" w:sz="0" w:space="0" w:color="auto"/>
        <w:right w:val="none" w:sz="0" w:space="0" w:color="auto"/>
      </w:divBdr>
    </w:div>
    <w:div w:id="1033926314">
      <w:marLeft w:val="0"/>
      <w:marRight w:val="0"/>
      <w:marTop w:val="0"/>
      <w:marBottom w:val="0"/>
      <w:divBdr>
        <w:top w:val="none" w:sz="0" w:space="0" w:color="auto"/>
        <w:left w:val="none" w:sz="0" w:space="0" w:color="auto"/>
        <w:bottom w:val="none" w:sz="0" w:space="0" w:color="auto"/>
        <w:right w:val="none" w:sz="0" w:space="0" w:color="auto"/>
      </w:divBdr>
    </w:div>
    <w:div w:id="1044914030">
      <w:marLeft w:val="0"/>
      <w:marRight w:val="0"/>
      <w:marTop w:val="0"/>
      <w:marBottom w:val="0"/>
      <w:divBdr>
        <w:top w:val="none" w:sz="0" w:space="0" w:color="auto"/>
        <w:left w:val="none" w:sz="0" w:space="0" w:color="auto"/>
        <w:bottom w:val="none" w:sz="0" w:space="0" w:color="auto"/>
        <w:right w:val="none" w:sz="0" w:space="0" w:color="auto"/>
      </w:divBdr>
    </w:div>
    <w:div w:id="1437292856">
      <w:marLeft w:val="0"/>
      <w:marRight w:val="0"/>
      <w:marTop w:val="0"/>
      <w:marBottom w:val="0"/>
      <w:divBdr>
        <w:top w:val="none" w:sz="0" w:space="0" w:color="auto"/>
        <w:left w:val="none" w:sz="0" w:space="0" w:color="auto"/>
        <w:bottom w:val="none" w:sz="0" w:space="0" w:color="auto"/>
        <w:right w:val="none" w:sz="0" w:space="0" w:color="auto"/>
      </w:divBdr>
      <w:divsChild>
        <w:div w:id="714426385">
          <w:marLeft w:val="0"/>
          <w:marRight w:val="0"/>
          <w:marTop w:val="0"/>
          <w:marBottom w:val="0"/>
          <w:divBdr>
            <w:top w:val="none" w:sz="0" w:space="0" w:color="auto"/>
            <w:left w:val="none" w:sz="0" w:space="0" w:color="auto"/>
            <w:bottom w:val="none" w:sz="0" w:space="0" w:color="auto"/>
            <w:right w:val="none" w:sz="0" w:space="0" w:color="auto"/>
          </w:divBdr>
        </w:div>
      </w:divsChild>
    </w:div>
    <w:div w:id="1646815504">
      <w:marLeft w:val="0"/>
      <w:marRight w:val="0"/>
      <w:marTop w:val="0"/>
      <w:marBottom w:val="0"/>
      <w:divBdr>
        <w:top w:val="none" w:sz="0" w:space="0" w:color="auto"/>
        <w:left w:val="none" w:sz="0" w:space="0" w:color="auto"/>
        <w:bottom w:val="none" w:sz="0" w:space="0" w:color="auto"/>
        <w:right w:val="none" w:sz="0" w:space="0" w:color="auto"/>
      </w:divBdr>
    </w:div>
    <w:div w:id="1738018545">
      <w:marLeft w:val="0"/>
      <w:marRight w:val="0"/>
      <w:marTop w:val="0"/>
      <w:marBottom w:val="0"/>
      <w:divBdr>
        <w:top w:val="none" w:sz="0" w:space="0" w:color="auto"/>
        <w:left w:val="none" w:sz="0" w:space="0" w:color="auto"/>
        <w:bottom w:val="none" w:sz="0" w:space="0" w:color="auto"/>
        <w:right w:val="none" w:sz="0" w:space="0" w:color="auto"/>
      </w:divBdr>
    </w:div>
    <w:div w:id="1778058307">
      <w:marLeft w:val="0"/>
      <w:marRight w:val="0"/>
      <w:marTop w:val="0"/>
      <w:marBottom w:val="0"/>
      <w:divBdr>
        <w:top w:val="none" w:sz="0" w:space="0" w:color="auto"/>
        <w:left w:val="none" w:sz="0" w:space="0" w:color="auto"/>
        <w:bottom w:val="none" w:sz="0" w:space="0" w:color="auto"/>
        <w:right w:val="none" w:sz="0" w:space="0" w:color="auto"/>
      </w:divBdr>
      <w:divsChild>
        <w:div w:id="437453647">
          <w:marLeft w:val="0"/>
          <w:marRight w:val="0"/>
          <w:marTop w:val="0"/>
          <w:marBottom w:val="0"/>
          <w:divBdr>
            <w:top w:val="none" w:sz="0" w:space="0" w:color="auto"/>
            <w:left w:val="none" w:sz="0" w:space="0" w:color="auto"/>
            <w:bottom w:val="none" w:sz="0" w:space="0" w:color="auto"/>
            <w:right w:val="none" w:sz="0" w:space="0" w:color="auto"/>
          </w:divBdr>
        </w:div>
      </w:divsChild>
    </w:div>
    <w:div w:id="1904171389">
      <w:marLeft w:val="0"/>
      <w:marRight w:val="0"/>
      <w:marTop w:val="0"/>
      <w:marBottom w:val="0"/>
      <w:divBdr>
        <w:top w:val="none" w:sz="0" w:space="0" w:color="auto"/>
        <w:left w:val="none" w:sz="0" w:space="0" w:color="auto"/>
        <w:bottom w:val="none" w:sz="0" w:space="0" w:color="auto"/>
        <w:right w:val="none" w:sz="0" w:space="0" w:color="auto"/>
      </w:divBdr>
    </w:div>
    <w:div w:id="1950164820">
      <w:marLeft w:val="0"/>
      <w:marRight w:val="0"/>
      <w:marTop w:val="0"/>
      <w:marBottom w:val="0"/>
      <w:divBdr>
        <w:top w:val="none" w:sz="0" w:space="0" w:color="auto"/>
        <w:left w:val="none" w:sz="0" w:space="0" w:color="auto"/>
        <w:bottom w:val="none" w:sz="0" w:space="0" w:color="auto"/>
        <w:right w:val="none" w:sz="0" w:space="0" w:color="auto"/>
      </w:divBdr>
    </w:div>
    <w:div w:id="195382794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5945</Words>
  <Characters>1706</Characters>
  <Application>Microsoft Office Word</Application>
  <DocSecurity>0</DocSecurity>
  <Lines>142</Lines>
  <Paragraphs>402</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2026-04-14T10:09:00Z</dcterms:created>
  <dcterms:modified xsi:type="dcterms:W3CDTF">2026-04-21T08:20:00Z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