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年第</w:t>
      </w:r>
      <w:r w:rsidRPr="00C74EFF">
        <w:rPr>
          <w:rFonts w:eastAsiaTheme="minorEastAsia"/>
          <w:b/>
          <w:color w:val="000000" w:themeColor="text1"/>
          <w:sz w:val="36"/>
          <w:szCs w:val="36"/>
        </w:rPr>
        <w:t>4</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2023</w:t>
      </w:r>
      <w:r w:rsidRPr="00C74EFF">
        <w:rPr>
          <w:rFonts w:eastAsiaTheme="minorEastAsia"/>
          <w:b/>
          <w:color w:val="000000" w:themeColor="text1"/>
          <w:sz w:val="36"/>
          <w:szCs w:val="36"/>
        </w:rPr>
        <w:t>年</w:t>
      </w:r>
      <w:r w:rsidRPr="00C74EFF">
        <w:rPr>
          <w:rFonts w:eastAsiaTheme="minorEastAsia"/>
          <w:b/>
          <w:color w:val="000000" w:themeColor="text1"/>
          <w:sz w:val="36"/>
          <w:szCs w:val="36"/>
        </w:rPr>
        <w:t>12</w:t>
      </w:r>
      <w:r w:rsidRPr="00C74EFF">
        <w:rPr>
          <w:rFonts w:eastAsiaTheme="minorEastAsia"/>
          <w:b/>
          <w:color w:val="000000" w:themeColor="text1"/>
          <w:sz w:val="36"/>
          <w:szCs w:val="36"/>
        </w:rPr>
        <w:t>月</w:t>
      </w:r>
      <w:r w:rsidRPr="00C74EFF">
        <w:rPr>
          <w:rFonts w:eastAsiaTheme="minorEastAsia"/>
          <w:b/>
          <w:color w:val="000000" w:themeColor="text1"/>
          <w:sz w:val="36"/>
          <w:szCs w:val="36"/>
        </w:rPr>
        <w:t>31</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二〇二四年一月二十二日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2023</w:t>
      </w:r>
      <w:r w:rsidRPr="00C74EFF">
        <w:rPr>
          <w:rFonts w:eastAsiaTheme="minorEastAsia"/>
          <w:color w:val="000000" w:themeColor="text1"/>
          <w:sz w:val="24"/>
        </w:rPr>
        <w:t>年</w:t>
      </w:r>
      <w:r w:rsidRPr="00C74EFF">
        <w:rPr>
          <w:rFonts w:eastAsiaTheme="minorEastAsia"/>
          <w:color w:val="000000" w:themeColor="text1"/>
          <w:sz w:val="24"/>
        </w:rPr>
        <w:t>10</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12</w:t>
      </w:r>
      <w:r w:rsidRPr="00C74EFF">
        <w:rPr>
          <w:rFonts w:eastAsiaTheme="minorEastAsia"/>
          <w:color w:val="000000" w:themeColor="text1"/>
          <w:sz w:val="24"/>
        </w:rPr>
        <w:t>月</w:t>
      </w:r>
      <w:r w:rsidRPr="00C74EFF">
        <w:rPr>
          <w:rFonts w:eastAsiaTheme="minorEastAsia"/>
          <w:color w:val="000000" w:themeColor="text1"/>
          <w:sz w:val="24"/>
        </w:rPr>
        <w:t>31</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410,128,000.00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8C1370" w:rsidRDefault="00FD004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D004B" w:rsidRPr="00C74EFF" w:rsidTr="00FD004B">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10</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-2023</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31</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FD004B" w:rsidRPr="00C74EFF" w:rsidTr="00FD004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-1,243,773.65</w:t>
            </w:r>
          </w:p>
        </w:tc>
      </w:tr>
      <w:tr w:rsidR="00FD004B" w:rsidRPr="00C74EFF" w:rsidTr="00FD004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-10,951,278.76</w:t>
            </w:r>
          </w:p>
        </w:tc>
      </w:tr>
      <w:tr w:rsidR="00FD004B" w:rsidRPr="00C74EFF" w:rsidTr="00FD004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-0.0269</w:t>
            </w:r>
          </w:p>
        </w:tc>
      </w:tr>
      <w:tr w:rsidR="00FD004B" w:rsidRPr="00C74EFF" w:rsidTr="00FD004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304,677,859.28</w:t>
            </w:r>
          </w:p>
        </w:tc>
      </w:tr>
      <w:tr w:rsidR="00FD004B" w:rsidRPr="00C74EFF" w:rsidTr="00FD004B">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0.7429</w:t>
            </w:r>
          </w:p>
        </w:tc>
      </w:tr>
    </w:tbl>
    <w:p w:rsidR="008C1370" w:rsidRDefault="00FD004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8C1370">
        <w:tc>
          <w:tcPr>
            <w:tcW w:w="1395" w:type="dxa"/>
            <w:vAlign w:val="center"/>
          </w:tcPr>
          <w:p w:rsidR="008C1370" w:rsidRDefault="00FD004B">
            <w:pPr>
              <w:jc w:val="left"/>
            </w:pPr>
            <w:r>
              <w:rPr>
                <w:rFonts w:eastAsiaTheme="minorEastAsia"/>
                <w:color w:val="000000" w:themeColor="text1"/>
                <w:sz w:val="24"/>
              </w:rPr>
              <w:t>过去三个月</w:t>
            </w:r>
          </w:p>
        </w:tc>
        <w:tc>
          <w:tcPr>
            <w:tcW w:w="1092" w:type="dxa"/>
            <w:vAlign w:val="center"/>
          </w:tcPr>
          <w:p w:rsidR="008C1370" w:rsidRDefault="00FD004B">
            <w:pPr>
              <w:jc w:val="center"/>
            </w:pPr>
            <w:r>
              <w:rPr>
                <w:rFonts w:eastAsiaTheme="minorEastAsia"/>
                <w:color w:val="000000" w:themeColor="text1"/>
                <w:sz w:val="24"/>
              </w:rPr>
              <w:t>-4.49%</w:t>
            </w:r>
          </w:p>
        </w:tc>
        <w:tc>
          <w:tcPr>
            <w:tcW w:w="1161" w:type="dxa"/>
            <w:vAlign w:val="center"/>
          </w:tcPr>
          <w:p w:rsidR="008C1370" w:rsidRDefault="00FD004B">
            <w:pPr>
              <w:jc w:val="center"/>
            </w:pPr>
            <w:r>
              <w:rPr>
                <w:rFonts w:eastAsiaTheme="minorEastAsia"/>
                <w:color w:val="000000" w:themeColor="text1"/>
                <w:sz w:val="24"/>
              </w:rPr>
              <w:t>1.88%</w:t>
            </w:r>
          </w:p>
        </w:tc>
        <w:tc>
          <w:tcPr>
            <w:tcW w:w="1181" w:type="dxa"/>
            <w:vAlign w:val="center"/>
          </w:tcPr>
          <w:p w:rsidR="008C1370" w:rsidRDefault="00FD004B">
            <w:pPr>
              <w:jc w:val="center"/>
            </w:pPr>
            <w:r>
              <w:rPr>
                <w:rFonts w:eastAsiaTheme="minorEastAsia"/>
                <w:color w:val="000000" w:themeColor="text1"/>
                <w:sz w:val="24"/>
              </w:rPr>
              <w:t>-5.18%</w:t>
            </w:r>
          </w:p>
        </w:tc>
        <w:tc>
          <w:tcPr>
            <w:tcW w:w="1188" w:type="dxa"/>
            <w:vAlign w:val="center"/>
          </w:tcPr>
          <w:p w:rsidR="008C1370" w:rsidRDefault="00FD004B">
            <w:pPr>
              <w:jc w:val="center"/>
            </w:pPr>
            <w:r>
              <w:rPr>
                <w:rFonts w:eastAsiaTheme="minorEastAsia"/>
                <w:color w:val="000000" w:themeColor="text1"/>
                <w:sz w:val="24"/>
              </w:rPr>
              <w:t>1.96%</w:t>
            </w:r>
          </w:p>
        </w:tc>
        <w:tc>
          <w:tcPr>
            <w:tcW w:w="1199" w:type="dxa"/>
            <w:vAlign w:val="center"/>
          </w:tcPr>
          <w:p w:rsidR="008C1370" w:rsidRDefault="00FD004B">
            <w:pPr>
              <w:jc w:val="center"/>
            </w:pPr>
            <w:r>
              <w:rPr>
                <w:rFonts w:eastAsiaTheme="minorEastAsia"/>
                <w:color w:val="000000" w:themeColor="text1"/>
                <w:sz w:val="24"/>
              </w:rPr>
              <w:t>0.69%</w:t>
            </w:r>
          </w:p>
        </w:tc>
        <w:tc>
          <w:tcPr>
            <w:tcW w:w="1204" w:type="dxa"/>
            <w:vAlign w:val="center"/>
          </w:tcPr>
          <w:p w:rsidR="008C1370" w:rsidRDefault="00FD004B">
            <w:pPr>
              <w:jc w:val="center"/>
            </w:pPr>
            <w:r>
              <w:rPr>
                <w:rFonts w:eastAsiaTheme="minorEastAsia"/>
                <w:color w:val="000000" w:themeColor="text1"/>
                <w:sz w:val="24"/>
              </w:rPr>
              <w:t>-0.08%</w:t>
            </w:r>
          </w:p>
        </w:tc>
      </w:tr>
      <w:tr w:rsidR="008C1370">
        <w:tc>
          <w:tcPr>
            <w:tcW w:w="1395" w:type="dxa"/>
            <w:vAlign w:val="center"/>
          </w:tcPr>
          <w:p w:rsidR="008C1370" w:rsidRDefault="00FD004B">
            <w:pPr>
              <w:jc w:val="left"/>
            </w:pPr>
            <w:r>
              <w:rPr>
                <w:rFonts w:eastAsiaTheme="minorEastAsia"/>
                <w:color w:val="000000" w:themeColor="text1"/>
                <w:sz w:val="24"/>
              </w:rPr>
              <w:t>过去六个月</w:t>
            </w:r>
          </w:p>
        </w:tc>
        <w:tc>
          <w:tcPr>
            <w:tcW w:w="1092" w:type="dxa"/>
            <w:vAlign w:val="center"/>
          </w:tcPr>
          <w:p w:rsidR="008C1370" w:rsidRDefault="00FD004B">
            <w:pPr>
              <w:jc w:val="center"/>
            </w:pPr>
            <w:r>
              <w:rPr>
                <w:rFonts w:eastAsiaTheme="minorEastAsia"/>
                <w:color w:val="000000" w:themeColor="text1"/>
                <w:sz w:val="24"/>
              </w:rPr>
              <w:t>-5.04%</w:t>
            </w:r>
          </w:p>
        </w:tc>
        <w:tc>
          <w:tcPr>
            <w:tcW w:w="1161" w:type="dxa"/>
            <w:vAlign w:val="center"/>
          </w:tcPr>
          <w:p w:rsidR="008C1370" w:rsidRDefault="00FD004B">
            <w:pPr>
              <w:jc w:val="center"/>
            </w:pPr>
            <w:r>
              <w:rPr>
                <w:rFonts w:eastAsiaTheme="minorEastAsia"/>
                <w:color w:val="000000" w:themeColor="text1"/>
                <w:sz w:val="24"/>
              </w:rPr>
              <w:t>1.92%</w:t>
            </w:r>
          </w:p>
        </w:tc>
        <w:tc>
          <w:tcPr>
            <w:tcW w:w="1181" w:type="dxa"/>
            <w:vAlign w:val="center"/>
          </w:tcPr>
          <w:p w:rsidR="008C1370" w:rsidRDefault="00FD004B">
            <w:pPr>
              <w:jc w:val="center"/>
            </w:pPr>
            <w:r>
              <w:rPr>
                <w:rFonts w:eastAsiaTheme="minorEastAsia"/>
                <w:color w:val="000000" w:themeColor="text1"/>
                <w:sz w:val="24"/>
              </w:rPr>
              <w:t>-5.41%</w:t>
            </w:r>
          </w:p>
        </w:tc>
        <w:tc>
          <w:tcPr>
            <w:tcW w:w="1188" w:type="dxa"/>
            <w:vAlign w:val="center"/>
          </w:tcPr>
          <w:p w:rsidR="008C1370" w:rsidRDefault="00FD004B">
            <w:pPr>
              <w:jc w:val="center"/>
            </w:pPr>
            <w:r>
              <w:rPr>
                <w:rFonts w:eastAsiaTheme="minorEastAsia"/>
                <w:color w:val="000000" w:themeColor="text1"/>
                <w:sz w:val="24"/>
              </w:rPr>
              <w:t>2.00%</w:t>
            </w:r>
          </w:p>
        </w:tc>
        <w:tc>
          <w:tcPr>
            <w:tcW w:w="1199" w:type="dxa"/>
            <w:vAlign w:val="center"/>
          </w:tcPr>
          <w:p w:rsidR="008C1370" w:rsidRDefault="00FD004B">
            <w:pPr>
              <w:jc w:val="center"/>
            </w:pPr>
            <w:r>
              <w:rPr>
                <w:rFonts w:eastAsiaTheme="minorEastAsia"/>
                <w:color w:val="000000" w:themeColor="text1"/>
                <w:sz w:val="24"/>
              </w:rPr>
              <w:t>0.37%</w:t>
            </w:r>
          </w:p>
        </w:tc>
        <w:tc>
          <w:tcPr>
            <w:tcW w:w="1204" w:type="dxa"/>
            <w:vAlign w:val="center"/>
          </w:tcPr>
          <w:p w:rsidR="008C1370" w:rsidRDefault="00FD004B">
            <w:pPr>
              <w:jc w:val="center"/>
            </w:pPr>
            <w:r>
              <w:rPr>
                <w:rFonts w:eastAsiaTheme="minorEastAsia"/>
                <w:color w:val="000000" w:themeColor="text1"/>
                <w:sz w:val="24"/>
              </w:rPr>
              <w:t>-0.08%</w:t>
            </w:r>
          </w:p>
        </w:tc>
      </w:tr>
      <w:tr w:rsidR="008C1370">
        <w:tc>
          <w:tcPr>
            <w:tcW w:w="1395" w:type="dxa"/>
            <w:vAlign w:val="center"/>
          </w:tcPr>
          <w:p w:rsidR="008C1370" w:rsidRDefault="00FD004B">
            <w:pPr>
              <w:jc w:val="left"/>
            </w:pPr>
            <w:r>
              <w:rPr>
                <w:rFonts w:eastAsiaTheme="minorEastAsia"/>
                <w:color w:val="000000" w:themeColor="text1"/>
                <w:sz w:val="24"/>
              </w:rPr>
              <w:t>过去一年</w:t>
            </w:r>
          </w:p>
        </w:tc>
        <w:tc>
          <w:tcPr>
            <w:tcW w:w="1092" w:type="dxa"/>
            <w:vAlign w:val="center"/>
          </w:tcPr>
          <w:p w:rsidR="008C1370" w:rsidRDefault="00FD004B">
            <w:pPr>
              <w:jc w:val="center"/>
            </w:pPr>
            <w:r>
              <w:rPr>
                <w:rFonts w:eastAsiaTheme="minorEastAsia"/>
                <w:color w:val="000000" w:themeColor="text1"/>
                <w:sz w:val="24"/>
              </w:rPr>
              <w:t>-7.27%</w:t>
            </w:r>
          </w:p>
        </w:tc>
        <w:tc>
          <w:tcPr>
            <w:tcW w:w="1161" w:type="dxa"/>
            <w:vAlign w:val="center"/>
          </w:tcPr>
          <w:p w:rsidR="008C1370" w:rsidRDefault="00FD004B">
            <w:pPr>
              <w:jc w:val="center"/>
            </w:pPr>
            <w:r>
              <w:rPr>
                <w:rFonts w:eastAsiaTheme="minorEastAsia"/>
                <w:color w:val="000000" w:themeColor="text1"/>
                <w:sz w:val="24"/>
              </w:rPr>
              <w:t>1.96%</w:t>
            </w:r>
          </w:p>
        </w:tc>
        <w:tc>
          <w:tcPr>
            <w:tcW w:w="1181" w:type="dxa"/>
            <w:vAlign w:val="center"/>
          </w:tcPr>
          <w:p w:rsidR="008C1370" w:rsidRDefault="00FD004B">
            <w:pPr>
              <w:jc w:val="center"/>
            </w:pPr>
            <w:r>
              <w:rPr>
                <w:rFonts w:eastAsiaTheme="minorEastAsia"/>
                <w:color w:val="000000" w:themeColor="text1"/>
                <w:sz w:val="24"/>
              </w:rPr>
              <w:t>-7.51%</w:t>
            </w:r>
          </w:p>
        </w:tc>
        <w:tc>
          <w:tcPr>
            <w:tcW w:w="1188" w:type="dxa"/>
            <w:vAlign w:val="center"/>
          </w:tcPr>
          <w:p w:rsidR="008C1370" w:rsidRDefault="00FD004B">
            <w:pPr>
              <w:jc w:val="center"/>
            </w:pPr>
            <w:r>
              <w:rPr>
                <w:rFonts w:eastAsiaTheme="minorEastAsia"/>
                <w:color w:val="000000" w:themeColor="text1"/>
                <w:sz w:val="24"/>
              </w:rPr>
              <w:t>2.05%</w:t>
            </w:r>
          </w:p>
        </w:tc>
        <w:tc>
          <w:tcPr>
            <w:tcW w:w="1199" w:type="dxa"/>
            <w:vAlign w:val="center"/>
          </w:tcPr>
          <w:p w:rsidR="008C1370" w:rsidRDefault="00FD004B">
            <w:pPr>
              <w:jc w:val="center"/>
            </w:pPr>
            <w:r>
              <w:rPr>
                <w:rFonts w:eastAsiaTheme="minorEastAsia"/>
                <w:color w:val="000000" w:themeColor="text1"/>
                <w:sz w:val="24"/>
              </w:rPr>
              <w:t>0.24%</w:t>
            </w:r>
          </w:p>
        </w:tc>
        <w:tc>
          <w:tcPr>
            <w:tcW w:w="1204" w:type="dxa"/>
            <w:vAlign w:val="center"/>
          </w:tcPr>
          <w:p w:rsidR="008C1370" w:rsidRDefault="00FD004B">
            <w:pPr>
              <w:jc w:val="center"/>
            </w:pPr>
            <w:r>
              <w:rPr>
                <w:rFonts w:eastAsiaTheme="minorEastAsia"/>
                <w:color w:val="000000" w:themeColor="text1"/>
                <w:sz w:val="24"/>
              </w:rPr>
              <w:t>-0.09%</w:t>
            </w:r>
          </w:p>
        </w:tc>
      </w:tr>
      <w:tr w:rsidR="008C1370">
        <w:tc>
          <w:tcPr>
            <w:tcW w:w="1395" w:type="dxa"/>
            <w:vAlign w:val="center"/>
          </w:tcPr>
          <w:p w:rsidR="008C1370" w:rsidRDefault="00FD004B">
            <w:pPr>
              <w:jc w:val="left"/>
            </w:pPr>
            <w:r>
              <w:rPr>
                <w:rFonts w:eastAsiaTheme="minorEastAsia"/>
                <w:color w:val="000000" w:themeColor="text1"/>
                <w:sz w:val="24"/>
              </w:rPr>
              <w:lastRenderedPageBreak/>
              <w:t>过去三年</w:t>
            </w:r>
          </w:p>
        </w:tc>
        <w:tc>
          <w:tcPr>
            <w:tcW w:w="1092" w:type="dxa"/>
            <w:vAlign w:val="center"/>
          </w:tcPr>
          <w:p w:rsidR="008C1370" w:rsidRDefault="00FD004B">
            <w:pPr>
              <w:jc w:val="center"/>
            </w:pPr>
            <w:r>
              <w:rPr>
                <w:rFonts w:eastAsiaTheme="minorEastAsia"/>
                <w:color w:val="000000" w:themeColor="text1"/>
                <w:sz w:val="24"/>
              </w:rPr>
              <w:t>-</w:t>
            </w:r>
          </w:p>
        </w:tc>
        <w:tc>
          <w:tcPr>
            <w:tcW w:w="1161" w:type="dxa"/>
            <w:vAlign w:val="center"/>
          </w:tcPr>
          <w:p w:rsidR="008C1370" w:rsidRDefault="00FD004B">
            <w:pPr>
              <w:jc w:val="center"/>
            </w:pPr>
            <w:r>
              <w:rPr>
                <w:rFonts w:eastAsiaTheme="minorEastAsia"/>
                <w:color w:val="000000" w:themeColor="text1"/>
                <w:sz w:val="24"/>
              </w:rPr>
              <w:t>-</w:t>
            </w:r>
          </w:p>
        </w:tc>
        <w:tc>
          <w:tcPr>
            <w:tcW w:w="1181" w:type="dxa"/>
            <w:vAlign w:val="center"/>
          </w:tcPr>
          <w:p w:rsidR="008C1370" w:rsidRDefault="00FD004B">
            <w:pPr>
              <w:jc w:val="center"/>
            </w:pPr>
            <w:r>
              <w:rPr>
                <w:rFonts w:eastAsiaTheme="minorEastAsia"/>
                <w:color w:val="000000" w:themeColor="text1"/>
                <w:sz w:val="24"/>
              </w:rPr>
              <w:t>-</w:t>
            </w:r>
          </w:p>
        </w:tc>
        <w:tc>
          <w:tcPr>
            <w:tcW w:w="1188" w:type="dxa"/>
            <w:vAlign w:val="center"/>
          </w:tcPr>
          <w:p w:rsidR="008C1370" w:rsidRDefault="00FD004B">
            <w:pPr>
              <w:jc w:val="center"/>
            </w:pPr>
            <w:r>
              <w:rPr>
                <w:rFonts w:eastAsiaTheme="minorEastAsia"/>
                <w:color w:val="000000" w:themeColor="text1"/>
                <w:sz w:val="24"/>
              </w:rPr>
              <w:t>-</w:t>
            </w:r>
          </w:p>
        </w:tc>
        <w:tc>
          <w:tcPr>
            <w:tcW w:w="1199" w:type="dxa"/>
            <w:vAlign w:val="center"/>
          </w:tcPr>
          <w:p w:rsidR="008C1370" w:rsidRDefault="00FD004B">
            <w:pPr>
              <w:jc w:val="center"/>
            </w:pPr>
            <w:r>
              <w:rPr>
                <w:rFonts w:eastAsiaTheme="minorEastAsia"/>
                <w:color w:val="000000" w:themeColor="text1"/>
                <w:sz w:val="24"/>
              </w:rPr>
              <w:t>-</w:t>
            </w:r>
          </w:p>
        </w:tc>
        <w:tc>
          <w:tcPr>
            <w:tcW w:w="1204" w:type="dxa"/>
            <w:vAlign w:val="center"/>
          </w:tcPr>
          <w:p w:rsidR="008C1370" w:rsidRDefault="00FD004B">
            <w:pPr>
              <w:jc w:val="center"/>
            </w:pPr>
            <w:r>
              <w:rPr>
                <w:rFonts w:eastAsiaTheme="minorEastAsia"/>
                <w:color w:val="000000" w:themeColor="text1"/>
                <w:sz w:val="24"/>
              </w:rPr>
              <w:t>-</w:t>
            </w:r>
          </w:p>
        </w:tc>
      </w:tr>
      <w:tr w:rsidR="008C1370">
        <w:tc>
          <w:tcPr>
            <w:tcW w:w="1395" w:type="dxa"/>
            <w:vAlign w:val="center"/>
          </w:tcPr>
          <w:p w:rsidR="008C1370" w:rsidRDefault="00FD004B">
            <w:pPr>
              <w:jc w:val="left"/>
            </w:pPr>
            <w:r>
              <w:rPr>
                <w:rFonts w:eastAsiaTheme="minorEastAsia"/>
                <w:color w:val="000000" w:themeColor="text1"/>
                <w:sz w:val="24"/>
              </w:rPr>
              <w:t>过去五年</w:t>
            </w:r>
          </w:p>
        </w:tc>
        <w:tc>
          <w:tcPr>
            <w:tcW w:w="1092" w:type="dxa"/>
            <w:vAlign w:val="center"/>
          </w:tcPr>
          <w:p w:rsidR="008C1370" w:rsidRDefault="00FD004B">
            <w:pPr>
              <w:jc w:val="center"/>
            </w:pPr>
            <w:r>
              <w:rPr>
                <w:rFonts w:eastAsiaTheme="minorEastAsia"/>
                <w:color w:val="000000" w:themeColor="text1"/>
                <w:sz w:val="24"/>
              </w:rPr>
              <w:t>-</w:t>
            </w:r>
          </w:p>
        </w:tc>
        <w:tc>
          <w:tcPr>
            <w:tcW w:w="1161" w:type="dxa"/>
            <w:vAlign w:val="center"/>
          </w:tcPr>
          <w:p w:rsidR="008C1370" w:rsidRDefault="00FD004B">
            <w:pPr>
              <w:jc w:val="center"/>
            </w:pPr>
            <w:r>
              <w:rPr>
                <w:rFonts w:eastAsiaTheme="minorEastAsia"/>
                <w:color w:val="000000" w:themeColor="text1"/>
                <w:sz w:val="24"/>
              </w:rPr>
              <w:t>-</w:t>
            </w:r>
          </w:p>
        </w:tc>
        <w:tc>
          <w:tcPr>
            <w:tcW w:w="1181" w:type="dxa"/>
            <w:vAlign w:val="center"/>
          </w:tcPr>
          <w:p w:rsidR="008C1370" w:rsidRDefault="00FD004B">
            <w:pPr>
              <w:jc w:val="center"/>
            </w:pPr>
            <w:r>
              <w:rPr>
                <w:rFonts w:eastAsiaTheme="minorEastAsia"/>
                <w:color w:val="000000" w:themeColor="text1"/>
                <w:sz w:val="24"/>
              </w:rPr>
              <w:t>-</w:t>
            </w:r>
          </w:p>
        </w:tc>
        <w:tc>
          <w:tcPr>
            <w:tcW w:w="1188" w:type="dxa"/>
            <w:vAlign w:val="center"/>
          </w:tcPr>
          <w:p w:rsidR="008C1370" w:rsidRDefault="00FD004B">
            <w:pPr>
              <w:jc w:val="center"/>
            </w:pPr>
            <w:r>
              <w:rPr>
                <w:rFonts w:eastAsiaTheme="minorEastAsia"/>
                <w:color w:val="000000" w:themeColor="text1"/>
                <w:sz w:val="24"/>
              </w:rPr>
              <w:t>-</w:t>
            </w:r>
          </w:p>
        </w:tc>
        <w:tc>
          <w:tcPr>
            <w:tcW w:w="1199" w:type="dxa"/>
            <w:vAlign w:val="center"/>
          </w:tcPr>
          <w:p w:rsidR="008C1370" w:rsidRDefault="00FD004B">
            <w:pPr>
              <w:jc w:val="center"/>
            </w:pPr>
            <w:r>
              <w:rPr>
                <w:rFonts w:eastAsiaTheme="minorEastAsia"/>
                <w:color w:val="000000" w:themeColor="text1"/>
                <w:sz w:val="24"/>
              </w:rPr>
              <w:t>-</w:t>
            </w:r>
          </w:p>
        </w:tc>
        <w:tc>
          <w:tcPr>
            <w:tcW w:w="1204" w:type="dxa"/>
            <w:vAlign w:val="center"/>
          </w:tcPr>
          <w:p w:rsidR="008C1370" w:rsidRDefault="00FD004B">
            <w:pPr>
              <w:jc w:val="center"/>
            </w:pPr>
            <w:r>
              <w:rPr>
                <w:rFonts w:eastAsiaTheme="minorEastAsia"/>
                <w:color w:val="000000" w:themeColor="text1"/>
                <w:sz w:val="24"/>
              </w:rPr>
              <w:t>-</w:t>
            </w:r>
          </w:p>
        </w:tc>
      </w:tr>
      <w:tr w:rsidR="008C1370">
        <w:tc>
          <w:tcPr>
            <w:tcW w:w="1395" w:type="dxa"/>
            <w:vAlign w:val="center"/>
          </w:tcPr>
          <w:p w:rsidR="008C1370" w:rsidRDefault="00FD004B">
            <w:pPr>
              <w:jc w:val="left"/>
            </w:pPr>
            <w:r>
              <w:rPr>
                <w:rFonts w:eastAsiaTheme="minorEastAsia"/>
                <w:color w:val="000000" w:themeColor="text1"/>
                <w:sz w:val="24"/>
              </w:rPr>
              <w:t>自基金合同生效起至今</w:t>
            </w:r>
          </w:p>
        </w:tc>
        <w:tc>
          <w:tcPr>
            <w:tcW w:w="1092" w:type="dxa"/>
            <w:vAlign w:val="center"/>
          </w:tcPr>
          <w:p w:rsidR="008C1370" w:rsidRDefault="00FD004B">
            <w:pPr>
              <w:jc w:val="center"/>
            </w:pPr>
            <w:r>
              <w:rPr>
                <w:rFonts w:eastAsiaTheme="minorEastAsia"/>
                <w:color w:val="000000" w:themeColor="text1"/>
                <w:sz w:val="24"/>
              </w:rPr>
              <w:t>-25.71%</w:t>
            </w:r>
          </w:p>
        </w:tc>
        <w:tc>
          <w:tcPr>
            <w:tcW w:w="1161" w:type="dxa"/>
            <w:vAlign w:val="center"/>
          </w:tcPr>
          <w:p w:rsidR="008C1370" w:rsidRDefault="00FD004B">
            <w:pPr>
              <w:jc w:val="center"/>
            </w:pPr>
            <w:r>
              <w:rPr>
                <w:rFonts w:eastAsiaTheme="minorEastAsia"/>
                <w:color w:val="000000" w:themeColor="text1"/>
                <w:sz w:val="24"/>
              </w:rPr>
              <w:t>2.61%</w:t>
            </w:r>
          </w:p>
        </w:tc>
        <w:tc>
          <w:tcPr>
            <w:tcW w:w="1181" w:type="dxa"/>
            <w:vAlign w:val="center"/>
          </w:tcPr>
          <w:p w:rsidR="008C1370" w:rsidRDefault="00FD004B">
            <w:pPr>
              <w:jc w:val="center"/>
            </w:pPr>
            <w:r>
              <w:rPr>
                <w:rFonts w:eastAsiaTheme="minorEastAsia"/>
                <w:color w:val="000000" w:themeColor="text1"/>
                <w:sz w:val="24"/>
              </w:rPr>
              <w:t>-28.16%</w:t>
            </w:r>
          </w:p>
        </w:tc>
        <w:tc>
          <w:tcPr>
            <w:tcW w:w="1188" w:type="dxa"/>
            <w:vAlign w:val="center"/>
          </w:tcPr>
          <w:p w:rsidR="008C1370" w:rsidRDefault="00FD004B">
            <w:pPr>
              <w:jc w:val="center"/>
            </w:pPr>
            <w:r>
              <w:rPr>
                <w:rFonts w:eastAsiaTheme="minorEastAsia"/>
                <w:color w:val="000000" w:themeColor="text1"/>
                <w:sz w:val="24"/>
              </w:rPr>
              <w:t>2.82%</w:t>
            </w:r>
          </w:p>
        </w:tc>
        <w:tc>
          <w:tcPr>
            <w:tcW w:w="1199" w:type="dxa"/>
            <w:vAlign w:val="center"/>
          </w:tcPr>
          <w:p w:rsidR="008C1370" w:rsidRDefault="00FD004B">
            <w:pPr>
              <w:jc w:val="center"/>
            </w:pPr>
            <w:r>
              <w:rPr>
                <w:rFonts w:eastAsiaTheme="minorEastAsia"/>
                <w:color w:val="000000" w:themeColor="text1"/>
                <w:sz w:val="24"/>
              </w:rPr>
              <w:t>2.45%</w:t>
            </w:r>
          </w:p>
        </w:tc>
        <w:tc>
          <w:tcPr>
            <w:tcW w:w="1204" w:type="dxa"/>
            <w:vAlign w:val="center"/>
          </w:tcPr>
          <w:p w:rsidR="008C1370" w:rsidRDefault="00FD004B">
            <w:pPr>
              <w:jc w:val="center"/>
            </w:pPr>
            <w:r>
              <w:rPr>
                <w:rFonts w:eastAsiaTheme="minorEastAsia"/>
                <w:color w:val="000000" w:themeColor="text1"/>
                <w:sz w:val="24"/>
              </w:rPr>
              <w:t>-0.21%</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2023</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12</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31</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8C1370" w:rsidRDefault="00FD004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8C1370">
        <w:tc>
          <w:tcPr>
            <w:tcW w:w="851" w:type="dxa"/>
            <w:vAlign w:val="center"/>
          </w:tcPr>
          <w:p w:rsidR="008C1370" w:rsidRDefault="00FD004B">
            <w:pPr>
              <w:jc w:val="center"/>
            </w:pPr>
            <w:r>
              <w:rPr>
                <w:rFonts w:eastAsiaTheme="minorEastAsia"/>
                <w:color w:val="000000" w:themeColor="text1"/>
                <w:sz w:val="24"/>
              </w:rPr>
              <w:lastRenderedPageBreak/>
              <w:t>胡迪</w:t>
            </w:r>
          </w:p>
        </w:tc>
        <w:tc>
          <w:tcPr>
            <w:tcW w:w="850" w:type="dxa"/>
            <w:vAlign w:val="center"/>
          </w:tcPr>
          <w:p w:rsidR="008C1370" w:rsidRDefault="00FD004B">
            <w:pPr>
              <w:jc w:val="center"/>
            </w:pPr>
            <w:r>
              <w:rPr>
                <w:rFonts w:eastAsiaTheme="minorEastAsia"/>
                <w:color w:val="000000" w:themeColor="text1"/>
                <w:sz w:val="24"/>
              </w:rPr>
              <w:t>本基金基金经理、指数及量化投资部总监</w:t>
            </w:r>
          </w:p>
        </w:tc>
        <w:tc>
          <w:tcPr>
            <w:tcW w:w="1560" w:type="dxa"/>
            <w:vAlign w:val="center"/>
          </w:tcPr>
          <w:p w:rsidR="008C1370" w:rsidRDefault="00FD004B">
            <w:pPr>
              <w:jc w:val="center"/>
            </w:pPr>
            <w:r>
              <w:rPr>
                <w:rFonts w:eastAsiaTheme="minorEastAsia"/>
                <w:color w:val="000000" w:themeColor="text1"/>
                <w:sz w:val="24"/>
              </w:rPr>
              <w:t>2021-12-30</w:t>
            </w:r>
          </w:p>
        </w:tc>
        <w:tc>
          <w:tcPr>
            <w:tcW w:w="1559" w:type="dxa"/>
            <w:vAlign w:val="center"/>
          </w:tcPr>
          <w:p w:rsidR="008C1370" w:rsidRDefault="00FD004B">
            <w:pPr>
              <w:jc w:val="center"/>
            </w:pPr>
            <w:r>
              <w:rPr>
                <w:rFonts w:eastAsiaTheme="minorEastAsia"/>
                <w:color w:val="000000" w:themeColor="text1"/>
                <w:sz w:val="24"/>
              </w:rPr>
              <w:t>-</w:t>
            </w:r>
          </w:p>
        </w:tc>
        <w:tc>
          <w:tcPr>
            <w:tcW w:w="1417" w:type="dxa"/>
            <w:vAlign w:val="center"/>
          </w:tcPr>
          <w:p w:rsidR="008C1370" w:rsidRDefault="00FD004B">
            <w:pPr>
              <w:jc w:val="center"/>
            </w:pPr>
            <w:r>
              <w:rPr>
                <w:rFonts w:eastAsiaTheme="minorEastAsia"/>
                <w:color w:val="000000" w:themeColor="text1"/>
                <w:sz w:val="24"/>
              </w:rPr>
              <w:t>16</w:t>
            </w:r>
            <w:r>
              <w:rPr>
                <w:rFonts w:eastAsiaTheme="minorEastAsia"/>
                <w:color w:val="000000" w:themeColor="text1"/>
                <w:sz w:val="24"/>
              </w:rPr>
              <w:t>年</w:t>
            </w:r>
          </w:p>
        </w:tc>
        <w:tc>
          <w:tcPr>
            <w:tcW w:w="2694" w:type="dxa"/>
            <w:vAlign w:val="center"/>
          </w:tcPr>
          <w:p w:rsidR="008C1370" w:rsidRDefault="00FD004B">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8C1370">
        <w:tc>
          <w:tcPr>
            <w:tcW w:w="851" w:type="dxa"/>
            <w:vAlign w:val="center"/>
          </w:tcPr>
          <w:p w:rsidR="008C1370" w:rsidRDefault="00FD004B">
            <w:pPr>
              <w:jc w:val="center"/>
            </w:pPr>
            <w:r>
              <w:rPr>
                <w:rFonts w:eastAsiaTheme="minorEastAsia"/>
                <w:color w:val="000000" w:themeColor="text1"/>
                <w:sz w:val="24"/>
              </w:rPr>
              <w:t>何智豪</w:t>
            </w:r>
          </w:p>
        </w:tc>
        <w:tc>
          <w:tcPr>
            <w:tcW w:w="850" w:type="dxa"/>
            <w:vAlign w:val="center"/>
          </w:tcPr>
          <w:p w:rsidR="008C1370" w:rsidRDefault="00FD004B">
            <w:pPr>
              <w:jc w:val="center"/>
            </w:pPr>
            <w:r>
              <w:rPr>
                <w:rFonts w:eastAsiaTheme="minorEastAsia"/>
                <w:color w:val="000000" w:themeColor="text1"/>
                <w:sz w:val="24"/>
              </w:rPr>
              <w:t>本基金基金经理</w:t>
            </w:r>
          </w:p>
        </w:tc>
        <w:tc>
          <w:tcPr>
            <w:tcW w:w="1560" w:type="dxa"/>
            <w:vAlign w:val="center"/>
          </w:tcPr>
          <w:p w:rsidR="008C1370" w:rsidRDefault="00FD004B">
            <w:pPr>
              <w:jc w:val="center"/>
            </w:pPr>
            <w:r>
              <w:rPr>
                <w:rFonts w:eastAsiaTheme="minorEastAsia"/>
                <w:color w:val="000000" w:themeColor="text1"/>
                <w:sz w:val="24"/>
              </w:rPr>
              <w:t>2021-12-30</w:t>
            </w:r>
          </w:p>
        </w:tc>
        <w:tc>
          <w:tcPr>
            <w:tcW w:w="1559" w:type="dxa"/>
            <w:vAlign w:val="center"/>
          </w:tcPr>
          <w:p w:rsidR="008C1370" w:rsidRDefault="00FD004B">
            <w:pPr>
              <w:jc w:val="center"/>
            </w:pPr>
            <w:r>
              <w:rPr>
                <w:rFonts w:eastAsiaTheme="minorEastAsia"/>
                <w:color w:val="000000" w:themeColor="text1"/>
                <w:sz w:val="24"/>
              </w:rPr>
              <w:t>-</w:t>
            </w:r>
          </w:p>
        </w:tc>
        <w:tc>
          <w:tcPr>
            <w:tcW w:w="1417" w:type="dxa"/>
            <w:vAlign w:val="center"/>
          </w:tcPr>
          <w:p w:rsidR="008C1370" w:rsidRDefault="00FD004B">
            <w:pPr>
              <w:jc w:val="center"/>
            </w:pPr>
            <w:r>
              <w:rPr>
                <w:rFonts w:eastAsiaTheme="minorEastAsia"/>
                <w:color w:val="000000" w:themeColor="text1"/>
                <w:sz w:val="24"/>
              </w:rPr>
              <w:t>9</w:t>
            </w:r>
            <w:r>
              <w:rPr>
                <w:rFonts w:eastAsiaTheme="minorEastAsia"/>
                <w:color w:val="000000" w:themeColor="text1"/>
                <w:sz w:val="24"/>
              </w:rPr>
              <w:t>年</w:t>
            </w:r>
          </w:p>
        </w:tc>
        <w:tc>
          <w:tcPr>
            <w:tcW w:w="2694" w:type="dxa"/>
            <w:vAlign w:val="center"/>
          </w:tcPr>
          <w:p w:rsidR="008C1370" w:rsidRDefault="00FD004B">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8C1370" w:rsidRDefault="00FD004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w:t>
      </w:r>
      <w:r>
        <w:rPr>
          <w:rFonts w:eastAsiaTheme="minorEastAsia"/>
          <w:color w:val="000000" w:themeColor="text1"/>
          <w:sz w:val="24"/>
        </w:rPr>
        <w:lastRenderedPageBreak/>
        <w:t>析、投资决策、交易执行、业绩评估等投资管理活动相关的环节均得到公平对待。</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8C1370" w:rsidRDefault="00FD004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报告期内，美国中长期国债收益率从高位回落，但是中国当前宏观经济数据欠佳，本基金跟踪的恒生科技指数，在期初从底部上涨后回落，整体表现一般。</w:t>
      </w:r>
    </w:p>
    <w:p w:rsidR="008C1370" w:rsidRDefault="00FD004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本基金采用持有目标</w:t>
      </w:r>
      <w:r>
        <w:rPr>
          <w:rFonts w:eastAsiaTheme="minorEastAsia"/>
          <w:color w:val="000000" w:themeColor="text1"/>
          <w:szCs w:val="21"/>
        </w:rPr>
        <w:t>ETF</w:t>
      </w:r>
      <w:r>
        <w:rPr>
          <w:rFonts w:eastAsiaTheme="minorEastAsia"/>
          <w:color w:val="000000" w:themeColor="text1"/>
          <w:szCs w:val="21"/>
        </w:rPr>
        <w:t>以复制标的指数的投资策略，力争将跟踪误差控制在合理水平。</w:t>
      </w:r>
    </w:p>
    <w:p w:rsidR="008C1370" w:rsidRDefault="00FD004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本基金投资跟踪的标的指数估值水平，当前依然处于历史上的较低位置。此外海外货币政策有望放松，投资者悲观情绪预计将会出现改善；随着国内经济温和复苏，标的指数相关公司有望受益于此，或出现一定的复苏反弹性行情。</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:-4.49%</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:-5.18%</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lastRenderedPageBreak/>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291,705,666.94</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93.89</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291,705,666.94</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93.89</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18,701,209.84</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6.02</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2</w:t>
            </w:r>
            <w:r w:rsidR="00F27FD5">
              <w:rPr>
                <w:rFonts w:eastAsiaTheme="minorEastAsia"/>
                <w:color w:val="000000" w:themeColor="text1"/>
                <w:sz w:val="24"/>
              </w:rPr>
              <w:t>86</w:t>
            </w:r>
            <w:r w:rsidRPr="00C74EFF">
              <w:rPr>
                <w:rFonts w:eastAsiaTheme="minorEastAsia"/>
                <w:color w:val="000000" w:themeColor="text1"/>
                <w:sz w:val="24"/>
              </w:rPr>
              <w:t>,</w:t>
            </w:r>
            <w:r w:rsidR="00F27FD5">
              <w:rPr>
                <w:rFonts w:eastAsiaTheme="minorEastAsia"/>
                <w:color w:val="000000" w:themeColor="text1"/>
                <w:sz w:val="24"/>
              </w:rPr>
              <w:t>899</w:t>
            </w:r>
            <w:r w:rsidRPr="00C74EFF">
              <w:rPr>
                <w:rFonts w:eastAsiaTheme="minorEastAsia"/>
                <w:color w:val="000000" w:themeColor="text1"/>
                <w:sz w:val="24"/>
              </w:rPr>
              <w:t>.</w:t>
            </w:r>
            <w:r w:rsidR="00F27FD5">
              <w:rPr>
                <w:rFonts w:eastAsiaTheme="minorEastAsia"/>
                <w:color w:val="000000" w:themeColor="text1"/>
                <w:sz w:val="24"/>
              </w:rPr>
              <w:t>1</w:t>
            </w:r>
            <w:r w:rsidRPr="00C74EFF">
              <w:rPr>
                <w:rFonts w:eastAsiaTheme="minorEastAsia"/>
                <w:color w:val="000000" w:themeColor="text1"/>
                <w:sz w:val="24"/>
              </w:rPr>
              <w:t>4</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0.09</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310,6</w:t>
            </w:r>
            <w:r w:rsidR="00F27FD5">
              <w:rPr>
                <w:rFonts w:eastAsiaTheme="minorEastAsia"/>
                <w:color w:val="000000" w:themeColor="text1"/>
                <w:sz w:val="24"/>
              </w:rPr>
              <w:t>93</w:t>
            </w:r>
            <w:r w:rsidRPr="00C74EFF">
              <w:rPr>
                <w:rFonts w:eastAsiaTheme="minorEastAsia"/>
                <w:color w:val="000000" w:themeColor="text1"/>
                <w:sz w:val="24"/>
              </w:rPr>
              <w:t>,</w:t>
            </w:r>
            <w:r w:rsidR="00F27FD5">
              <w:rPr>
                <w:rFonts w:eastAsiaTheme="minorEastAsia"/>
                <w:color w:val="000000" w:themeColor="text1"/>
                <w:sz w:val="24"/>
              </w:rPr>
              <w:t>775</w:t>
            </w:r>
            <w:r w:rsidRPr="00C74EFF">
              <w:rPr>
                <w:rFonts w:eastAsiaTheme="minorEastAsia"/>
                <w:color w:val="000000" w:themeColor="text1"/>
                <w:sz w:val="24"/>
              </w:rPr>
              <w:t>.</w:t>
            </w:r>
            <w:r w:rsidR="00F27FD5">
              <w:rPr>
                <w:rFonts w:eastAsiaTheme="minorEastAsia"/>
                <w:color w:val="000000" w:themeColor="text1"/>
                <w:sz w:val="24"/>
              </w:rPr>
              <w:t>9</w:t>
            </w:r>
            <w:r w:rsidRPr="00C74EFF">
              <w:rPr>
                <w:rFonts w:eastAsiaTheme="minorEastAsia"/>
                <w:color w:val="000000" w:themeColor="text1"/>
                <w:sz w:val="24"/>
              </w:rPr>
              <w:t>2</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196,848,370.75</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64.61%</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lastRenderedPageBreak/>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8C1370">
        <w:trPr>
          <w:jc w:val="center"/>
        </w:trPr>
        <w:tc>
          <w:tcPr>
            <w:tcW w:w="2410" w:type="dxa"/>
            <w:vAlign w:val="center"/>
          </w:tcPr>
          <w:p w:rsidR="008C1370" w:rsidRDefault="00FD004B">
            <w:pPr>
              <w:jc w:val="left"/>
            </w:pPr>
            <w:r>
              <w:rPr>
                <w:rFonts w:eastAsiaTheme="minorEastAsia"/>
                <w:color w:val="000000" w:themeColor="text1"/>
                <w:sz w:val="24"/>
              </w:rPr>
              <w:t>中国香港</w:t>
            </w:r>
          </w:p>
        </w:tc>
        <w:tc>
          <w:tcPr>
            <w:tcW w:w="3118" w:type="dxa"/>
            <w:vAlign w:val="center"/>
          </w:tcPr>
          <w:p w:rsidR="008C1370" w:rsidRDefault="00FD004B">
            <w:pPr>
              <w:jc w:val="right"/>
            </w:pPr>
            <w:r>
              <w:rPr>
                <w:rFonts w:eastAsiaTheme="minorEastAsia"/>
                <w:color w:val="000000" w:themeColor="text1"/>
                <w:sz w:val="24"/>
              </w:rPr>
              <w:t>291,705,666.94</w:t>
            </w:r>
          </w:p>
        </w:tc>
        <w:tc>
          <w:tcPr>
            <w:tcW w:w="3076" w:type="dxa"/>
            <w:vAlign w:val="center"/>
          </w:tcPr>
          <w:p w:rsidR="008C1370" w:rsidRDefault="00FD004B">
            <w:pPr>
              <w:jc w:val="right"/>
            </w:pPr>
            <w:r>
              <w:rPr>
                <w:rFonts w:eastAsiaTheme="minorEastAsia"/>
                <w:color w:val="000000" w:themeColor="text1"/>
                <w:sz w:val="24"/>
              </w:rPr>
              <w:t>95.74</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291,705,666.94</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95.74</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8C1370">
        <w:tc>
          <w:tcPr>
            <w:tcW w:w="2787" w:type="dxa"/>
            <w:vAlign w:val="center"/>
          </w:tcPr>
          <w:p w:rsidR="008C1370" w:rsidRDefault="00FD004B">
            <w:pPr>
              <w:jc w:val="left"/>
            </w:pPr>
            <w:r>
              <w:rPr>
                <w:color w:val="000000" w:themeColor="text1"/>
                <w:sz w:val="24"/>
              </w:rPr>
              <w:t>消费者非必需品</w:t>
            </w:r>
          </w:p>
        </w:tc>
        <w:tc>
          <w:tcPr>
            <w:tcW w:w="2551" w:type="dxa"/>
            <w:vAlign w:val="center"/>
          </w:tcPr>
          <w:p w:rsidR="008C1370" w:rsidRDefault="00FD004B">
            <w:pPr>
              <w:jc w:val="right"/>
            </w:pPr>
            <w:r>
              <w:rPr>
                <w:color w:val="000000" w:themeColor="text1"/>
                <w:sz w:val="24"/>
              </w:rPr>
              <w:t>121,330,023.21</w:t>
            </w:r>
          </w:p>
        </w:tc>
        <w:tc>
          <w:tcPr>
            <w:tcW w:w="3175" w:type="dxa"/>
            <w:vAlign w:val="center"/>
          </w:tcPr>
          <w:p w:rsidR="008C1370" w:rsidRDefault="00FD004B">
            <w:pPr>
              <w:jc w:val="right"/>
            </w:pPr>
            <w:r>
              <w:rPr>
                <w:color w:val="000000" w:themeColor="text1"/>
                <w:sz w:val="24"/>
              </w:rPr>
              <w:t>39.82</w:t>
            </w:r>
          </w:p>
        </w:tc>
      </w:tr>
      <w:tr w:rsidR="008C1370">
        <w:tc>
          <w:tcPr>
            <w:tcW w:w="2787" w:type="dxa"/>
            <w:vAlign w:val="center"/>
          </w:tcPr>
          <w:p w:rsidR="008C1370" w:rsidRDefault="00FD004B">
            <w:pPr>
              <w:jc w:val="left"/>
            </w:pPr>
            <w:r>
              <w:rPr>
                <w:color w:val="000000" w:themeColor="text1"/>
                <w:sz w:val="24"/>
              </w:rPr>
              <w:t>电信服务</w:t>
            </w:r>
          </w:p>
        </w:tc>
        <w:tc>
          <w:tcPr>
            <w:tcW w:w="2551" w:type="dxa"/>
            <w:vAlign w:val="center"/>
          </w:tcPr>
          <w:p w:rsidR="008C1370" w:rsidRDefault="00FD004B">
            <w:pPr>
              <w:jc w:val="right"/>
            </w:pPr>
            <w:r>
              <w:rPr>
                <w:color w:val="000000" w:themeColor="text1"/>
                <w:sz w:val="24"/>
              </w:rPr>
              <w:t>78,876,718.19</w:t>
            </w:r>
          </w:p>
        </w:tc>
        <w:tc>
          <w:tcPr>
            <w:tcW w:w="3175" w:type="dxa"/>
            <w:vAlign w:val="center"/>
          </w:tcPr>
          <w:p w:rsidR="008C1370" w:rsidRDefault="00FD004B">
            <w:pPr>
              <w:jc w:val="right"/>
            </w:pPr>
            <w:r>
              <w:rPr>
                <w:color w:val="000000" w:themeColor="text1"/>
                <w:sz w:val="24"/>
              </w:rPr>
              <w:t>25.89</w:t>
            </w:r>
          </w:p>
        </w:tc>
      </w:tr>
      <w:tr w:rsidR="008C1370">
        <w:tc>
          <w:tcPr>
            <w:tcW w:w="2787" w:type="dxa"/>
            <w:vAlign w:val="center"/>
          </w:tcPr>
          <w:p w:rsidR="008C1370" w:rsidRDefault="00FD004B">
            <w:pPr>
              <w:jc w:val="left"/>
            </w:pPr>
            <w:r>
              <w:rPr>
                <w:color w:val="000000" w:themeColor="text1"/>
                <w:sz w:val="24"/>
              </w:rPr>
              <w:t>信息技术</w:t>
            </w:r>
          </w:p>
        </w:tc>
        <w:tc>
          <w:tcPr>
            <w:tcW w:w="2551" w:type="dxa"/>
            <w:vAlign w:val="center"/>
          </w:tcPr>
          <w:p w:rsidR="008C1370" w:rsidRDefault="00FD004B">
            <w:pPr>
              <w:jc w:val="right"/>
            </w:pPr>
            <w:r>
              <w:rPr>
                <w:color w:val="000000" w:themeColor="text1"/>
                <w:sz w:val="24"/>
              </w:rPr>
              <w:t>77,333,845.12</w:t>
            </w:r>
          </w:p>
        </w:tc>
        <w:tc>
          <w:tcPr>
            <w:tcW w:w="3175" w:type="dxa"/>
            <w:vAlign w:val="center"/>
          </w:tcPr>
          <w:p w:rsidR="008C1370" w:rsidRDefault="00FD004B">
            <w:pPr>
              <w:jc w:val="right"/>
            </w:pPr>
            <w:r>
              <w:rPr>
                <w:color w:val="000000" w:themeColor="text1"/>
                <w:sz w:val="24"/>
              </w:rPr>
              <w:t>25.38</w:t>
            </w:r>
          </w:p>
        </w:tc>
      </w:tr>
      <w:tr w:rsidR="008C1370">
        <w:tc>
          <w:tcPr>
            <w:tcW w:w="2787" w:type="dxa"/>
            <w:vAlign w:val="center"/>
          </w:tcPr>
          <w:p w:rsidR="008C1370" w:rsidRDefault="00FD004B">
            <w:pPr>
              <w:jc w:val="left"/>
            </w:pPr>
            <w:r>
              <w:rPr>
                <w:color w:val="000000" w:themeColor="text1"/>
                <w:sz w:val="24"/>
              </w:rPr>
              <w:t>消费者常用品</w:t>
            </w:r>
          </w:p>
        </w:tc>
        <w:tc>
          <w:tcPr>
            <w:tcW w:w="2551" w:type="dxa"/>
            <w:vAlign w:val="center"/>
          </w:tcPr>
          <w:p w:rsidR="008C1370" w:rsidRDefault="00FD004B">
            <w:pPr>
              <w:jc w:val="right"/>
            </w:pPr>
            <w:r>
              <w:rPr>
                <w:color w:val="000000" w:themeColor="text1"/>
                <w:sz w:val="24"/>
              </w:rPr>
              <w:t>10,168,055.74</w:t>
            </w:r>
          </w:p>
        </w:tc>
        <w:tc>
          <w:tcPr>
            <w:tcW w:w="3175" w:type="dxa"/>
            <w:vAlign w:val="center"/>
          </w:tcPr>
          <w:p w:rsidR="008C1370" w:rsidRDefault="00FD004B">
            <w:pPr>
              <w:jc w:val="right"/>
            </w:pPr>
            <w:r>
              <w:rPr>
                <w:color w:val="000000" w:themeColor="text1"/>
                <w:sz w:val="24"/>
              </w:rPr>
              <w:t>3.34</w:t>
            </w:r>
          </w:p>
        </w:tc>
      </w:tr>
      <w:tr w:rsidR="008C1370">
        <w:tc>
          <w:tcPr>
            <w:tcW w:w="2787" w:type="dxa"/>
            <w:vAlign w:val="center"/>
          </w:tcPr>
          <w:p w:rsidR="008C1370" w:rsidRDefault="00FD004B">
            <w:pPr>
              <w:jc w:val="left"/>
            </w:pPr>
            <w:r>
              <w:rPr>
                <w:color w:val="000000" w:themeColor="text1"/>
                <w:sz w:val="24"/>
              </w:rPr>
              <w:t>金融</w:t>
            </w:r>
          </w:p>
        </w:tc>
        <w:tc>
          <w:tcPr>
            <w:tcW w:w="2551" w:type="dxa"/>
            <w:vAlign w:val="center"/>
          </w:tcPr>
          <w:p w:rsidR="008C1370" w:rsidRDefault="00FD004B">
            <w:pPr>
              <w:jc w:val="right"/>
            </w:pPr>
            <w:r>
              <w:rPr>
                <w:color w:val="000000" w:themeColor="text1"/>
                <w:sz w:val="24"/>
              </w:rPr>
              <w:t>2,324,809.54</w:t>
            </w:r>
          </w:p>
        </w:tc>
        <w:tc>
          <w:tcPr>
            <w:tcW w:w="3175" w:type="dxa"/>
            <w:vAlign w:val="center"/>
          </w:tcPr>
          <w:p w:rsidR="008C1370" w:rsidRDefault="00FD004B">
            <w:pPr>
              <w:jc w:val="right"/>
            </w:pPr>
            <w:r>
              <w:rPr>
                <w:color w:val="000000" w:themeColor="text1"/>
                <w:sz w:val="24"/>
              </w:rPr>
              <w:t>0.76</w:t>
            </w:r>
          </w:p>
        </w:tc>
      </w:tr>
      <w:tr w:rsidR="008C1370">
        <w:tc>
          <w:tcPr>
            <w:tcW w:w="2787" w:type="dxa"/>
            <w:vAlign w:val="center"/>
          </w:tcPr>
          <w:p w:rsidR="008C1370" w:rsidRDefault="00FD004B">
            <w:pPr>
              <w:jc w:val="left"/>
            </w:pPr>
            <w:r>
              <w:rPr>
                <w:color w:val="000000" w:themeColor="text1"/>
                <w:sz w:val="24"/>
              </w:rPr>
              <w:t>医疗保健</w:t>
            </w:r>
          </w:p>
        </w:tc>
        <w:tc>
          <w:tcPr>
            <w:tcW w:w="2551" w:type="dxa"/>
            <w:vAlign w:val="center"/>
          </w:tcPr>
          <w:p w:rsidR="008C1370" w:rsidRDefault="00FD004B">
            <w:pPr>
              <w:jc w:val="right"/>
            </w:pPr>
            <w:r>
              <w:rPr>
                <w:color w:val="000000" w:themeColor="text1"/>
                <w:sz w:val="24"/>
              </w:rPr>
              <w:t>1,672,215.14</w:t>
            </w:r>
          </w:p>
        </w:tc>
        <w:tc>
          <w:tcPr>
            <w:tcW w:w="3175" w:type="dxa"/>
            <w:vAlign w:val="center"/>
          </w:tcPr>
          <w:p w:rsidR="008C1370" w:rsidRDefault="00FD004B">
            <w:pPr>
              <w:jc w:val="right"/>
            </w:pPr>
            <w:r>
              <w:rPr>
                <w:color w:val="000000" w:themeColor="text1"/>
                <w:sz w:val="24"/>
              </w:rPr>
              <w:t>0.55</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291,705,666.94</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95.74</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FD004B" w:rsidRPr="00C74EFF" w:rsidRDefault="00FD004B" w:rsidP="00FD004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75"/>
        <w:gridCol w:w="1698"/>
        <w:gridCol w:w="720"/>
        <w:gridCol w:w="698"/>
        <w:gridCol w:w="483"/>
        <w:gridCol w:w="715"/>
        <w:gridCol w:w="1176"/>
        <w:gridCol w:w="1596"/>
        <w:gridCol w:w="952"/>
      </w:tblGrid>
      <w:tr w:rsidR="0066041F" w:rsidRPr="00C74EFF" w:rsidTr="00EF1BAF">
        <w:tc>
          <w:tcPr>
            <w:tcW w:w="817"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66041F" w:rsidRPr="00C74EFF" w:rsidRDefault="0066041F" w:rsidP="00EF1BAF">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66041F" w:rsidRPr="00C74EFF" w:rsidRDefault="0066041F" w:rsidP="00EF1BAF">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66041F" w:rsidRPr="00C74EFF" w:rsidRDefault="0066041F" w:rsidP="00EF1BAF">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券市场</w:t>
            </w:r>
          </w:p>
        </w:tc>
        <w:tc>
          <w:tcPr>
            <w:tcW w:w="962"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所属国家</w:t>
            </w:r>
          </w:p>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66041F" w:rsidRPr="00C74EFF" w:rsidRDefault="0066041F" w:rsidP="00EF1BAF">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1</w:t>
            </w:r>
          </w:p>
        </w:tc>
        <w:tc>
          <w:tcPr>
            <w:tcW w:w="0" w:type="auto"/>
            <w:vAlign w:val="center"/>
          </w:tcPr>
          <w:p w:rsidR="0066041F" w:rsidRDefault="0066041F" w:rsidP="00EF1BAF">
            <w:pPr>
              <w:jc w:val="center"/>
            </w:pPr>
            <w:r>
              <w:rPr>
                <w:rFonts w:eastAsiaTheme="minorEastAsia"/>
                <w:color w:val="000000" w:themeColor="text1"/>
                <w:sz w:val="24"/>
              </w:rPr>
              <w:t>JD.com Inc</w:t>
            </w:r>
          </w:p>
        </w:tc>
        <w:tc>
          <w:tcPr>
            <w:tcW w:w="0" w:type="auto"/>
            <w:vAlign w:val="center"/>
          </w:tcPr>
          <w:p w:rsidR="0066041F" w:rsidRDefault="0066041F" w:rsidP="00EF1BAF">
            <w:pPr>
              <w:jc w:val="center"/>
            </w:pPr>
            <w:r>
              <w:rPr>
                <w:rFonts w:eastAsiaTheme="minorEastAsia"/>
                <w:color w:val="000000" w:themeColor="text1"/>
                <w:sz w:val="24"/>
              </w:rPr>
              <w:t>京东集团</w:t>
            </w:r>
          </w:p>
        </w:tc>
        <w:tc>
          <w:tcPr>
            <w:tcW w:w="0" w:type="auto"/>
            <w:vAlign w:val="center"/>
          </w:tcPr>
          <w:p w:rsidR="0066041F" w:rsidRDefault="0066041F" w:rsidP="00EF1BAF">
            <w:pPr>
              <w:jc w:val="center"/>
            </w:pPr>
            <w:r>
              <w:rPr>
                <w:rFonts w:eastAsiaTheme="minorEastAsia"/>
                <w:color w:val="000000" w:themeColor="text1"/>
                <w:sz w:val="24"/>
              </w:rPr>
              <w:t>9618</w:t>
            </w:r>
          </w:p>
        </w:tc>
        <w:tc>
          <w:tcPr>
            <w:tcW w:w="0" w:type="auto"/>
            <w:vAlign w:val="center"/>
          </w:tcPr>
          <w:p w:rsidR="0066041F" w:rsidRDefault="0066041F" w:rsidP="00EF1BAF">
            <w:pPr>
              <w:jc w:val="center"/>
            </w:pPr>
            <w:r>
              <w:rPr>
                <w:rFonts w:eastAsiaTheme="minorEastAsia"/>
                <w:color w:val="000000" w:themeColor="text1"/>
                <w:sz w:val="24"/>
              </w:rPr>
              <w:t>香港证券交易</w:t>
            </w:r>
            <w:r>
              <w:rPr>
                <w:rFonts w:eastAsiaTheme="minorEastAsia"/>
                <w:color w:val="000000" w:themeColor="text1"/>
                <w:sz w:val="24"/>
              </w:rPr>
              <w:lastRenderedPageBreak/>
              <w:t>所</w:t>
            </w:r>
          </w:p>
        </w:tc>
        <w:tc>
          <w:tcPr>
            <w:tcW w:w="0" w:type="auto"/>
            <w:vAlign w:val="center"/>
          </w:tcPr>
          <w:p w:rsidR="0066041F" w:rsidRDefault="0066041F" w:rsidP="00EF1BAF">
            <w:pPr>
              <w:jc w:val="center"/>
            </w:pPr>
            <w:r>
              <w:rPr>
                <w:rFonts w:eastAsiaTheme="minorEastAsia"/>
                <w:color w:val="000000" w:themeColor="text1"/>
                <w:sz w:val="24"/>
              </w:rPr>
              <w:lastRenderedPageBreak/>
              <w:t>中国香港</w:t>
            </w:r>
          </w:p>
        </w:tc>
        <w:tc>
          <w:tcPr>
            <w:tcW w:w="0" w:type="auto"/>
            <w:vAlign w:val="center"/>
          </w:tcPr>
          <w:p w:rsidR="0066041F" w:rsidRDefault="0066041F" w:rsidP="00EF1BAF">
            <w:pPr>
              <w:jc w:val="right"/>
            </w:pPr>
            <w:r>
              <w:rPr>
                <w:rFonts w:eastAsiaTheme="minorEastAsia"/>
                <w:color w:val="000000" w:themeColor="text1"/>
                <w:sz w:val="24"/>
              </w:rPr>
              <w:t>254,036</w:t>
            </w:r>
          </w:p>
        </w:tc>
        <w:tc>
          <w:tcPr>
            <w:tcW w:w="0" w:type="auto"/>
            <w:vAlign w:val="center"/>
          </w:tcPr>
          <w:p w:rsidR="0066041F" w:rsidRDefault="0066041F" w:rsidP="00EF1BAF">
            <w:pPr>
              <w:jc w:val="right"/>
            </w:pPr>
            <w:r>
              <w:rPr>
                <w:rFonts w:eastAsiaTheme="minorEastAsia"/>
                <w:color w:val="000000" w:themeColor="text1"/>
                <w:sz w:val="24"/>
              </w:rPr>
              <w:t>25,898,906.70</w:t>
            </w:r>
          </w:p>
        </w:tc>
        <w:tc>
          <w:tcPr>
            <w:tcW w:w="0" w:type="auto"/>
            <w:vAlign w:val="center"/>
          </w:tcPr>
          <w:p w:rsidR="0066041F" w:rsidRDefault="0066041F" w:rsidP="00EF1BAF">
            <w:pPr>
              <w:jc w:val="right"/>
            </w:pPr>
            <w:r>
              <w:rPr>
                <w:rFonts w:eastAsiaTheme="minorEastAsia"/>
                <w:color w:val="000000" w:themeColor="text1"/>
                <w:sz w:val="24"/>
              </w:rPr>
              <w:t>8.50</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2</w:t>
            </w:r>
          </w:p>
        </w:tc>
        <w:tc>
          <w:tcPr>
            <w:tcW w:w="0" w:type="auto"/>
            <w:vAlign w:val="center"/>
          </w:tcPr>
          <w:p w:rsidR="0066041F" w:rsidRDefault="0066041F" w:rsidP="00EF1BAF">
            <w:pPr>
              <w:jc w:val="center"/>
            </w:pPr>
            <w:r>
              <w:rPr>
                <w:rFonts w:eastAsiaTheme="minorEastAsia"/>
                <w:color w:val="000000" w:themeColor="text1"/>
                <w:sz w:val="24"/>
              </w:rPr>
              <w:t>Alibaba Group Holding Ltd</w:t>
            </w:r>
          </w:p>
        </w:tc>
        <w:tc>
          <w:tcPr>
            <w:tcW w:w="0" w:type="auto"/>
            <w:vAlign w:val="center"/>
          </w:tcPr>
          <w:p w:rsidR="0066041F" w:rsidRDefault="0066041F" w:rsidP="00EF1BAF">
            <w:pPr>
              <w:jc w:val="center"/>
            </w:pPr>
            <w:r>
              <w:rPr>
                <w:rFonts w:eastAsiaTheme="minorEastAsia"/>
                <w:color w:val="000000" w:themeColor="text1"/>
                <w:sz w:val="24"/>
              </w:rPr>
              <w:t>阿里巴巴</w:t>
            </w:r>
          </w:p>
        </w:tc>
        <w:tc>
          <w:tcPr>
            <w:tcW w:w="0" w:type="auto"/>
            <w:vAlign w:val="center"/>
          </w:tcPr>
          <w:p w:rsidR="0066041F" w:rsidRDefault="0066041F" w:rsidP="00EF1BAF">
            <w:pPr>
              <w:jc w:val="center"/>
            </w:pPr>
            <w:r>
              <w:rPr>
                <w:rFonts w:eastAsiaTheme="minorEastAsia"/>
                <w:color w:val="000000" w:themeColor="text1"/>
                <w:sz w:val="24"/>
              </w:rPr>
              <w:t>9988</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369,500</w:t>
            </w:r>
          </w:p>
        </w:tc>
        <w:tc>
          <w:tcPr>
            <w:tcW w:w="0" w:type="auto"/>
            <w:vAlign w:val="center"/>
          </w:tcPr>
          <w:p w:rsidR="0066041F" w:rsidRDefault="0066041F" w:rsidP="00EF1BAF">
            <w:pPr>
              <w:jc w:val="right"/>
            </w:pPr>
            <w:r>
              <w:rPr>
                <w:rFonts w:eastAsiaTheme="minorEastAsia"/>
                <w:color w:val="000000" w:themeColor="text1"/>
                <w:sz w:val="24"/>
              </w:rPr>
              <w:t>25,314,530.72</w:t>
            </w:r>
          </w:p>
        </w:tc>
        <w:tc>
          <w:tcPr>
            <w:tcW w:w="0" w:type="auto"/>
            <w:vAlign w:val="center"/>
          </w:tcPr>
          <w:p w:rsidR="0066041F" w:rsidRDefault="0066041F" w:rsidP="00EF1BAF">
            <w:pPr>
              <w:jc w:val="right"/>
            </w:pPr>
            <w:r>
              <w:rPr>
                <w:rFonts w:eastAsiaTheme="minorEastAsia"/>
                <w:color w:val="000000" w:themeColor="text1"/>
                <w:sz w:val="24"/>
              </w:rPr>
              <w:t>8.31</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3</w:t>
            </w:r>
          </w:p>
        </w:tc>
        <w:tc>
          <w:tcPr>
            <w:tcW w:w="0" w:type="auto"/>
            <w:vAlign w:val="center"/>
          </w:tcPr>
          <w:p w:rsidR="0066041F" w:rsidRDefault="0066041F" w:rsidP="00EF1BAF">
            <w:pPr>
              <w:jc w:val="center"/>
            </w:pPr>
            <w:r>
              <w:rPr>
                <w:rFonts w:eastAsiaTheme="minorEastAsia"/>
                <w:color w:val="000000" w:themeColor="text1"/>
                <w:sz w:val="24"/>
              </w:rPr>
              <w:t>Xiaomi Corp</w:t>
            </w:r>
          </w:p>
        </w:tc>
        <w:tc>
          <w:tcPr>
            <w:tcW w:w="0" w:type="auto"/>
            <w:vAlign w:val="center"/>
          </w:tcPr>
          <w:p w:rsidR="0066041F" w:rsidRDefault="0066041F" w:rsidP="00EF1BAF">
            <w:pPr>
              <w:jc w:val="center"/>
            </w:pPr>
            <w:r>
              <w:rPr>
                <w:rFonts w:eastAsiaTheme="minorEastAsia"/>
                <w:color w:val="000000" w:themeColor="text1"/>
                <w:sz w:val="24"/>
              </w:rPr>
              <w:t>小米集团</w:t>
            </w:r>
          </w:p>
        </w:tc>
        <w:tc>
          <w:tcPr>
            <w:tcW w:w="0" w:type="auto"/>
            <w:vAlign w:val="center"/>
          </w:tcPr>
          <w:p w:rsidR="0066041F" w:rsidRDefault="0066041F" w:rsidP="00EF1BAF">
            <w:pPr>
              <w:jc w:val="center"/>
            </w:pPr>
            <w:r>
              <w:rPr>
                <w:rFonts w:eastAsiaTheme="minorEastAsia"/>
                <w:color w:val="000000" w:themeColor="text1"/>
                <w:sz w:val="24"/>
              </w:rPr>
              <w:t>1810</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1,768,800</w:t>
            </w:r>
          </w:p>
        </w:tc>
        <w:tc>
          <w:tcPr>
            <w:tcW w:w="0" w:type="auto"/>
            <w:vAlign w:val="center"/>
          </w:tcPr>
          <w:p w:rsidR="0066041F" w:rsidRDefault="0066041F" w:rsidP="00EF1BAF">
            <w:pPr>
              <w:jc w:val="right"/>
            </w:pPr>
            <w:r>
              <w:rPr>
                <w:rFonts w:eastAsiaTheme="minorEastAsia"/>
                <w:color w:val="000000" w:themeColor="text1"/>
                <w:sz w:val="24"/>
              </w:rPr>
              <w:t>25,005,582.20</w:t>
            </w:r>
          </w:p>
        </w:tc>
        <w:tc>
          <w:tcPr>
            <w:tcW w:w="0" w:type="auto"/>
            <w:vAlign w:val="center"/>
          </w:tcPr>
          <w:p w:rsidR="0066041F" w:rsidRDefault="0066041F" w:rsidP="00EF1BAF">
            <w:pPr>
              <w:jc w:val="right"/>
            </w:pPr>
            <w:r>
              <w:rPr>
                <w:rFonts w:eastAsiaTheme="minorEastAsia"/>
                <w:color w:val="000000" w:themeColor="text1"/>
                <w:sz w:val="24"/>
              </w:rPr>
              <w:t>8.21</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4</w:t>
            </w:r>
          </w:p>
        </w:tc>
        <w:tc>
          <w:tcPr>
            <w:tcW w:w="0" w:type="auto"/>
            <w:vAlign w:val="center"/>
          </w:tcPr>
          <w:p w:rsidR="0066041F" w:rsidRDefault="0066041F" w:rsidP="00EF1BAF">
            <w:pPr>
              <w:jc w:val="center"/>
            </w:pPr>
            <w:r>
              <w:rPr>
                <w:rFonts w:eastAsiaTheme="minorEastAsia"/>
                <w:color w:val="000000" w:themeColor="text1"/>
                <w:sz w:val="24"/>
              </w:rPr>
              <w:t>Kuaishou Technology</w:t>
            </w:r>
          </w:p>
        </w:tc>
        <w:tc>
          <w:tcPr>
            <w:tcW w:w="0" w:type="auto"/>
            <w:vAlign w:val="center"/>
          </w:tcPr>
          <w:p w:rsidR="0066041F" w:rsidRDefault="0066041F" w:rsidP="00EF1BAF">
            <w:pPr>
              <w:jc w:val="center"/>
            </w:pPr>
            <w:r>
              <w:rPr>
                <w:rFonts w:eastAsiaTheme="minorEastAsia"/>
                <w:color w:val="000000" w:themeColor="text1"/>
                <w:sz w:val="24"/>
              </w:rPr>
              <w:t>快手</w:t>
            </w:r>
          </w:p>
        </w:tc>
        <w:tc>
          <w:tcPr>
            <w:tcW w:w="0" w:type="auto"/>
            <w:vAlign w:val="center"/>
          </w:tcPr>
          <w:p w:rsidR="0066041F" w:rsidRDefault="0066041F" w:rsidP="00EF1BAF">
            <w:pPr>
              <w:jc w:val="center"/>
            </w:pPr>
            <w:r>
              <w:rPr>
                <w:rFonts w:eastAsiaTheme="minorEastAsia"/>
                <w:color w:val="000000" w:themeColor="text1"/>
                <w:sz w:val="24"/>
              </w:rPr>
              <w:t>1024</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487,700</w:t>
            </w:r>
          </w:p>
        </w:tc>
        <w:tc>
          <w:tcPr>
            <w:tcW w:w="0" w:type="auto"/>
            <w:vAlign w:val="center"/>
          </w:tcPr>
          <w:p w:rsidR="0066041F" w:rsidRDefault="0066041F" w:rsidP="00EF1BAF">
            <w:pPr>
              <w:jc w:val="right"/>
            </w:pPr>
            <w:r>
              <w:rPr>
                <w:rFonts w:eastAsiaTheme="minorEastAsia"/>
                <w:color w:val="000000" w:themeColor="text1"/>
                <w:sz w:val="24"/>
              </w:rPr>
              <w:t>23,401,967.01</w:t>
            </w:r>
          </w:p>
        </w:tc>
        <w:tc>
          <w:tcPr>
            <w:tcW w:w="0" w:type="auto"/>
            <w:vAlign w:val="center"/>
          </w:tcPr>
          <w:p w:rsidR="0066041F" w:rsidRDefault="0066041F" w:rsidP="00EF1BAF">
            <w:pPr>
              <w:jc w:val="right"/>
            </w:pPr>
            <w:r>
              <w:rPr>
                <w:rFonts w:eastAsiaTheme="minorEastAsia"/>
                <w:color w:val="000000" w:themeColor="text1"/>
                <w:sz w:val="24"/>
              </w:rPr>
              <w:t>7.68</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5</w:t>
            </w:r>
          </w:p>
        </w:tc>
        <w:tc>
          <w:tcPr>
            <w:tcW w:w="0" w:type="auto"/>
            <w:vAlign w:val="center"/>
          </w:tcPr>
          <w:p w:rsidR="0066041F" w:rsidRDefault="0066041F" w:rsidP="00EF1BAF">
            <w:pPr>
              <w:jc w:val="center"/>
            </w:pPr>
            <w:r>
              <w:rPr>
                <w:rFonts w:eastAsiaTheme="minorEastAsia"/>
                <w:color w:val="000000" w:themeColor="text1"/>
                <w:sz w:val="24"/>
              </w:rPr>
              <w:t>Li Auto Inc</w:t>
            </w:r>
          </w:p>
        </w:tc>
        <w:tc>
          <w:tcPr>
            <w:tcW w:w="0" w:type="auto"/>
            <w:vAlign w:val="center"/>
          </w:tcPr>
          <w:p w:rsidR="0066041F" w:rsidRDefault="0066041F" w:rsidP="00EF1BAF">
            <w:pPr>
              <w:jc w:val="center"/>
            </w:pPr>
            <w:r>
              <w:rPr>
                <w:rFonts w:eastAsiaTheme="minorEastAsia"/>
                <w:color w:val="000000" w:themeColor="text1"/>
                <w:sz w:val="24"/>
              </w:rPr>
              <w:t>理想汽车</w:t>
            </w:r>
          </w:p>
        </w:tc>
        <w:tc>
          <w:tcPr>
            <w:tcW w:w="0" w:type="auto"/>
            <w:vAlign w:val="center"/>
          </w:tcPr>
          <w:p w:rsidR="0066041F" w:rsidRDefault="0066041F" w:rsidP="00EF1BAF">
            <w:pPr>
              <w:jc w:val="center"/>
            </w:pPr>
            <w:r>
              <w:rPr>
                <w:rFonts w:eastAsiaTheme="minorEastAsia"/>
                <w:color w:val="000000" w:themeColor="text1"/>
                <w:sz w:val="24"/>
              </w:rPr>
              <w:t>2015</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173,900</w:t>
            </w:r>
          </w:p>
        </w:tc>
        <w:tc>
          <w:tcPr>
            <w:tcW w:w="0" w:type="auto"/>
            <w:vAlign w:val="center"/>
          </w:tcPr>
          <w:p w:rsidR="0066041F" w:rsidRDefault="0066041F" w:rsidP="00EF1BAF">
            <w:pPr>
              <w:jc w:val="right"/>
            </w:pPr>
            <w:r>
              <w:rPr>
                <w:rFonts w:eastAsiaTheme="minorEastAsia"/>
                <w:color w:val="000000" w:themeColor="text1"/>
                <w:sz w:val="24"/>
              </w:rPr>
              <w:t>23,181,732.89</w:t>
            </w:r>
          </w:p>
        </w:tc>
        <w:tc>
          <w:tcPr>
            <w:tcW w:w="0" w:type="auto"/>
            <w:vAlign w:val="center"/>
          </w:tcPr>
          <w:p w:rsidR="0066041F" w:rsidRDefault="0066041F" w:rsidP="00EF1BAF">
            <w:pPr>
              <w:jc w:val="right"/>
            </w:pPr>
            <w:r>
              <w:rPr>
                <w:rFonts w:eastAsiaTheme="minorEastAsia"/>
                <w:color w:val="000000" w:themeColor="text1"/>
                <w:sz w:val="24"/>
              </w:rPr>
              <w:t>7.61</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6</w:t>
            </w:r>
          </w:p>
        </w:tc>
        <w:tc>
          <w:tcPr>
            <w:tcW w:w="0" w:type="auto"/>
            <w:vAlign w:val="center"/>
          </w:tcPr>
          <w:p w:rsidR="0066041F" w:rsidRDefault="0066041F" w:rsidP="00EF1BAF">
            <w:pPr>
              <w:jc w:val="center"/>
            </w:pPr>
            <w:r>
              <w:rPr>
                <w:rFonts w:eastAsiaTheme="minorEastAsia"/>
                <w:color w:val="000000" w:themeColor="text1"/>
                <w:sz w:val="24"/>
              </w:rPr>
              <w:t>Tencent Holdings Ltd</w:t>
            </w:r>
          </w:p>
        </w:tc>
        <w:tc>
          <w:tcPr>
            <w:tcW w:w="0" w:type="auto"/>
            <w:vAlign w:val="center"/>
          </w:tcPr>
          <w:p w:rsidR="0066041F" w:rsidRDefault="0066041F" w:rsidP="00EF1BAF">
            <w:pPr>
              <w:jc w:val="center"/>
            </w:pPr>
            <w:r>
              <w:rPr>
                <w:rFonts w:eastAsiaTheme="minorEastAsia"/>
                <w:color w:val="000000" w:themeColor="text1"/>
                <w:sz w:val="24"/>
              </w:rPr>
              <w:t>腾讯控股</w:t>
            </w:r>
          </w:p>
        </w:tc>
        <w:tc>
          <w:tcPr>
            <w:tcW w:w="0" w:type="auto"/>
            <w:vAlign w:val="center"/>
          </w:tcPr>
          <w:p w:rsidR="0066041F" w:rsidRDefault="0066041F" w:rsidP="00EF1BAF">
            <w:pPr>
              <w:jc w:val="center"/>
            </w:pPr>
            <w:r>
              <w:rPr>
                <w:rFonts w:eastAsiaTheme="minorEastAsia"/>
                <w:color w:val="000000" w:themeColor="text1"/>
                <w:sz w:val="24"/>
              </w:rPr>
              <w:t>700</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85,900</w:t>
            </w:r>
          </w:p>
        </w:tc>
        <w:tc>
          <w:tcPr>
            <w:tcW w:w="0" w:type="auto"/>
            <w:vAlign w:val="center"/>
          </w:tcPr>
          <w:p w:rsidR="0066041F" w:rsidRDefault="0066041F" w:rsidP="00EF1BAF">
            <w:pPr>
              <w:jc w:val="right"/>
            </w:pPr>
            <w:r>
              <w:rPr>
                <w:rFonts w:eastAsiaTheme="minorEastAsia"/>
                <w:color w:val="000000" w:themeColor="text1"/>
                <w:sz w:val="24"/>
              </w:rPr>
              <w:t>22,855,085.89</w:t>
            </w:r>
          </w:p>
        </w:tc>
        <w:tc>
          <w:tcPr>
            <w:tcW w:w="0" w:type="auto"/>
            <w:vAlign w:val="center"/>
          </w:tcPr>
          <w:p w:rsidR="0066041F" w:rsidRDefault="0066041F" w:rsidP="00EF1BAF">
            <w:pPr>
              <w:jc w:val="right"/>
            </w:pPr>
            <w:r>
              <w:rPr>
                <w:rFonts w:eastAsiaTheme="minorEastAsia"/>
                <w:color w:val="000000" w:themeColor="text1"/>
                <w:sz w:val="24"/>
              </w:rPr>
              <w:t>7.50</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7</w:t>
            </w:r>
          </w:p>
        </w:tc>
        <w:tc>
          <w:tcPr>
            <w:tcW w:w="0" w:type="auto"/>
            <w:vAlign w:val="center"/>
          </w:tcPr>
          <w:p w:rsidR="0066041F" w:rsidRDefault="0066041F" w:rsidP="00EF1BAF">
            <w:pPr>
              <w:jc w:val="center"/>
            </w:pPr>
            <w:r>
              <w:rPr>
                <w:rFonts w:eastAsiaTheme="minorEastAsia"/>
                <w:color w:val="000000" w:themeColor="text1"/>
                <w:sz w:val="24"/>
              </w:rPr>
              <w:t>Meituan</w:t>
            </w:r>
          </w:p>
        </w:tc>
        <w:tc>
          <w:tcPr>
            <w:tcW w:w="0" w:type="auto"/>
            <w:vAlign w:val="center"/>
          </w:tcPr>
          <w:p w:rsidR="0066041F" w:rsidRDefault="0066041F" w:rsidP="00EF1BAF">
            <w:pPr>
              <w:jc w:val="center"/>
            </w:pPr>
            <w:r>
              <w:rPr>
                <w:rFonts w:eastAsiaTheme="minorEastAsia"/>
                <w:color w:val="000000" w:themeColor="text1"/>
                <w:sz w:val="24"/>
              </w:rPr>
              <w:t>美团－Ｗ</w:t>
            </w:r>
          </w:p>
        </w:tc>
        <w:tc>
          <w:tcPr>
            <w:tcW w:w="0" w:type="auto"/>
            <w:vAlign w:val="center"/>
          </w:tcPr>
          <w:p w:rsidR="0066041F" w:rsidRDefault="0066041F" w:rsidP="00EF1BAF">
            <w:pPr>
              <w:jc w:val="center"/>
            </w:pPr>
            <w:r>
              <w:rPr>
                <w:rFonts w:eastAsiaTheme="minorEastAsia"/>
                <w:color w:val="000000" w:themeColor="text1"/>
                <w:sz w:val="24"/>
              </w:rPr>
              <w:t>3690</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267,750</w:t>
            </w:r>
          </w:p>
        </w:tc>
        <w:tc>
          <w:tcPr>
            <w:tcW w:w="0" w:type="auto"/>
            <w:vAlign w:val="center"/>
          </w:tcPr>
          <w:p w:rsidR="0066041F" w:rsidRDefault="0066041F" w:rsidP="00EF1BAF">
            <w:pPr>
              <w:jc w:val="right"/>
            </w:pPr>
            <w:r>
              <w:rPr>
                <w:rFonts w:eastAsiaTheme="minorEastAsia"/>
                <w:color w:val="000000" w:themeColor="text1"/>
                <w:sz w:val="24"/>
              </w:rPr>
              <w:t>19,872,249.17</w:t>
            </w:r>
          </w:p>
        </w:tc>
        <w:tc>
          <w:tcPr>
            <w:tcW w:w="0" w:type="auto"/>
            <w:vAlign w:val="center"/>
          </w:tcPr>
          <w:p w:rsidR="0066041F" w:rsidRDefault="0066041F" w:rsidP="00EF1BAF">
            <w:pPr>
              <w:jc w:val="right"/>
            </w:pPr>
            <w:r>
              <w:rPr>
                <w:rFonts w:eastAsiaTheme="minorEastAsia"/>
                <w:color w:val="000000" w:themeColor="text1"/>
                <w:sz w:val="24"/>
              </w:rPr>
              <w:t>6.52</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8</w:t>
            </w:r>
          </w:p>
        </w:tc>
        <w:tc>
          <w:tcPr>
            <w:tcW w:w="0" w:type="auto"/>
            <w:vAlign w:val="center"/>
          </w:tcPr>
          <w:p w:rsidR="0066041F" w:rsidRDefault="0066041F" w:rsidP="00EF1BAF">
            <w:pPr>
              <w:jc w:val="center"/>
            </w:pPr>
            <w:r>
              <w:rPr>
                <w:rFonts w:eastAsiaTheme="minorEastAsia"/>
                <w:color w:val="000000" w:themeColor="text1"/>
                <w:sz w:val="24"/>
              </w:rPr>
              <w:t>NetEase Inc</w:t>
            </w:r>
          </w:p>
        </w:tc>
        <w:tc>
          <w:tcPr>
            <w:tcW w:w="0" w:type="auto"/>
            <w:vAlign w:val="center"/>
          </w:tcPr>
          <w:p w:rsidR="0066041F" w:rsidRDefault="0066041F" w:rsidP="00EF1BAF">
            <w:pPr>
              <w:jc w:val="center"/>
            </w:pPr>
            <w:r>
              <w:rPr>
                <w:rFonts w:eastAsiaTheme="minorEastAsia"/>
                <w:color w:val="000000" w:themeColor="text1"/>
                <w:sz w:val="24"/>
              </w:rPr>
              <w:t>网易</w:t>
            </w:r>
          </w:p>
        </w:tc>
        <w:tc>
          <w:tcPr>
            <w:tcW w:w="0" w:type="auto"/>
            <w:vAlign w:val="center"/>
          </w:tcPr>
          <w:p w:rsidR="0066041F" w:rsidRDefault="0066041F" w:rsidP="00EF1BAF">
            <w:pPr>
              <w:jc w:val="center"/>
            </w:pPr>
            <w:r>
              <w:rPr>
                <w:rFonts w:eastAsiaTheme="minorEastAsia"/>
                <w:color w:val="000000" w:themeColor="text1"/>
                <w:sz w:val="24"/>
              </w:rPr>
              <w:t>9999</w:t>
            </w:r>
          </w:p>
        </w:tc>
        <w:tc>
          <w:tcPr>
            <w:tcW w:w="0" w:type="auto"/>
            <w:vAlign w:val="center"/>
          </w:tcPr>
          <w:p w:rsidR="0066041F" w:rsidRDefault="0066041F" w:rsidP="00EF1BAF">
            <w:pPr>
              <w:jc w:val="center"/>
            </w:pPr>
            <w:r>
              <w:rPr>
                <w:rFonts w:eastAsiaTheme="minorEastAsia"/>
                <w:color w:val="000000" w:themeColor="text1"/>
                <w:sz w:val="24"/>
              </w:rPr>
              <w:t>香</w:t>
            </w:r>
            <w:r>
              <w:rPr>
                <w:rFonts w:eastAsiaTheme="minorEastAsia"/>
                <w:color w:val="000000" w:themeColor="text1"/>
                <w:sz w:val="24"/>
              </w:rPr>
              <w:lastRenderedPageBreak/>
              <w:t>港证券交易所</w:t>
            </w:r>
          </w:p>
        </w:tc>
        <w:tc>
          <w:tcPr>
            <w:tcW w:w="0" w:type="auto"/>
            <w:vAlign w:val="center"/>
          </w:tcPr>
          <w:p w:rsidR="0066041F" w:rsidRDefault="0066041F" w:rsidP="00EF1BAF">
            <w:pPr>
              <w:jc w:val="center"/>
            </w:pPr>
            <w:r>
              <w:rPr>
                <w:rFonts w:eastAsiaTheme="minorEastAsia"/>
                <w:color w:val="000000" w:themeColor="text1"/>
                <w:sz w:val="24"/>
              </w:rPr>
              <w:lastRenderedPageBreak/>
              <w:t>中国</w:t>
            </w:r>
            <w:r>
              <w:rPr>
                <w:rFonts w:eastAsiaTheme="minorEastAsia"/>
                <w:color w:val="000000" w:themeColor="text1"/>
                <w:sz w:val="24"/>
              </w:rPr>
              <w:lastRenderedPageBreak/>
              <w:t>香港</w:t>
            </w:r>
          </w:p>
        </w:tc>
        <w:tc>
          <w:tcPr>
            <w:tcW w:w="0" w:type="auto"/>
            <w:vAlign w:val="center"/>
          </w:tcPr>
          <w:p w:rsidR="0066041F" w:rsidRDefault="0066041F" w:rsidP="00EF1BAF">
            <w:pPr>
              <w:jc w:val="right"/>
            </w:pPr>
            <w:r>
              <w:rPr>
                <w:rFonts w:eastAsiaTheme="minorEastAsia"/>
                <w:color w:val="000000" w:themeColor="text1"/>
                <w:sz w:val="24"/>
              </w:rPr>
              <w:lastRenderedPageBreak/>
              <w:t>116,600</w:t>
            </w:r>
          </w:p>
        </w:tc>
        <w:tc>
          <w:tcPr>
            <w:tcW w:w="0" w:type="auto"/>
            <w:vAlign w:val="center"/>
          </w:tcPr>
          <w:p w:rsidR="0066041F" w:rsidRDefault="0066041F" w:rsidP="00EF1BAF">
            <w:pPr>
              <w:jc w:val="right"/>
            </w:pPr>
            <w:r>
              <w:rPr>
                <w:rFonts w:eastAsiaTheme="minorEastAsia"/>
                <w:color w:val="000000" w:themeColor="text1"/>
                <w:sz w:val="24"/>
              </w:rPr>
              <w:t>14,856,534.43</w:t>
            </w:r>
          </w:p>
        </w:tc>
        <w:tc>
          <w:tcPr>
            <w:tcW w:w="0" w:type="auto"/>
            <w:vAlign w:val="center"/>
          </w:tcPr>
          <w:p w:rsidR="0066041F" w:rsidRDefault="0066041F" w:rsidP="00EF1BAF">
            <w:pPr>
              <w:jc w:val="right"/>
            </w:pPr>
            <w:r>
              <w:rPr>
                <w:rFonts w:eastAsiaTheme="minorEastAsia"/>
                <w:color w:val="000000" w:themeColor="text1"/>
                <w:sz w:val="24"/>
              </w:rPr>
              <w:t>4.88</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9</w:t>
            </w:r>
          </w:p>
        </w:tc>
        <w:tc>
          <w:tcPr>
            <w:tcW w:w="0" w:type="auto"/>
            <w:vAlign w:val="center"/>
          </w:tcPr>
          <w:p w:rsidR="0066041F" w:rsidRDefault="0066041F" w:rsidP="00EF1BAF">
            <w:pPr>
              <w:jc w:val="center"/>
            </w:pPr>
            <w:r>
              <w:rPr>
                <w:rFonts w:eastAsiaTheme="minorEastAsia"/>
                <w:color w:val="000000" w:themeColor="text1"/>
                <w:sz w:val="24"/>
              </w:rPr>
              <w:t>Lenovo Group Ltd</w:t>
            </w:r>
          </w:p>
        </w:tc>
        <w:tc>
          <w:tcPr>
            <w:tcW w:w="0" w:type="auto"/>
            <w:vAlign w:val="center"/>
          </w:tcPr>
          <w:p w:rsidR="0066041F" w:rsidRDefault="0066041F" w:rsidP="00EF1BAF">
            <w:pPr>
              <w:jc w:val="center"/>
            </w:pPr>
            <w:r>
              <w:rPr>
                <w:rFonts w:eastAsiaTheme="minorEastAsia"/>
                <w:color w:val="000000" w:themeColor="text1"/>
                <w:sz w:val="24"/>
              </w:rPr>
              <w:t>联想集团</w:t>
            </w:r>
          </w:p>
        </w:tc>
        <w:tc>
          <w:tcPr>
            <w:tcW w:w="0" w:type="auto"/>
            <w:vAlign w:val="center"/>
          </w:tcPr>
          <w:p w:rsidR="0066041F" w:rsidRDefault="0066041F" w:rsidP="00EF1BAF">
            <w:pPr>
              <w:jc w:val="center"/>
            </w:pPr>
            <w:r>
              <w:rPr>
                <w:rFonts w:eastAsiaTheme="minorEastAsia"/>
                <w:color w:val="000000" w:themeColor="text1"/>
                <w:sz w:val="24"/>
              </w:rPr>
              <w:t>992</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1,330,000</w:t>
            </w:r>
          </w:p>
        </w:tc>
        <w:tc>
          <w:tcPr>
            <w:tcW w:w="0" w:type="auto"/>
            <w:vAlign w:val="center"/>
          </w:tcPr>
          <w:p w:rsidR="0066041F" w:rsidRDefault="0066041F" w:rsidP="00EF1BAF">
            <w:pPr>
              <w:jc w:val="right"/>
            </w:pPr>
            <w:r>
              <w:rPr>
                <w:rFonts w:eastAsiaTheme="minorEastAsia"/>
                <w:color w:val="000000" w:themeColor="text1"/>
                <w:sz w:val="24"/>
              </w:rPr>
              <w:t>13,161,576.79</w:t>
            </w:r>
          </w:p>
        </w:tc>
        <w:tc>
          <w:tcPr>
            <w:tcW w:w="0" w:type="auto"/>
            <w:vAlign w:val="center"/>
          </w:tcPr>
          <w:p w:rsidR="0066041F" w:rsidRDefault="0066041F" w:rsidP="00EF1BAF">
            <w:pPr>
              <w:jc w:val="right"/>
            </w:pPr>
            <w:r>
              <w:rPr>
                <w:rFonts w:eastAsiaTheme="minorEastAsia"/>
                <w:color w:val="000000" w:themeColor="text1"/>
                <w:sz w:val="24"/>
              </w:rPr>
              <w:t>4.32</w:t>
            </w:r>
          </w:p>
        </w:tc>
      </w:tr>
      <w:tr w:rsidR="0066041F" w:rsidTr="00EF1BAF">
        <w:tc>
          <w:tcPr>
            <w:tcW w:w="0" w:type="auto"/>
            <w:vAlign w:val="center"/>
          </w:tcPr>
          <w:p w:rsidR="0066041F" w:rsidRDefault="0066041F" w:rsidP="00EF1BAF">
            <w:pPr>
              <w:jc w:val="center"/>
            </w:pPr>
            <w:r>
              <w:rPr>
                <w:rFonts w:eastAsiaTheme="minorEastAsia"/>
                <w:color w:val="000000" w:themeColor="text1"/>
                <w:sz w:val="24"/>
              </w:rPr>
              <w:t>10</w:t>
            </w:r>
          </w:p>
        </w:tc>
        <w:tc>
          <w:tcPr>
            <w:tcW w:w="0" w:type="auto"/>
            <w:vAlign w:val="center"/>
          </w:tcPr>
          <w:p w:rsidR="0066041F" w:rsidRDefault="0066041F" w:rsidP="00EF1BAF">
            <w:pPr>
              <w:jc w:val="center"/>
            </w:pPr>
            <w:r>
              <w:rPr>
                <w:rFonts w:eastAsiaTheme="minorEastAsia"/>
                <w:color w:val="000000" w:themeColor="text1"/>
                <w:sz w:val="24"/>
              </w:rPr>
              <w:t>Semiconductor Manufacturing International Corp</w:t>
            </w:r>
          </w:p>
        </w:tc>
        <w:tc>
          <w:tcPr>
            <w:tcW w:w="0" w:type="auto"/>
            <w:vAlign w:val="center"/>
          </w:tcPr>
          <w:p w:rsidR="0066041F" w:rsidRDefault="0066041F" w:rsidP="00EF1BAF">
            <w:pPr>
              <w:jc w:val="center"/>
            </w:pPr>
            <w:r>
              <w:rPr>
                <w:rFonts w:eastAsiaTheme="minorEastAsia"/>
                <w:color w:val="000000" w:themeColor="text1"/>
                <w:sz w:val="24"/>
              </w:rPr>
              <w:t>中芯国际集成电路制造有限公司</w:t>
            </w:r>
          </w:p>
        </w:tc>
        <w:tc>
          <w:tcPr>
            <w:tcW w:w="0" w:type="auto"/>
            <w:vAlign w:val="center"/>
          </w:tcPr>
          <w:p w:rsidR="0066041F" w:rsidRDefault="0066041F" w:rsidP="00EF1BAF">
            <w:pPr>
              <w:jc w:val="center"/>
            </w:pPr>
            <w:r>
              <w:rPr>
                <w:rFonts w:eastAsiaTheme="minorEastAsia"/>
                <w:color w:val="000000" w:themeColor="text1"/>
                <w:sz w:val="24"/>
              </w:rPr>
              <w:t>981</w:t>
            </w:r>
          </w:p>
        </w:tc>
        <w:tc>
          <w:tcPr>
            <w:tcW w:w="0" w:type="auto"/>
            <w:vAlign w:val="center"/>
          </w:tcPr>
          <w:p w:rsidR="0066041F" w:rsidRDefault="0066041F" w:rsidP="00EF1BAF">
            <w:pPr>
              <w:jc w:val="center"/>
            </w:pPr>
            <w:r>
              <w:rPr>
                <w:rFonts w:eastAsiaTheme="minorEastAsia"/>
                <w:color w:val="000000" w:themeColor="text1"/>
                <w:sz w:val="24"/>
              </w:rPr>
              <w:t>香港证券交易所</w:t>
            </w:r>
          </w:p>
        </w:tc>
        <w:tc>
          <w:tcPr>
            <w:tcW w:w="0" w:type="auto"/>
            <w:vAlign w:val="center"/>
          </w:tcPr>
          <w:p w:rsidR="0066041F" w:rsidRDefault="0066041F" w:rsidP="00EF1BAF">
            <w:pPr>
              <w:jc w:val="center"/>
            </w:pPr>
            <w:r>
              <w:rPr>
                <w:rFonts w:eastAsiaTheme="minorEastAsia"/>
                <w:color w:val="000000" w:themeColor="text1"/>
                <w:sz w:val="24"/>
              </w:rPr>
              <w:t>中国香港</w:t>
            </w:r>
          </w:p>
        </w:tc>
        <w:tc>
          <w:tcPr>
            <w:tcW w:w="0" w:type="auto"/>
            <w:vAlign w:val="center"/>
          </w:tcPr>
          <w:p w:rsidR="0066041F" w:rsidRDefault="0066041F" w:rsidP="00EF1BAF">
            <w:pPr>
              <w:jc w:val="right"/>
            </w:pPr>
            <w:r>
              <w:rPr>
                <w:rFonts w:eastAsiaTheme="minorEastAsia"/>
                <w:color w:val="000000" w:themeColor="text1"/>
                <w:sz w:val="24"/>
              </w:rPr>
              <w:t>705,500</w:t>
            </w:r>
          </w:p>
        </w:tc>
        <w:tc>
          <w:tcPr>
            <w:tcW w:w="0" w:type="auto"/>
            <w:vAlign w:val="center"/>
          </w:tcPr>
          <w:p w:rsidR="0066041F" w:rsidRDefault="0066041F" w:rsidP="00EF1BAF">
            <w:pPr>
              <w:jc w:val="right"/>
            </w:pPr>
            <w:r>
              <w:rPr>
                <w:rFonts w:eastAsiaTheme="minorEastAsia"/>
                <w:color w:val="000000" w:themeColor="text1"/>
                <w:sz w:val="24"/>
              </w:rPr>
              <w:t>12,697,256.85</w:t>
            </w:r>
          </w:p>
        </w:tc>
        <w:tc>
          <w:tcPr>
            <w:tcW w:w="0" w:type="auto"/>
            <w:vAlign w:val="center"/>
          </w:tcPr>
          <w:p w:rsidR="0066041F" w:rsidRDefault="0066041F" w:rsidP="00EF1BAF">
            <w:pPr>
              <w:jc w:val="right"/>
            </w:pPr>
            <w:r>
              <w:rPr>
                <w:rFonts w:eastAsiaTheme="minorEastAsia"/>
                <w:color w:val="000000" w:themeColor="text1"/>
                <w:sz w:val="24"/>
              </w:rPr>
              <w:t>4.17</w:t>
            </w:r>
          </w:p>
        </w:tc>
      </w:tr>
    </w:tbl>
    <w:p w:rsidR="0066041F" w:rsidRDefault="0066041F" w:rsidP="0029671E">
      <w:pPr>
        <w:autoSpaceDE w:val="0"/>
        <w:autoSpaceDN w:val="0"/>
        <w:adjustRightInd w:val="0"/>
        <w:spacing w:line="360" w:lineRule="auto"/>
        <w:jc w:val="left"/>
        <w:rPr>
          <w:rFonts w:eastAsiaTheme="minorEastAsia"/>
          <w:b/>
          <w:color w:val="000000" w:themeColor="text1"/>
          <w:kern w:val="0"/>
          <w:sz w:val="24"/>
        </w:rPr>
      </w:pPr>
    </w:p>
    <w:p w:rsidR="00FD004B" w:rsidRPr="005C406A" w:rsidRDefault="00FD004B" w:rsidP="0029671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9D7505" w:rsidRPr="00EB66E3" w:rsidRDefault="00FD004B" w:rsidP="005C406A">
      <w:pPr>
        <w:spacing w:line="360" w:lineRule="auto"/>
        <w:rPr>
          <w:rFonts w:eastAsiaTheme="minorEastAsia"/>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w:t>
      </w:r>
      <w:r w:rsidRPr="00C74EFF">
        <w:rPr>
          <w:rFonts w:eastAsiaTheme="minorEastAsia"/>
          <w:b/>
          <w:color w:val="000000" w:themeColor="text1"/>
          <w:kern w:val="0"/>
          <w:sz w:val="24"/>
        </w:rPr>
        <w:lastRenderedPageBreak/>
        <w:t>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F127FB" w:rsidP="002705F5">
            <w:pPr>
              <w:autoSpaceDE w:val="0"/>
              <w:autoSpaceDN w:val="0"/>
              <w:adjustRightInd w:val="0"/>
              <w:spacing w:before="29" w:line="360" w:lineRule="auto"/>
              <w:ind w:left="15"/>
              <w:jc w:val="right"/>
              <w:rPr>
                <w:rFonts w:eastAsiaTheme="minorEastAsia"/>
                <w:color w:val="000000" w:themeColor="text1"/>
                <w:kern w:val="0"/>
                <w:sz w:val="24"/>
              </w:rPr>
            </w:pPr>
            <w:r>
              <w:rPr>
                <w:rFonts w:eastAsiaTheme="minorEastAsia"/>
                <w:color w:val="000000" w:themeColor="text1"/>
                <w:kern w:val="0"/>
                <w:sz w:val="24"/>
              </w:rPr>
              <w:t>8</w:t>
            </w:r>
            <w:r w:rsidR="003334EC">
              <w:rPr>
                <w:rFonts w:eastAsiaTheme="minorEastAsia" w:hint="eastAsia"/>
                <w:color w:val="000000" w:themeColor="text1"/>
                <w:kern w:val="0"/>
                <w:sz w:val="24"/>
              </w:rPr>
              <w:t>,</w:t>
            </w:r>
            <w:r>
              <w:rPr>
                <w:rFonts w:eastAsiaTheme="minorEastAsia"/>
                <w:color w:val="000000" w:themeColor="text1"/>
                <w:kern w:val="0"/>
                <w:sz w:val="24"/>
              </w:rPr>
              <w:t>460.50</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278,438.64</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F127FB"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sz w:val="24"/>
              </w:rPr>
              <w:t>2</w:t>
            </w:r>
            <w:r>
              <w:rPr>
                <w:rFonts w:eastAsiaTheme="minorEastAsia"/>
                <w:color w:val="000000" w:themeColor="text1"/>
                <w:sz w:val="24"/>
              </w:rPr>
              <w:t>86</w:t>
            </w:r>
            <w:r w:rsidRPr="00C74EFF">
              <w:rPr>
                <w:rFonts w:eastAsiaTheme="minorEastAsia"/>
                <w:color w:val="000000" w:themeColor="text1"/>
                <w:sz w:val="24"/>
              </w:rPr>
              <w:t>,</w:t>
            </w:r>
            <w:r>
              <w:rPr>
                <w:rFonts w:eastAsiaTheme="minorEastAsia"/>
                <w:color w:val="000000" w:themeColor="text1"/>
                <w:sz w:val="24"/>
              </w:rPr>
              <w:t>899</w:t>
            </w:r>
            <w:r w:rsidRPr="00C74EFF">
              <w:rPr>
                <w:rFonts w:eastAsiaTheme="minorEastAsia"/>
                <w:color w:val="000000" w:themeColor="text1"/>
                <w:sz w:val="24"/>
              </w:rPr>
              <w:t>.</w:t>
            </w:r>
            <w:r>
              <w:rPr>
                <w:rFonts w:eastAsiaTheme="minorEastAsia"/>
                <w:color w:val="000000" w:themeColor="text1"/>
                <w:sz w:val="24"/>
              </w:rPr>
              <w:t>1</w:t>
            </w:r>
            <w:r w:rsidRPr="00C74EFF">
              <w:rPr>
                <w:rFonts w:eastAsiaTheme="minorEastAsia"/>
                <w:color w:val="000000" w:themeColor="text1"/>
                <w:sz w:val="24"/>
              </w:rPr>
              <w:t>4</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419,128,000.00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125,000,000.00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134,000,000.00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410,128,000.00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1D6063" w:rsidRDefault="001D6063" w:rsidP="001D6063">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1D6063" w:rsidRDefault="001D6063" w:rsidP="001D60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无。</w:t>
      </w:r>
    </w:p>
    <w:p w:rsidR="000741EF" w:rsidRPr="001D6063" w:rsidRDefault="000741EF" w:rsidP="000741EF">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8C1370">
        <w:tc>
          <w:tcPr>
            <w:tcW w:w="993" w:type="dxa"/>
            <w:vAlign w:val="center"/>
          </w:tcPr>
          <w:p w:rsidR="008C1370" w:rsidRDefault="00FD004B">
            <w:r>
              <w:rPr>
                <w:bCs/>
                <w:color w:val="000000"/>
                <w:kern w:val="0"/>
                <w:sz w:val="24"/>
              </w:rPr>
              <w:t>机构</w:t>
            </w:r>
          </w:p>
        </w:tc>
        <w:tc>
          <w:tcPr>
            <w:tcW w:w="992" w:type="dxa"/>
            <w:vAlign w:val="center"/>
          </w:tcPr>
          <w:p w:rsidR="008C1370" w:rsidRDefault="00FD004B">
            <w:pPr>
              <w:jc w:val="center"/>
            </w:pPr>
            <w:r>
              <w:rPr>
                <w:color w:val="000000"/>
                <w:kern w:val="0"/>
                <w:sz w:val="24"/>
              </w:rPr>
              <w:t>1</w:t>
            </w:r>
          </w:p>
        </w:tc>
        <w:tc>
          <w:tcPr>
            <w:tcW w:w="1843" w:type="dxa"/>
            <w:vAlign w:val="center"/>
          </w:tcPr>
          <w:p w:rsidR="008C1370" w:rsidRDefault="00FD004B">
            <w:pPr>
              <w:jc w:val="center"/>
            </w:pPr>
            <w:r>
              <w:rPr>
                <w:color w:val="000000"/>
                <w:kern w:val="0"/>
                <w:sz w:val="24"/>
              </w:rPr>
              <w:t>20231001-20231231</w:t>
            </w:r>
          </w:p>
        </w:tc>
        <w:tc>
          <w:tcPr>
            <w:tcW w:w="851" w:type="dxa"/>
            <w:vAlign w:val="center"/>
          </w:tcPr>
          <w:p w:rsidR="008C1370" w:rsidRDefault="00FD004B">
            <w:pPr>
              <w:jc w:val="center"/>
            </w:pPr>
            <w:r>
              <w:rPr>
                <w:color w:val="000000"/>
                <w:kern w:val="0"/>
                <w:sz w:val="24"/>
              </w:rPr>
              <w:t>200,000,000.00</w:t>
            </w:r>
          </w:p>
        </w:tc>
        <w:tc>
          <w:tcPr>
            <w:tcW w:w="850" w:type="dxa"/>
            <w:vAlign w:val="center"/>
          </w:tcPr>
          <w:p w:rsidR="008C1370" w:rsidRDefault="00FD004B">
            <w:pPr>
              <w:jc w:val="center"/>
            </w:pPr>
            <w:r>
              <w:rPr>
                <w:color w:val="000000"/>
                <w:kern w:val="0"/>
                <w:sz w:val="24"/>
              </w:rPr>
              <w:t>0.00</w:t>
            </w:r>
          </w:p>
        </w:tc>
        <w:tc>
          <w:tcPr>
            <w:tcW w:w="1134" w:type="dxa"/>
            <w:vAlign w:val="center"/>
          </w:tcPr>
          <w:p w:rsidR="008C1370" w:rsidRDefault="00FD004B">
            <w:pPr>
              <w:jc w:val="center"/>
            </w:pPr>
            <w:r>
              <w:rPr>
                <w:color w:val="000000"/>
                <w:kern w:val="0"/>
                <w:sz w:val="24"/>
              </w:rPr>
              <w:t>0.00</w:t>
            </w:r>
          </w:p>
        </w:tc>
        <w:tc>
          <w:tcPr>
            <w:tcW w:w="1419" w:type="dxa"/>
            <w:vAlign w:val="center"/>
          </w:tcPr>
          <w:p w:rsidR="008C1370" w:rsidRDefault="00FD004B">
            <w:pPr>
              <w:jc w:val="center"/>
            </w:pPr>
            <w:r>
              <w:rPr>
                <w:color w:val="000000"/>
                <w:kern w:val="0"/>
                <w:sz w:val="24"/>
              </w:rPr>
              <w:t>200,000,000.00</w:t>
            </w:r>
          </w:p>
        </w:tc>
        <w:tc>
          <w:tcPr>
            <w:tcW w:w="1130" w:type="dxa"/>
            <w:vAlign w:val="center"/>
          </w:tcPr>
          <w:p w:rsidR="008C1370" w:rsidRDefault="00FD004B">
            <w:pPr>
              <w:jc w:val="center"/>
            </w:pPr>
            <w:r>
              <w:rPr>
                <w:color w:val="000000"/>
                <w:kern w:val="0"/>
                <w:sz w:val="24"/>
              </w:rPr>
              <w:t>48.77%</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lastRenderedPageBreak/>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8C1370" w:rsidRDefault="00FD004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二〇二四年一月二十二日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5" w:rsidRDefault="00277FB5">
      <w:r>
        <w:separator/>
      </w:r>
    </w:p>
  </w:endnote>
  <w:endnote w:type="continuationSeparator" w:id="0">
    <w:p w:rsidR="00277FB5" w:rsidRDefault="002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5C406A">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5C406A">
      <w:rPr>
        <w:noProof/>
        <w:kern w:val="0"/>
        <w:szCs w:val="21"/>
      </w:rPr>
      <w:t>15</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5C406A">
      <w:rPr>
        <w:rStyle w:val="a8"/>
        <w:noProof/>
      </w:rPr>
      <w:t>2</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5" w:rsidRDefault="00277FB5">
      <w:r>
        <w:separator/>
      </w:r>
    </w:p>
  </w:footnote>
  <w:footnote w:type="continuationSeparator" w:id="0">
    <w:p w:rsidR="00277FB5" w:rsidRDefault="0027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(QDII)2023</w:t>
    </w:r>
    <w:r>
      <w:rPr>
        <w:sz w:val="21"/>
        <w:szCs w:val="21"/>
      </w:rPr>
      <w:t>年第</w:t>
    </w:r>
    <w:r>
      <w:rPr>
        <w:sz w:val="21"/>
        <w:szCs w:val="21"/>
      </w:rPr>
      <w:t>4</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6063"/>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34EC"/>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2F34"/>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406A"/>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041F"/>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137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27FB"/>
    <w:rsid w:val="00F1498D"/>
    <w:rsid w:val="00F14DDF"/>
    <w:rsid w:val="00F152AD"/>
    <w:rsid w:val="00F20BE9"/>
    <w:rsid w:val="00F2285F"/>
    <w:rsid w:val="00F23155"/>
    <w:rsid w:val="00F24E0E"/>
    <w:rsid w:val="00F2526E"/>
    <w:rsid w:val="00F26693"/>
    <w:rsid w:val="00F27FD5"/>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004B"/>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062558541">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1148</Words>
  <Characters>6548</Characters>
  <Application>Microsoft Office Word</Application>
  <DocSecurity>0</DocSecurity>
  <Lines>54</Lines>
  <Paragraphs>15</Paragraphs>
  <ScaleCrop>false</ScaleCrop>
  <Company>TRT. Ltd. Co.</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115</cp:revision>
  <cp:lastPrinted>2007-07-19T00:46:00Z</cp:lastPrinted>
  <dcterms:created xsi:type="dcterms:W3CDTF">2013-06-21T07:03:00Z</dcterms:created>
  <dcterms:modified xsi:type="dcterms:W3CDTF">2024-01-19T05:55:00Z</dcterms:modified>
</cp:coreProperties>
</file>