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C74EF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C74EF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C74EF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C74EFF" w:rsidRDefault="00397616" w:rsidP="00397616">
      <w:pPr>
        <w:autoSpaceDE w:val="0"/>
        <w:autoSpaceDN w:val="0"/>
        <w:adjustRightInd w:val="0"/>
        <w:spacing w:line="360" w:lineRule="auto"/>
        <w:jc w:val="left"/>
        <w:rPr>
          <w:rFonts w:eastAsiaTheme="minorEastAsia"/>
          <w:color w:val="000000" w:themeColor="text1"/>
          <w:kern w:val="0"/>
          <w:sz w:val="24"/>
        </w:rPr>
      </w:pPr>
    </w:p>
    <w:p w:rsidR="004A355B" w:rsidRPr="00C74EFF" w:rsidRDefault="004A355B" w:rsidP="004A355B">
      <w:pPr>
        <w:autoSpaceDE w:val="0"/>
        <w:autoSpaceDN w:val="0"/>
        <w:adjustRightInd w:val="0"/>
        <w:spacing w:line="360" w:lineRule="auto"/>
        <w:jc w:val="left"/>
        <w:rPr>
          <w:rFonts w:eastAsiaTheme="minorEastAsia"/>
          <w:color w:val="000000" w:themeColor="text1"/>
          <w:kern w:val="0"/>
          <w:sz w:val="24"/>
        </w:rPr>
      </w:pPr>
    </w:p>
    <w:p w:rsidR="004A355B" w:rsidRPr="00C74EFF" w:rsidRDefault="004A355B" w:rsidP="001A149A">
      <w:pPr>
        <w:spacing w:line="360" w:lineRule="auto"/>
        <w:jc w:val="center"/>
        <w:rPr>
          <w:rFonts w:eastAsiaTheme="minorEastAsia"/>
          <w:b/>
          <w:color w:val="000000" w:themeColor="text1"/>
          <w:sz w:val="36"/>
          <w:szCs w:val="36"/>
        </w:rPr>
      </w:pPr>
      <w:r w:rsidRPr="00C74EFF">
        <w:rPr>
          <w:rFonts w:eastAsiaTheme="minorEastAsia"/>
          <w:b/>
          <w:color w:val="000000" w:themeColor="text1"/>
          <w:sz w:val="36"/>
          <w:szCs w:val="36"/>
        </w:rPr>
        <w:t>摩根恒生科技交易型开放式指数证券投资基金</w:t>
      </w:r>
      <w:r w:rsidRPr="00C74EFF">
        <w:rPr>
          <w:rFonts w:eastAsiaTheme="minorEastAsia"/>
          <w:b/>
          <w:color w:val="000000" w:themeColor="text1"/>
          <w:sz w:val="36"/>
          <w:szCs w:val="36"/>
        </w:rPr>
        <w:t>(QDII)</w:t>
      </w:r>
    </w:p>
    <w:p w:rsidR="004A355B" w:rsidRPr="00C74EFF" w:rsidRDefault="004A355B" w:rsidP="001A149A">
      <w:pPr>
        <w:spacing w:line="360" w:lineRule="auto"/>
        <w:jc w:val="center"/>
        <w:rPr>
          <w:rFonts w:eastAsiaTheme="minorEastAsia"/>
          <w:b/>
          <w:color w:val="000000" w:themeColor="text1"/>
          <w:sz w:val="36"/>
          <w:szCs w:val="36"/>
        </w:rPr>
      </w:pPr>
      <w:r w:rsidRPr="00C74EFF">
        <w:rPr>
          <w:rFonts w:eastAsiaTheme="minorEastAsia"/>
          <w:b/>
          <w:color w:val="000000" w:themeColor="text1"/>
          <w:sz w:val="36"/>
          <w:szCs w:val="36"/>
        </w:rPr>
        <w:t>2024</w:t>
      </w:r>
      <w:r w:rsidRPr="00C74EFF">
        <w:rPr>
          <w:rFonts w:eastAsiaTheme="minorEastAsia"/>
          <w:b/>
          <w:color w:val="000000" w:themeColor="text1"/>
          <w:sz w:val="36"/>
          <w:szCs w:val="36"/>
        </w:rPr>
        <w:t>年第</w:t>
      </w:r>
      <w:r w:rsidRPr="00C74EFF">
        <w:rPr>
          <w:rFonts w:eastAsiaTheme="minorEastAsia"/>
          <w:b/>
          <w:color w:val="000000" w:themeColor="text1"/>
          <w:sz w:val="36"/>
          <w:szCs w:val="36"/>
        </w:rPr>
        <w:t>1</w:t>
      </w:r>
      <w:r w:rsidRPr="00C74EFF">
        <w:rPr>
          <w:rFonts w:eastAsiaTheme="minorEastAsia"/>
          <w:b/>
          <w:color w:val="000000" w:themeColor="text1"/>
          <w:sz w:val="36"/>
          <w:szCs w:val="36"/>
        </w:rPr>
        <w:t>季度报告</w:t>
      </w:r>
    </w:p>
    <w:p w:rsidR="00397616" w:rsidRPr="00C74EFF" w:rsidRDefault="00B814D9" w:rsidP="001A149A">
      <w:pPr>
        <w:spacing w:line="360" w:lineRule="auto"/>
        <w:jc w:val="center"/>
        <w:rPr>
          <w:rFonts w:eastAsiaTheme="minorEastAsia"/>
          <w:b/>
          <w:color w:val="000000" w:themeColor="text1"/>
          <w:sz w:val="36"/>
          <w:szCs w:val="36"/>
        </w:rPr>
      </w:pPr>
      <w:r w:rsidRPr="00C74EFF">
        <w:rPr>
          <w:rFonts w:eastAsiaTheme="minorEastAsia"/>
          <w:b/>
          <w:color w:val="000000" w:themeColor="text1"/>
          <w:sz w:val="36"/>
          <w:szCs w:val="36"/>
        </w:rPr>
        <w:t>2024</w:t>
      </w:r>
      <w:r w:rsidRPr="00C74EFF">
        <w:rPr>
          <w:rFonts w:eastAsiaTheme="minorEastAsia"/>
          <w:b/>
          <w:color w:val="000000" w:themeColor="text1"/>
          <w:sz w:val="36"/>
          <w:szCs w:val="36"/>
        </w:rPr>
        <w:t>年</w:t>
      </w:r>
      <w:r w:rsidRPr="00C74EFF">
        <w:rPr>
          <w:rFonts w:eastAsiaTheme="minorEastAsia"/>
          <w:b/>
          <w:color w:val="000000" w:themeColor="text1"/>
          <w:sz w:val="36"/>
          <w:szCs w:val="36"/>
        </w:rPr>
        <w:t>3</w:t>
      </w:r>
      <w:r w:rsidRPr="00C74EFF">
        <w:rPr>
          <w:rFonts w:eastAsiaTheme="minorEastAsia"/>
          <w:b/>
          <w:color w:val="000000" w:themeColor="text1"/>
          <w:sz w:val="36"/>
          <w:szCs w:val="36"/>
        </w:rPr>
        <w:t>月</w:t>
      </w:r>
      <w:r w:rsidRPr="00C74EFF">
        <w:rPr>
          <w:rFonts w:eastAsiaTheme="minorEastAsia"/>
          <w:b/>
          <w:color w:val="000000" w:themeColor="text1"/>
          <w:sz w:val="36"/>
          <w:szCs w:val="36"/>
        </w:rPr>
        <w:t>31</w:t>
      </w:r>
      <w:r w:rsidRPr="00C74EFF">
        <w:rPr>
          <w:rFonts w:eastAsiaTheme="minorEastAsia"/>
          <w:b/>
          <w:color w:val="000000" w:themeColor="text1"/>
          <w:sz w:val="36"/>
          <w:szCs w:val="36"/>
        </w:rPr>
        <w:t>日</w:t>
      </w: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rPr>
          <w:rFonts w:eastAsiaTheme="minorEastAsia"/>
          <w:b/>
          <w:color w:val="000000" w:themeColor="text1"/>
          <w:sz w:val="24"/>
        </w:rPr>
      </w:pPr>
    </w:p>
    <w:p w:rsidR="00397616" w:rsidRPr="00C74EFF" w:rsidRDefault="00397616" w:rsidP="001A149A">
      <w:pPr>
        <w:spacing w:line="360" w:lineRule="auto"/>
        <w:ind w:firstLineChars="900" w:firstLine="2168"/>
        <w:rPr>
          <w:rFonts w:eastAsiaTheme="minorEastAsia"/>
          <w:b/>
          <w:color w:val="000000" w:themeColor="text1"/>
          <w:sz w:val="24"/>
        </w:rPr>
      </w:pPr>
      <w:r w:rsidRPr="00C74EFF">
        <w:rPr>
          <w:rFonts w:eastAsiaTheme="minorEastAsia"/>
          <w:b/>
          <w:color w:val="000000" w:themeColor="text1"/>
          <w:sz w:val="24"/>
        </w:rPr>
        <w:t>基金管理人：</w:t>
      </w:r>
      <w:r w:rsidR="005C25C8" w:rsidRPr="00C74EFF">
        <w:rPr>
          <w:rFonts w:eastAsiaTheme="minorEastAsia"/>
          <w:b/>
          <w:color w:val="000000" w:themeColor="text1"/>
          <w:sz w:val="24"/>
        </w:rPr>
        <w:t>摩根基金管理（中国）有限公司</w:t>
      </w:r>
    </w:p>
    <w:p w:rsidR="00397616" w:rsidRPr="00C74EFF" w:rsidRDefault="00397616" w:rsidP="001A149A">
      <w:pPr>
        <w:spacing w:line="360" w:lineRule="auto"/>
        <w:ind w:firstLineChars="900" w:firstLine="2168"/>
        <w:rPr>
          <w:rFonts w:eastAsiaTheme="minorEastAsia"/>
          <w:b/>
          <w:color w:val="000000" w:themeColor="text1"/>
          <w:sz w:val="24"/>
        </w:rPr>
      </w:pPr>
      <w:r w:rsidRPr="00C74EFF">
        <w:rPr>
          <w:rFonts w:eastAsiaTheme="minorEastAsia"/>
          <w:b/>
          <w:color w:val="000000" w:themeColor="text1"/>
          <w:sz w:val="24"/>
        </w:rPr>
        <w:t>基金托管人：</w:t>
      </w:r>
      <w:r w:rsidR="005C25C8" w:rsidRPr="00C74EFF">
        <w:rPr>
          <w:rFonts w:eastAsiaTheme="minorEastAsia"/>
          <w:b/>
          <w:color w:val="000000" w:themeColor="text1"/>
          <w:sz w:val="24"/>
        </w:rPr>
        <w:t>中国工商银行股份有限公司</w:t>
      </w:r>
    </w:p>
    <w:p w:rsidR="00397616" w:rsidRPr="00C74EFF" w:rsidRDefault="00397616" w:rsidP="001A149A">
      <w:pPr>
        <w:spacing w:line="360" w:lineRule="auto"/>
        <w:ind w:firstLineChars="900" w:firstLine="2168"/>
        <w:rPr>
          <w:rFonts w:eastAsiaTheme="minorEastAsia"/>
          <w:b/>
          <w:color w:val="000000" w:themeColor="text1"/>
          <w:sz w:val="24"/>
        </w:rPr>
        <w:sectPr w:rsidR="00397616" w:rsidRPr="00C74EFF" w:rsidSect="00D6226F">
          <w:headerReference w:type="default" r:id="rId7"/>
          <w:footerReference w:type="default" r:id="rId8"/>
          <w:pgSz w:w="11926" w:h="15840"/>
          <w:pgMar w:top="1418" w:right="1418" w:bottom="851" w:left="1418" w:header="851" w:footer="992" w:gutter="0"/>
          <w:cols w:space="720"/>
          <w:noEndnote/>
        </w:sectPr>
      </w:pPr>
      <w:r w:rsidRPr="00C74EFF">
        <w:rPr>
          <w:rFonts w:eastAsiaTheme="minorEastAsia"/>
          <w:b/>
          <w:color w:val="000000" w:themeColor="text1"/>
          <w:sz w:val="24"/>
        </w:rPr>
        <w:t>报告送出日期：</w:t>
      </w:r>
      <w:r w:rsidR="00E55986" w:rsidRPr="00C74EFF">
        <w:rPr>
          <w:rFonts w:eastAsiaTheme="minorEastAsia"/>
          <w:b/>
          <w:color w:val="000000" w:themeColor="text1"/>
          <w:sz w:val="24"/>
        </w:rPr>
        <w:t>二〇二四年四月二十二日</w:t>
      </w:r>
    </w:p>
    <w:p w:rsidR="0076518F" w:rsidRPr="00C74EFF" w:rsidRDefault="0076518F" w:rsidP="000E002D">
      <w:pPr>
        <w:pStyle w:val="1"/>
        <w:spacing w:beforeLines="100" w:before="312" w:afterLines="100" w:after="312" w:line="360" w:lineRule="auto"/>
        <w:jc w:val="center"/>
        <w:rPr>
          <w:rFonts w:eastAsiaTheme="minorEastAsia"/>
          <w:b w:val="0"/>
          <w:color w:val="000000" w:themeColor="text1"/>
          <w:kern w:val="0"/>
          <w:sz w:val="24"/>
          <w:szCs w:val="24"/>
        </w:rPr>
      </w:pPr>
      <w:r w:rsidRPr="00C74EFF">
        <w:rPr>
          <w:rFonts w:eastAsiaTheme="minorEastAsia"/>
          <w:color w:val="000000" w:themeColor="text1"/>
          <w:kern w:val="0"/>
          <w:sz w:val="24"/>
          <w:szCs w:val="24"/>
        </w:rPr>
        <w:lastRenderedPageBreak/>
        <w:t xml:space="preserve">§1  </w:t>
      </w:r>
      <w:r w:rsidRPr="00C74EFF">
        <w:rPr>
          <w:rFonts w:eastAsiaTheme="minorEastAsia"/>
          <w:color w:val="000000" w:themeColor="text1"/>
          <w:kern w:val="0"/>
          <w:sz w:val="24"/>
          <w:szCs w:val="24"/>
        </w:rPr>
        <w:t>重要提示</w:t>
      </w:r>
    </w:p>
    <w:p w:rsidR="007C52CE" w:rsidRDefault="00E15F09">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rsidR="007C52CE" w:rsidRDefault="00E15F09">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基金托管人中国工商银行股份有限公司根据本基金合同规定，于</w:t>
      </w:r>
      <w:r>
        <w:rPr>
          <w:rFonts w:eastAsiaTheme="minorEastAsia"/>
          <w:color w:val="000000" w:themeColor="text1"/>
          <w:sz w:val="24"/>
        </w:rPr>
        <w:t>2024</w:t>
      </w:r>
      <w:r>
        <w:rPr>
          <w:rFonts w:eastAsiaTheme="minorEastAsia"/>
          <w:color w:val="000000" w:themeColor="text1"/>
          <w:sz w:val="24"/>
        </w:rPr>
        <w:t>年</w:t>
      </w:r>
      <w:r>
        <w:rPr>
          <w:rFonts w:eastAsiaTheme="minorEastAsia"/>
          <w:color w:val="000000" w:themeColor="text1"/>
          <w:sz w:val="24"/>
        </w:rPr>
        <w:t>4</w:t>
      </w:r>
      <w:r>
        <w:rPr>
          <w:rFonts w:eastAsiaTheme="minorEastAsia"/>
          <w:color w:val="000000" w:themeColor="text1"/>
          <w:sz w:val="24"/>
        </w:rPr>
        <w:t>月</w:t>
      </w:r>
      <w:r>
        <w:rPr>
          <w:rFonts w:eastAsiaTheme="minorEastAsia"/>
          <w:color w:val="000000" w:themeColor="text1"/>
          <w:sz w:val="24"/>
        </w:rPr>
        <w:t>19</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rsidR="007C52CE" w:rsidRDefault="00E15F09">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rsidR="007C52CE" w:rsidRDefault="00E15F09">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r>
        <w:rPr>
          <w:rFonts w:eastAsiaTheme="minorEastAsia"/>
          <w:color w:val="000000" w:themeColor="text1"/>
          <w:sz w:val="24"/>
        </w:rPr>
        <w:t xml:space="preserve"> </w:t>
      </w:r>
    </w:p>
    <w:p w:rsidR="007C52CE" w:rsidRDefault="00E15F09">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rsidR="0076518F" w:rsidRPr="00C74EFF" w:rsidRDefault="005C25C8" w:rsidP="002328FE">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本报告期自</w:t>
      </w:r>
      <w:r w:rsidRPr="00C74EFF">
        <w:rPr>
          <w:rFonts w:eastAsiaTheme="minorEastAsia"/>
          <w:color w:val="000000" w:themeColor="text1"/>
          <w:sz w:val="24"/>
        </w:rPr>
        <w:t>2024</w:t>
      </w:r>
      <w:r w:rsidRPr="00C74EFF">
        <w:rPr>
          <w:rFonts w:eastAsiaTheme="minorEastAsia"/>
          <w:color w:val="000000" w:themeColor="text1"/>
          <w:sz w:val="24"/>
        </w:rPr>
        <w:t>年</w:t>
      </w:r>
      <w:r w:rsidRPr="00C74EFF">
        <w:rPr>
          <w:rFonts w:eastAsiaTheme="minorEastAsia"/>
          <w:color w:val="000000" w:themeColor="text1"/>
          <w:sz w:val="24"/>
        </w:rPr>
        <w:t>1</w:t>
      </w:r>
      <w:r w:rsidRPr="00C74EFF">
        <w:rPr>
          <w:rFonts w:eastAsiaTheme="minorEastAsia"/>
          <w:color w:val="000000" w:themeColor="text1"/>
          <w:sz w:val="24"/>
        </w:rPr>
        <w:t>月</w:t>
      </w:r>
      <w:r w:rsidRPr="00C74EFF">
        <w:rPr>
          <w:rFonts w:eastAsiaTheme="minorEastAsia"/>
          <w:color w:val="000000" w:themeColor="text1"/>
          <w:sz w:val="24"/>
        </w:rPr>
        <w:t>1</w:t>
      </w:r>
      <w:r w:rsidRPr="00C74EFF">
        <w:rPr>
          <w:rFonts w:eastAsiaTheme="minorEastAsia"/>
          <w:color w:val="000000" w:themeColor="text1"/>
          <w:sz w:val="24"/>
        </w:rPr>
        <w:t>日起至</w:t>
      </w:r>
      <w:r w:rsidRPr="00C74EFF">
        <w:rPr>
          <w:rFonts w:eastAsiaTheme="minorEastAsia"/>
          <w:color w:val="000000" w:themeColor="text1"/>
          <w:sz w:val="24"/>
        </w:rPr>
        <w:t>3</w:t>
      </w:r>
      <w:r w:rsidRPr="00C74EFF">
        <w:rPr>
          <w:rFonts w:eastAsiaTheme="minorEastAsia"/>
          <w:color w:val="000000" w:themeColor="text1"/>
          <w:sz w:val="24"/>
        </w:rPr>
        <w:t>月</w:t>
      </w:r>
      <w:r w:rsidRPr="00C74EFF">
        <w:rPr>
          <w:rFonts w:eastAsiaTheme="minorEastAsia"/>
          <w:color w:val="000000" w:themeColor="text1"/>
          <w:sz w:val="24"/>
        </w:rPr>
        <w:t>31</w:t>
      </w:r>
      <w:r w:rsidRPr="00C74EFF">
        <w:rPr>
          <w:rFonts w:eastAsiaTheme="minorEastAsia"/>
          <w:color w:val="000000" w:themeColor="text1"/>
          <w:sz w:val="24"/>
        </w:rPr>
        <w:t>日止。</w:t>
      </w: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 xml:space="preserve">§2  </w:t>
      </w:r>
      <w:r w:rsidRPr="00C74EFF">
        <w:rPr>
          <w:rFonts w:eastAsiaTheme="minorEastAsia"/>
          <w:color w:val="000000" w:themeColor="text1"/>
          <w:kern w:val="0"/>
          <w:sz w:val="24"/>
          <w:szCs w:val="24"/>
        </w:rPr>
        <w:t>基金产品概况</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528"/>
      </w:tblGrid>
      <w:tr w:rsidR="00EF0A05" w:rsidRPr="00C74EFF" w:rsidTr="00193ABD">
        <w:tc>
          <w:tcPr>
            <w:tcW w:w="2977" w:type="dxa"/>
            <w:vAlign w:val="center"/>
          </w:tcPr>
          <w:p w:rsidR="005C25C8" w:rsidRPr="00C74EFF" w:rsidRDefault="005C25C8" w:rsidP="00193ABD">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基金简称</w:t>
            </w:r>
          </w:p>
        </w:tc>
        <w:tc>
          <w:tcPr>
            <w:tcW w:w="5528" w:type="dxa"/>
            <w:vAlign w:val="center"/>
          </w:tcPr>
          <w:p w:rsidR="005C25C8" w:rsidRPr="00C74EFF" w:rsidRDefault="005C25C8" w:rsidP="00193ABD">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摩根恒生科技</w:t>
            </w:r>
            <w:r w:rsidRPr="00C74EFF">
              <w:rPr>
                <w:rFonts w:eastAsiaTheme="minorEastAsia"/>
                <w:color w:val="000000" w:themeColor="text1"/>
                <w:kern w:val="0"/>
                <w:sz w:val="24"/>
              </w:rPr>
              <w:t>ETF(QDII)</w:t>
            </w:r>
          </w:p>
        </w:tc>
      </w:tr>
      <w:tr w:rsidR="00EF0A05" w:rsidRPr="00C74EFF" w:rsidTr="00193ABD">
        <w:tc>
          <w:tcPr>
            <w:tcW w:w="2977" w:type="dxa"/>
            <w:tcBorders>
              <w:top w:val="single" w:sz="4" w:space="0" w:color="auto"/>
              <w:left w:val="single" w:sz="4" w:space="0" w:color="auto"/>
              <w:bottom w:val="single" w:sz="4" w:space="0" w:color="auto"/>
              <w:right w:val="single" w:sz="4" w:space="0" w:color="auto"/>
            </w:tcBorders>
            <w:hideMark/>
          </w:tcPr>
          <w:p w:rsidR="003E379B" w:rsidRPr="00C74EFF" w:rsidRDefault="003E379B">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基金主代码</w:t>
            </w:r>
          </w:p>
        </w:tc>
        <w:tc>
          <w:tcPr>
            <w:tcW w:w="5528" w:type="dxa"/>
            <w:tcBorders>
              <w:top w:val="single" w:sz="4" w:space="0" w:color="auto"/>
              <w:left w:val="single" w:sz="4" w:space="0" w:color="auto"/>
              <w:bottom w:val="single" w:sz="4" w:space="0" w:color="auto"/>
              <w:right w:val="single" w:sz="4" w:space="0" w:color="auto"/>
            </w:tcBorders>
            <w:hideMark/>
          </w:tcPr>
          <w:p w:rsidR="003E379B" w:rsidRPr="00C74EFF" w:rsidRDefault="003E379B">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513890</w:t>
            </w:r>
          </w:p>
        </w:tc>
      </w:tr>
      <w:tr w:rsidR="00EF0A05" w:rsidRPr="00C74EFF" w:rsidTr="00193ABD">
        <w:tc>
          <w:tcPr>
            <w:tcW w:w="2977" w:type="dxa"/>
            <w:tcBorders>
              <w:top w:val="single" w:sz="4" w:space="0" w:color="auto"/>
              <w:left w:val="single" w:sz="4" w:space="0" w:color="auto"/>
              <w:bottom w:val="single" w:sz="4" w:space="0" w:color="auto"/>
              <w:right w:val="single" w:sz="4" w:space="0" w:color="auto"/>
            </w:tcBorders>
          </w:tcPr>
          <w:p w:rsidR="00747125" w:rsidRPr="00C74EFF" w:rsidRDefault="00747125">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交易代码</w:t>
            </w:r>
          </w:p>
        </w:tc>
        <w:tc>
          <w:tcPr>
            <w:tcW w:w="5528" w:type="dxa"/>
            <w:tcBorders>
              <w:top w:val="single" w:sz="4" w:space="0" w:color="auto"/>
              <w:left w:val="single" w:sz="4" w:space="0" w:color="auto"/>
              <w:bottom w:val="single" w:sz="4" w:space="0" w:color="auto"/>
              <w:right w:val="single" w:sz="4" w:space="0" w:color="auto"/>
            </w:tcBorders>
          </w:tcPr>
          <w:p w:rsidR="00747125" w:rsidRPr="00C74EFF" w:rsidRDefault="00747125">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513890</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基金运作方式</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交易型开放式</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基金合同生效日</w:t>
            </w:r>
          </w:p>
        </w:tc>
        <w:tc>
          <w:tcPr>
            <w:tcW w:w="5528" w:type="dxa"/>
            <w:vAlign w:val="center"/>
          </w:tcPr>
          <w:p w:rsidR="005C25C8" w:rsidRPr="00C74EFF" w:rsidRDefault="009A06E4" w:rsidP="00CA3C4F">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2021</w:t>
            </w:r>
            <w:r w:rsidRPr="00C74EFF">
              <w:rPr>
                <w:rFonts w:eastAsiaTheme="minorEastAsia"/>
                <w:color w:val="000000" w:themeColor="text1"/>
                <w:kern w:val="0"/>
                <w:sz w:val="24"/>
              </w:rPr>
              <w:t>年</w:t>
            </w:r>
            <w:r w:rsidRPr="00C74EFF">
              <w:rPr>
                <w:rFonts w:eastAsiaTheme="minorEastAsia"/>
                <w:color w:val="000000" w:themeColor="text1"/>
                <w:kern w:val="0"/>
                <w:sz w:val="24"/>
              </w:rPr>
              <w:t>12</w:t>
            </w:r>
            <w:r w:rsidRPr="00C74EFF">
              <w:rPr>
                <w:rFonts w:eastAsiaTheme="minorEastAsia"/>
                <w:color w:val="000000" w:themeColor="text1"/>
                <w:kern w:val="0"/>
                <w:sz w:val="24"/>
              </w:rPr>
              <w:t>月</w:t>
            </w:r>
            <w:r w:rsidRPr="00C74EFF">
              <w:rPr>
                <w:rFonts w:eastAsiaTheme="minorEastAsia"/>
                <w:color w:val="000000" w:themeColor="text1"/>
                <w:kern w:val="0"/>
                <w:sz w:val="24"/>
              </w:rPr>
              <w:t>17</w:t>
            </w:r>
            <w:r w:rsidRPr="00C74EFF">
              <w:rPr>
                <w:rFonts w:eastAsiaTheme="minorEastAsia"/>
                <w:color w:val="000000" w:themeColor="text1"/>
                <w:kern w:val="0"/>
                <w:sz w:val="24"/>
              </w:rPr>
              <w:t>日</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报告期末基金份额总额</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284,128,000.00</w:t>
            </w:r>
            <w:r w:rsidR="004009A4" w:rsidRPr="00C74EFF">
              <w:rPr>
                <w:rFonts w:eastAsiaTheme="minorEastAsia"/>
                <w:color w:val="000000" w:themeColor="text1"/>
                <w:kern w:val="0"/>
                <w:sz w:val="24"/>
              </w:rPr>
              <w:t>份</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投资目标</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本基金采用被动指数化投资，紧密跟踪标的指数，追求跟踪偏离度和跟踪误差最小化。</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投资策略</w:t>
            </w:r>
          </w:p>
        </w:tc>
        <w:tc>
          <w:tcPr>
            <w:tcW w:w="5528" w:type="dxa"/>
            <w:vAlign w:val="center"/>
          </w:tcPr>
          <w:p w:rsidR="007C52CE" w:rsidRDefault="00E15F09">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、资产配置策略</w:t>
            </w:r>
          </w:p>
          <w:p w:rsidR="007C52CE" w:rsidRDefault="00E15F09">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为了实现追踪误差最小化，本基金投资于标的指数的成份股及其备选成份股的比例不低于基金资产净值的</w:t>
            </w:r>
            <w:r>
              <w:rPr>
                <w:rFonts w:eastAsiaTheme="minorEastAsia"/>
                <w:color w:val="000000" w:themeColor="text1"/>
                <w:kern w:val="0"/>
                <w:sz w:val="24"/>
              </w:rPr>
              <w:t>80%</w:t>
            </w:r>
            <w:r>
              <w:rPr>
                <w:rFonts w:eastAsiaTheme="minorEastAsia"/>
                <w:color w:val="000000" w:themeColor="text1"/>
                <w:kern w:val="0"/>
                <w:sz w:val="24"/>
              </w:rPr>
              <w:t>，且不低于非现金基金资产</w:t>
            </w:r>
            <w:r>
              <w:rPr>
                <w:rFonts w:eastAsiaTheme="minorEastAsia"/>
                <w:color w:val="000000" w:themeColor="text1"/>
                <w:kern w:val="0"/>
                <w:sz w:val="24"/>
              </w:rPr>
              <w:t>80%</w:t>
            </w:r>
            <w:r>
              <w:rPr>
                <w:rFonts w:eastAsiaTheme="minorEastAsia"/>
                <w:color w:val="000000" w:themeColor="text1"/>
                <w:kern w:val="0"/>
                <w:sz w:val="24"/>
              </w:rPr>
              <w:t>。</w:t>
            </w:r>
          </w:p>
          <w:p w:rsidR="007C52CE" w:rsidRDefault="00E15F09">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、股票投资策略</w:t>
            </w:r>
          </w:p>
          <w:p w:rsidR="007C52CE" w:rsidRDefault="00E15F09">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lastRenderedPageBreak/>
              <w:t>（</w:t>
            </w:r>
            <w:r>
              <w:rPr>
                <w:rFonts w:eastAsiaTheme="minorEastAsia"/>
                <w:color w:val="000000" w:themeColor="text1"/>
                <w:kern w:val="0"/>
                <w:sz w:val="24"/>
              </w:rPr>
              <w:t>1</w:t>
            </w:r>
            <w:r>
              <w:rPr>
                <w:rFonts w:eastAsiaTheme="minorEastAsia"/>
                <w:color w:val="000000" w:themeColor="text1"/>
                <w:kern w:val="0"/>
                <w:sz w:val="24"/>
              </w:rPr>
              <w:t>）投资组合构建</w:t>
            </w:r>
          </w:p>
          <w:p w:rsidR="007C52CE" w:rsidRDefault="00E15F09">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为被动式指数基金，采用完全复制法，按照成份股在标的指数中的基准权重构建股票资产组合，当预期成份股发生调整和成份股发生配股、增发、分红、长期停牌等行为时，或因基金的申购和赎回等对本基金跟踪标的指数的效果可能带来影响时，或因某些特殊情况导致流动性不足时，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相关性、估值、流动性等因素挑选标的指数中其他成份股或备选成份股进行替代，以期在规定的风险承受限度内，尽量缩小跟踪误差。</w:t>
            </w:r>
          </w:p>
          <w:p w:rsidR="007C52CE" w:rsidRDefault="00E15F09">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2</w:t>
            </w:r>
            <w:r>
              <w:rPr>
                <w:rFonts w:eastAsiaTheme="minorEastAsia"/>
                <w:color w:val="000000" w:themeColor="text1"/>
                <w:kern w:val="0"/>
                <w:sz w:val="24"/>
              </w:rPr>
              <w:t>）投资组合调整</w:t>
            </w:r>
          </w:p>
          <w:p w:rsidR="007C52CE" w:rsidRDefault="00E15F09">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）定期调整</w:t>
            </w:r>
          </w:p>
          <w:p w:rsidR="007C52CE" w:rsidRDefault="00E15F09">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rsidR="007C52CE" w:rsidRDefault="00E15F09">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）不定期调整</w:t>
            </w:r>
          </w:p>
          <w:p w:rsidR="007C52CE" w:rsidRDefault="00E15F09">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①</w:t>
            </w:r>
            <w:r>
              <w:rPr>
                <w:rFonts w:eastAsiaTheme="minorEastAsia"/>
                <w:color w:val="000000" w:themeColor="text1"/>
                <w:kern w:val="0"/>
                <w:sz w:val="24"/>
              </w:rPr>
              <w:t>根据指数编制规则，当标的指数成份股因增发、送配等股权变动而需进行成份股权重调整时，本基金将根据标的指数权重比例的变化，进行相应调整。</w:t>
            </w:r>
          </w:p>
          <w:p w:rsidR="007C52CE" w:rsidRDefault="00E15F09">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②</w:t>
            </w:r>
            <w:r>
              <w:rPr>
                <w:rFonts w:eastAsiaTheme="minorEastAsia"/>
                <w:color w:val="000000" w:themeColor="text1"/>
                <w:kern w:val="0"/>
                <w:sz w:val="24"/>
              </w:rPr>
              <w:t>当标的指数成份股因停牌、流动性不足等因素导致基金无法按照指数权重进行配置，基金管理人将综合考虑跟踪误差和投资者利益，选择相关股票进</w:t>
            </w:r>
            <w:r>
              <w:rPr>
                <w:rFonts w:eastAsiaTheme="minorEastAsia"/>
                <w:color w:val="000000" w:themeColor="text1"/>
                <w:kern w:val="0"/>
                <w:sz w:val="24"/>
              </w:rPr>
              <w:lastRenderedPageBreak/>
              <w:t>行适当的替代。</w:t>
            </w:r>
          </w:p>
          <w:p w:rsidR="007C52CE" w:rsidRDefault="00E15F09">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③</w:t>
            </w:r>
            <w:r>
              <w:rPr>
                <w:rFonts w:eastAsiaTheme="minorEastAsia"/>
                <w:color w:val="000000" w:themeColor="text1"/>
                <w:kern w:val="0"/>
                <w:sz w:val="24"/>
              </w:rPr>
              <w:t>本基金将根据申购和赎回情况对股票投资组合进行调整，保证基金正常运行，从而有效跟踪标的指数。</w:t>
            </w:r>
          </w:p>
          <w:p w:rsidR="007C52CE" w:rsidRDefault="00E15F09">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3</w:t>
            </w:r>
            <w:r>
              <w:rPr>
                <w:rFonts w:eastAsiaTheme="minorEastAsia"/>
                <w:color w:val="000000" w:themeColor="text1"/>
                <w:kern w:val="0"/>
                <w:sz w:val="24"/>
              </w:rPr>
              <w:t>）在特殊情况下，本基金将综合考虑政策、市场等因素，在本合同约定的投资比例和投资范围内，将少量投资于非成份股的港股通标的股票以及其他股票。</w:t>
            </w:r>
          </w:p>
          <w:p w:rsidR="007C52CE" w:rsidRDefault="00E15F09">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本基金力争日均跟踪偏离度的绝对值不超过</w:t>
            </w:r>
            <w:r>
              <w:rPr>
                <w:rFonts w:eastAsiaTheme="minorEastAsia"/>
                <w:color w:val="000000" w:themeColor="text1"/>
                <w:kern w:val="0"/>
                <w:sz w:val="24"/>
              </w:rPr>
              <w:t>0.35%</w:t>
            </w:r>
            <w:r>
              <w:rPr>
                <w:rFonts w:eastAsiaTheme="minorEastAsia"/>
                <w:color w:val="000000" w:themeColor="text1"/>
                <w:kern w:val="0"/>
                <w:sz w:val="24"/>
              </w:rPr>
              <w:t>，年跟踪误差不超过</w:t>
            </w:r>
            <w:r>
              <w:rPr>
                <w:rFonts w:eastAsiaTheme="minorEastAsia"/>
                <w:color w:val="000000" w:themeColor="text1"/>
                <w:kern w:val="0"/>
                <w:sz w:val="24"/>
              </w:rPr>
              <w:t>4%</w:t>
            </w:r>
            <w:r>
              <w:rPr>
                <w:rFonts w:eastAsiaTheme="minorEastAsia"/>
                <w:color w:val="000000" w:themeColor="text1"/>
                <w:kern w:val="0"/>
                <w:sz w:val="24"/>
              </w:rPr>
              <w:t>。如因标的指数编制规则调整等其他原因，导致基金跟踪偏离度和跟踪误差超过上述范围，基金管理人应采取合理措施，避免跟踪偏离度和跟踪误差的进一步扩大。</w:t>
            </w:r>
          </w:p>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3</w:t>
            </w:r>
            <w:r w:rsidRPr="00C74EFF">
              <w:rPr>
                <w:rFonts w:eastAsiaTheme="minorEastAsia"/>
                <w:color w:val="000000" w:themeColor="text1"/>
                <w:kern w:val="0"/>
                <w:sz w:val="24"/>
              </w:rPr>
              <w:t>、其他投资策略：包括金融衍生品投资策略、债券投资策略、资产支持证券投资策略、融资及转融通证券出借策略、存托凭证投资策略。</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lastRenderedPageBreak/>
              <w:t>业绩比较基准</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本基金的业绩比较基准为经估值汇率调整的恒生科技指数（</w:t>
            </w:r>
            <w:r w:rsidRPr="00C74EFF">
              <w:rPr>
                <w:rFonts w:eastAsiaTheme="minorEastAsia"/>
                <w:color w:val="000000" w:themeColor="text1"/>
                <w:kern w:val="0"/>
                <w:sz w:val="24"/>
              </w:rPr>
              <w:t>HSTECH</w:t>
            </w:r>
            <w:r w:rsidRPr="00C74EFF">
              <w:rPr>
                <w:rFonts w:eastAsiaTheme="minorEastAsia"/>
                <w:color w:val="000000" w:themeColor="text1"/>
                <w:kern w:val="0"/>
                <w:sz w:val="24"/>
              </w:rPr>
              <w:t>）收益率。本基金标的指数变更的，相应更换基金名称和业绩比较基准，并在履行适当程序后及时公告。</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风险收益特征</w:t>
            </w:r>
          </w:p>
        </w:tc>
        <w:tc>
          <w:tcPr>
            <w:tcW w:w="5528" w:type="dxa"/>
            <w:vAlign w:val="center"/>
          </w:tcPr>
          <w:p w:rsidR="007C52CE" w:rsidRDefault="00E15F09">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本基金属于股票基金，预期风险和收益水平高于混合基金、债券基金和货币市场基金。同时，本基金为指数基金，主要采用完全复制法跟踪标的指数表现，具有与标的指数相似的风险收益特征。</w:t>
            </w:r>
          </w:p>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本基金可投资于境外证券，除了需要承担与境内证券投资基金类似的市场波动风险等一般投资风险之外，本基金还面临汇率风险等境外证券市场投资所面临的特别投资风险。</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基金管理人</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摩根基金管理（中国）有限公司</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lastRenderedPageBreak/>
              <w:t>基金托管人</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中国工商银行股份有限公司</w:t>
            </w:r>
          </w:p>
        </w:tc>
      </w:tr>
    </w:tbl>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 xml:space="preserve">§3  </w:t>
      </w:r>
      <w:r w:rsidRPr="00C74EFF">
        <w:rPr>
          <w:rFonts w:eastAsiaTheme="minorEastAsia"/>
          <w:color w:val="000000" w:themeColor="text1"/>
          <w:kern w:val="0"/>
          <w:sz w:val="24"/>
          <w:szCs w:val="24"/>
        </w:rPr>
        <w:t>主要财务指标和基金净值表现</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3.1 </w:t>
      </w:r>
      <w:r w:rsidRPr="00C74EFF">
        <w:rPr>
          <w:rFonts w:eastAsiaTheme="minorEastAsia"/>
          <w:b/>
          <w:color w:val="000000" w:themeColor="text1"/>
          <w:kern w:val="0"/>
          <w:sz w:val="24"/>
        </w:rPr>
        <w:t>主要财务指标</w:t>
      </w:r>
    </w:p>
    <w:p w:rsidR="0076518F" w:rsidRPr="00C74EFF" w:rsidRDefault="0076518F" w:rsidP="008B6A4A">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E15F09" w:rsidRPr="00C74EFF" w:rsidTr="00E15F09">
        <w:tc>
          <w:tcPr>
            <w:tcW w:w="3402" w:type="dxa"/>
            <w:vAlign w:val="center"/>
          </w:tcPr>
          <w:p w:rsidR="005C25C8" w:rsidRPr="00C74EFF" w:rsidRDefault="005C25C8" w:rsidP="00CA3C4F">
            <w:pPr>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主要财务指标</w:t>
            </w:r>
          </w:p>
        </w:tc>
        <w:tc>
          <w:tcPr>
            <w:tcW w:w="4962" w:type="dxa"/>
            <w:vAlign w:val="center"/>
          </w:tcPr>
          <w:p w:rsidR="005C25C8" w:rsidRPr="00C74EFF" w:rsidRDefault="005C25C8" w:rsidP="00CA3C4F">
            <w:pPr>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本期金额</w:t>
            </w:r>
          </w:p>
          <w:p w:rsidR="00E57F40" w:rsidRPr="00C74EFF" w:rsidRDefault="00E57F40" w:rsidP="00CA3C4F">
            <w:pPr>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kern w:val="0"/>
                <w:sz w:val="24"/>
              </w:rPr>
              <w:t>(2024</w:t>
            </w:r>
            <w:r w:rsidRPr="00C74EFF">
              <w:rPr>
                <w:rFonts w:eastAsiaTheme="minorEastAsia"/>
                <w:color w:val="000000" w:themeColor="text1"/>
                <w:kern w:val="0"/>
                <w:sz w:val="24"/>
              </w:rPr>
              <w:t>年</w:t>
            </w:r>
            <w:r w:rsidRPr="00C74EFF">
              <w:rPr>
                <w:rFonts w:eastAsiaTheme="minorEastAsia"/>
                <w:color w:val="000000" w:themeColor="text1"/>
                <w:kern w:val="0"/>
                <w:sz w:val="24"/>
              </w:rPr>
              <w:t>1</w:t>
            </w:r>
            <w:r w:rsidRPr="00C74EFF">
              <w:rPr>
                <w:rFonts w:eastAsiaTheme="minorEastAsia"/>
                <w:color w:val="000000" w:themeColor="text1"/>
                <w:kern w:val="0"/>
                <w:sz w:val="24"/>
              </w:rPr>
              <w:t>月</w:t>
            </w:r>
            <w:r w:rsidRPr="00C74EFF">
              <w:rPr>
                <w:rFonts w:eastAsiaTheme="minorEastAsia"/>
                <w:color w:val="000000" w:themeColor="text1"/>
                <w:kern w:val="0"/>
                <w:sz w:val="24"/>
              </w:rPr>
              <w:t>1</w:t>
            </w:r>
            <w:r w:rsidRPr="00C74EFF">
              <w:rPr>
                <w:rFonts w:eastAsiaTheme="minorEastAsia"/>
                <w:color w:val="000000" w:themeColor="text1"/>
                <w:kern w:val="0"/>
                <w:sz w:val="24"/>
              </w:rPr>
              <w:t>日</w:t>
            </w:r>
            <w:r w:rsidRPr="00C74EFF">
              <w:rPr>
                <w:rFonts w:eastAsiaTheme="minorEastAsia"/>
                <w:color w:val="000000" w:themeColor="text1"/>
                <w:kern w:val="0"/>
                <w:sz w:val="24"/>
              </w:rPr>
              <w:t>-2024</w:t>
            </w:r>
            <w:r w:rsidRPr="00C74EFF">
              <w:rPr>
                <w:rFonts w:eastAsiaTheme="minorEastAsia"/>
                <w:color w:val="000000" w:themeColor="text1"/>
                <w:kern w:val="0"/>
                <w:sz w:val="24"/>
              </w:rPr>
              <w:t>年</w:t>
            </w:r>
            <w:r w:rsidRPr="00C74EFF">
              <w:rPr>
                <w:rFonts w:eastAsiaTheme="minorEastAsia"/>
                <w:color w:val="000000" w:themeColor="text1"/>
                <w:kern w:val="0"/>
                <w:sz w:val="24"/>
              </w:rPr>
              <w:t>3</w:t>
            </w:r>
            <w:r w:rsidRPr="00C74EFF">
              <w:rPr>
                <w:rFonts w:eastAsiaTheme="minorEastAsia"/>
                <w:color w:val="000000" w:themeColor="text1"/>
                <w:kern w:val="0"/>
                <w:sz w:val="24"/>
              </w:rPr>
              <w:t>月</w:t>
            </w:r>
            <w:r w:rsidRPr="00C74EFF">
              <w:rPr>
                <w:rFonts w:eastAsiaTheme="minorEastAsia"/>
                <w:color w:val="000000" w:themeColor="text1"/>
                <w:kern w:val="0"/>
                <w:sz w:val="24"/>
              </w:rPr>
              <w:t>31</w:t>
            </w:r>
            <w:r w:rsidRPr="00C74EFF">
              <w:rPr>
                <w:rFonts w:eastAsiaTheme="minorEastAsia"/>
                <w:color w:val="000000" w:themeColor="text1"/>
                <w:kern w:val="0"/>
                <w:sz w:val="24"/>
              </w:rPr>
              <w:t>日</w:t>
            </w:r>
            <w:r w:rsidRPr="00C74EFF">
              <w:rPr>
                <w:rFonts w:eastAsiaTheme="minorEastAsia"/>
                <w:color w:val="000000" w:themeColor="text1"/>
                <w:kern w:val="0"/>
                <w:sz w:val="24"/>
              </w:rPr>
              <w:t>)</w:t>
            </w:r>
          </w:p>
        </w:tc>
      </w:tr>
      <w:tr w:rsidR="00E15F09" w:rsidRPr="00C74EFF" w:rsidTr="00E15F09">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1.</w:t>
            </w:r>
            <w:r w:rsidRPr="00C74EFF">
              <w:rPr>
                <w:rFonts w:eastAsiaTheme="minorEastAsia"/>
                <w:color w:val="000000" w:themeColor="text1"/>
                <w:kern w:val="0"/>
                <w:sz w:val="24"/>
              </w:rPr>
              <w:t>本期已实现收益</w:t>
            </w:r>
          </w:p>
        </w:tc>
        <w:tc>
          <w:tcPr>
            <w:tcW w:w="4962" w:type="dxa"/>
            <w:vAlign w:val="bottom"/>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-25,637,374.58</w:t>
            </w:r>
          </w:p>
        </w:tc>
      </w:tr>
      <w:tr w:rsidR="00E15F09" w:rsidRPr="00C74EFF" w:rsidTr="00E15F09">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2.</w:t>
            </w:r>
            <w:r w:rsidRPr="00C74EFF">
              <w:rPr>
                <w:rFonts w:eastAsiaTheme="minorEastAsia"/>
                <w:color w:val="000000" w:themeColor="text1"/>
                <w:kern w:val="0"/>
                <w:sz w:val="24"/>
              </w:rPr>
              <w:t>本期利润</w:t>
            </w:r>
          </w:p>
        </w:tc>
        <w:tc>
          <w:tcPr>
            <w:tcW w:w="4962" w:type="dxa"/>
            <w:vAlign w:val="bottom"/>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-22,026,111.37</w:t>
            </w:r>
          </w:p>
        </w:tc>
      </w:tr>
      <w:tr w:rsidR="00E15F09" w:rsidRPr="00C74EFF" w:rsidTr="00E15F09">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3.</w:t>
            </w:r>
            <w:r w:rsidRPr="00C74EFF">
              <w:rPr>
                <w:rFonts w:eastAsiaTheme="minorEastAsia"/>
                <w:color w:val="000000" w:themeColor="text1"/>
                <w:kern w:val="0"/>
                <w:sz w:val="24"/>
              </w:rPr>
              <w:t>加权平均基金份额本期利润</w:t>
            </w:r>
          </w:p>
        </w:tc>
        <w:tc>
          <w:tcPr>
            <w:tcW w:w="4962" w:type="dxa"/>
            <w:vAlign w:val="bottom"/>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-0.0739</w:t>
            </w:r>
          </w:p>
        </w:tc>
      </w:tr>
      <w:tr w:rsidR="00E15F09" w:rsidRPr="00C74EFF" w:rsidTr="00E15F09">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4.</w:t>
            </w:r>
            <w:r w:rsidRPr="00C74EFF">
              <w:rPr>
                <w:rFonts w:eastAsiaTheme="minorEastAsia"/>
                <w:color w:val="000000" w:themeColor="text1"/>
                <w:kern w:val="0"/>
                <w:sz w:val="24"/>
              </w:rPr>
              <w:t>期末基金资产净值</w:t>
            </w:r>
          </w:p>
        </w:tc>
        <w:tc>
          <w:tcPr>
            <w:tcW w:w="4962" w:type="dxa"/>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196,839,637.92</w:t>
            </w:r>
          </w:p>
        </w:tc>
      </w:tr>
      <w:tr w:rsidR="00E15F09" w:rsidRPr="00C74EFF" w:rsidTr="00E15F09">
        <w:trPr>
          <w:trHeight w:val="158"/>
        </w:trPr>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5.</w:t>
            </w:r>
            <w:r w:rsidRPr="00C74EFF">
              <w:rPr>
                <w:rFonts w:eastAsiaTheme="minorEastAsia"/>
                <w:color w:val="000000" w:themeColor="text1"/>
                <w:kern w:val="0"/>
                <w:sz w:val="24"/>
              </w:rPr>
              <w:t>期末基金份额净值</w:t>
            </w:r>
          </w:p>
        </w:tc>
        <w:tc>
          <w:tcPr>
            <w:tcW w:w="4962" w:type="dxa"/>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0.6928</w:t>
            </w:r>
          </w:p>
        </w:tc>
      </w:tr>
    </w:tbl>
    <w:p w:rsidR="007C52CE" w:rsidRDefault="00E15F09">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注：本期已实现收益指基金本期利息收入、投资收益、其他收入（不含公允价值变动收益）扣除相关费用后的余额，本期利润为本期已实现收益加上本期公允价值变动收益。</w:t>
      </w:r>
    </w:p>
    <w:p w:rsidR="0076518F" w:rsidRPr="00C74EFF" w:rsidRDefault="005C25C8"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上述基金业绩指标不包括持有人认购或交易基金的各项费用，计入费用后实际收益水平要低于所列数字。</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3.2 </w:t>
      </w:r>
      <w:r w:rsidRPr="00C74EFF">
        <w:rPr>
          <w:rFonts w:eastAsiaTheme="minorEastAsia"/>
          <w:b/>
          <w:color w:val="000000" w:themeColor="text1"/>
          <w:kern w:val="0"/>
          <w:sz w:val="24"/>
        </w:rPr>
        <w:t>基金净值表现</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3.2.1</w:t>
        </w:r>
      </w:smartTag>
      <w:r w:rsidRPr="00C74EFF">
        <w:rPr>
          <w:rFonts w:eastAsiaTheme="minorEastAsia"/>
          <w:b/>
          <w:color w:val="000000" w:themeColor="text1"/>
          <w:kern w:val="0"/>
          <w:sz w:val="24"/>
        </w:rPr>
        <w:t>本报告期基金份额净值增长率及其与同期业绩比较基准收益率的比较</w:t>
      </w:r>
    </w:p>
    <w:tbl>
      <w:tblPr>
        <w:tblStyle w:val="afa"/>
        <w:tblW w:w="0" w:type="auto"/>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EF0A05" w:rsidRPr="00C74EFF" w:rsidTr="00CA3C4F">
        <w:tc>
          <w:tcPr>
            <w:tcW w:w="1395"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阶段</w:t>
            </w:r>
          </w:p>
        </w:tc>
        <w:tc>
          <w:tcPr>
            <w:tcW w:w="1092"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净值增长率</w:t>
            </w:r>
            <w:r w:rsidRPr="00C74EFF">
              <w:rPr>
                <w:rFonts w:ascii="宋体" w:hAnsi="宋体" w:cs="宋体" w:hint="eastAsia"/>
                <w:color w:val="000000" w:themeColor="text1"/>
                <w:sz w:val="24"/>
              </w:rPr>
              <w:t>①</w:t>
            </w:r>
          </w:p>
        </w:tc>
        <w:tc>
          <w:tcPr>
            <w:tcW w:w="1161"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净值增长率标准差</w:t>
            </w:r>
            <w:r w:rsidRPr="00C74EFF">
              <w:rPr>
                <w:rFonts w:ascii="宋体" w:hAnsi="宋体" w:cs="宋体" w:hint="eastAsia"/>
                <w:color w:val="000000" w:themeColor="text1"/>
                <w:sz w:val="24"/>
              </w:rPr>
              <w:t>②</w:t>
            </w:r>
          </w:p>
        </w:tc>
        <w:tc>
          <w:tcPr>
            <w:tcW w:w="1181"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业绩比较基准收益率</w:t>
            </w:r>
            <w:r w:rsidRPr="00C74EFF">
              <w:rPr>
                <w:rFonts w:ascii="宋体" w:hAnsi="宋体" w:cs="宋体" w:hint="eastAsia"/>
                <w:color w:val="000000" w:themeColor="text1"/>
                <w:sz w:val="24"/>
              </w:rPr>
              <w:t>③</w:t>
            </w:r>
          </w:p>
        </w:tc>
        <w:tc>
          <w:tcPr>
            <w:tcW w:w="1188"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业绩比较基准收益率标准差</w:t>
            </w:r>
            <w:r w:rsidRPr="00C74EFF">
              <w:rPr>
                <w:rFonts w:ascii="宋体" w:hAnsi="宋体" w:cs="宋体" w:hint="eastAsia"/>
                <w:color w:val="000000" w:themeColor="text1"/>
                <w:sz w:val="24"/>
              </w:rPr>
              <w:t>④</w:t>
            </w:r>
          </w:p>
        </w:tc>
        <w:tc>
          <w:tcPr>
            <w:tcW w:w="1199"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ascii="宋体" w:hAnsi="宋体" w:cs="宋体" w:hint="eastAsia"/>
                <w:color w:val="000000" w:themeColor="text1"/>
                <w:sz w:val="24"/>
              </w:rPr>
              <w:t>①</w:t>
            </w:r>
            <w:r w:rsidRPr="00C74EFF">
              <w:rPr>
                <w:rFonts w:eastAsiaTheme="minorEastAsia"/>
                <w:color w:val="000000" w:themeColor="text1"/>
                <w:sz w:val="24"/>
              </w:rPr>
              <w:t>-</w:t>
            </w:r>
            <w:r w:rsidRPr="00C74EFF">
              <w:rPr>
                <w:rFonts w:ascii="宋体" w:hAnsi="宋体" w:cs="宋体" w:hint="eastAsia"/>
                <w:color w:val="000000" w:themeColor="text1"/>
                <w:sz w:val="24"/>
              </w:rPr>
              <w:t>③</w:t>
            </w:r>
          </w:p>
        </w:tc>
        <w:tc>
          <w:tcPr>
            <w:tcW w:w="1204"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ascii="宋体" w:hAnsi="宋体" w:cs="宋体" w:hint="eastAsia"/>
                <w:color w:val="000000" w:themeColor="text1"/>
                <w:sz w:val="24"/>
              </w:rPr>
              <w:t>②</w:t>
            </w:r>
            <w:r w:rsidRPr="00C74EFF">
              <w:rPr>
                <w:rFonts w:eastAsiaTheme="minorEastAsia"/>
                <w:color w:val="000000" w:themeColor="text1"/>
                <w:sz w:val="24"/>
              </w:rPr>
              <w:t>-</w:t>
            </w:r>
            <w:r w:rsidRPr="00C74EFF">
              <w:rPr>
                <w:rFonts w:ascii="宋体" w:hAnsi="宋体" w:cs="宋体" w:hint="eastAsia"/>
                <w:color w:val="000000" w:themeColor="text1"/>
                <w:sz w:val="24"/>
              </w:rPr>
              <w:t>④</w:t>
            </w:r>
          </w:p>
        </w:tc>
      </w:tr>
      <w:tr w:rsidR="007C52CE">
        <w:tc>
          <w:tcPr>
            <w:tcW w:w="1395" w:type="dxa"/>
            <w:vAlign w:val="center"/>
          </w:tcPr>
          <w:p w:rsidR="007C52CE" w:rsidRDefault="00E15F09">
            <w:pPr>
              <w:jc w:val="left"/>
            </w:pPr>
            <w:r>
              <w:rPr>
                <w:rFonts w:eastAsiaTheme="minorEastAsia"/>
                <w:color w:val="000000" w:themeColor="text1"/>
                <w:sz w:val="24"/>
              </w:rPr>
              <w:t>过去三个月</w:t>
            </w:r>
          </w:p>
        </w:tc>
        <w:tc>
          <w:tcPr>
            <w:tcW w:w="1092" w:type="dxa"/>
            <w:vAlign w:val="center"/>
          </w:tcPr>
          <w:p w:rsidR="007C52CE" w:rsidRDefault="00E15F09">
            <w:pPr>
              <w:jc w:val="center"/>
            </w:pPr>
            <w:r>
              <w:rPr>
                <w:rFonts w:eastAsiaTheme="minorEastAsia"/>
                <w:color w:val="000000" w:themeColor="text1"/>
                <w:sz w:val="24"/>
              </w:rPr>
              <w:t>-6.74%</w:t>
            </w:r>
          </w:p>
        </w:tc>
        <w:tc>
          <w:tcPr>
            <w:tcW w:w="1161" w:type="dxa"/>
            <w:vAlign w:val="center"/>
          </w:tcPr>
          <w:p w:rsidR="007C52CE" w:rsidRDefault="00E15F09">
            <w:pPr>
              <w:jc w:val="center"/>
            </w:pPr>
            <w:r>
              <w:rPr>
                <w:rFonts w:eastAsiaTheme="minorEastAsia"/>
                <w:color w:val="000000" w:themeColor="text1"/>
                <w:sz w:val="24"/>
              </w:rPr>
              <w:t>2.19%</w:t>
            </w:r>
          </w:p>
        </w:tc>
        <w:tc>
          <w:tcPr>
            <w:tcW w:w="1181" w:type="dxa"/>
            <w:vAlign w:val="center"/>
          </w:tcPr>
          <w:p w:rsidR="007C52CE" w:rsidRDefault="00E15F09">
            <w:pPr>
              <w:jc w:val="center"/>
            </w:pPr>
            <w:r>
              <w:rPr>
                <w:rFonts w:eastAsiaTheme="minorEastAsia"/>
                <w:color w:val="000000" w:themeColor="text1"/>
                <w:sz w:val="24"/>
              </w:rPr>
              <w:t>-7.58%</w:t>
            </w:r>
          </w:p>
        </w:tc>
        <w:tc>
          <w:tcPr>
            <w:tcW w:w="1188" w:type="dxa"/>
            <w:vAlign w:val="center"/>
          </w:tcPr>
          <w:p w:rsidR="007C52CE" w:rsidRDefault="00E15F09">
            <w:pPr>
              <w:jc w:val="center"/>
            </w:pPr>
            <w:r>
              <w:rPr>
                <w:rFonts w:eastAsiaTheme="minorEastAsia"/>
                <w:color w:val="000000" w:themeColor="text1"/>
                <w:sz w:val="24"/>
              </w:rPr>
              <w:t>2.35%</w:t>
            </w:r>
          </w:p>
        </w:tc>
        <w:tc>
          <w:tcPr>
            <w:tcW w:w="1199" w:type="dxa"/>
            <w:vAlign w:val="center"/>
          </w:tcPr>
          <w:p w:rsidR="007C52CE" w:rsidRDefault="00E15F09">
            <w:pPr>
              <w:jc w:val="center"/>
            </w:pPr>
            <w:r>
              <w:rPr>
                <w:rFonts w:eastAsiaTheme="minorEastAsia"/>
                <w:color w:val="000000" w:themeColor="text1"/>
                <w:sz w:val="24"/>
              </w:rPr>
              <w:t>0.84%</w:t>
            </w:r>
          </w:p>
        </w:tc>
        <w:tc>
          <w:tcPr>
            <w:tcW w:w="1204" w:type="dxa"/>
            <w:vAlign w:val="center"/>
          </w:tcPr>
          <w:p w:rsidR="007C52CE" w:rsidRDefault="00E15F09">
            <w:pPr>
              <w:jc w:val="center"/>
            </w:pPr>
            <w:r>
              <w:rPr>
                <w:rFonts w:eastAsiaTheme="minorEastAsia"/>
                <w:color w:val="000000" w:themeColor="text1"/>
                <w:sz w:val="24"/>
              </w:rPr>
              <w:t>-0.16%</w:t>
            </w:r>
          </w:p>
        </w:tc>
      </w:tr>
      <w:tr w:rsidR="007C52CE">
        <w:tc>
          <w:tcPr>
            <w:tcW w:w="1395" w:type="dxa"/>
            <w:vAlign w:val="center"/>
          </w:tcPr>
          <w:p w:rsidR="007C52CE" w:rsidRDefault="00E15F09">
            <w:pPr>
              <w:jc w:val="left"/>
            </w:pPr>
            <w:r>
              <w:rPr>
                <w:rFonts w:eastAsiaTheme="minorEastAsia"/>
                <w:color w:val="000000" w:themeColor="text1"/>
                <w:sz w:val="24"/>
              </w:rPr>
              <w:t>过去六个月</w:t>
            </w:r>
          </w:p>
        </w:tc>
        <w:tc>
          <w:tcPr>
            <w:tcW w:w="1092" w:type="dxa"/>
            <w:vAlign w:val="center"/>
          </w:tcPr>
          <w:p w:rsidR="007C52CE" w:rsidRDefault="00E15F09">
            <w:pPr>
              <w:jc w:val="center"/>
            </w:pPr>
            <w:r>
              <w:rPr>
                <w:rFonts w:eastAsiaTheme="minorEastAsia"/>
                <w:color w:val="000000" w:themeColor="text1"/>
                <w:sz w:val="24"/>
              </w:rPr>
              <w:t>-10.93%</w:t>
            </w:r>
          </w:p>
        </w:tc>
        <w:tc>
          <w:tcPr>
            <w:tcW w:w="1161" w:type="dxa"/>
            <w:vAlign w:val="center"/>
          </w:tcPr>
          <w:p w:rsidR="007C52CE" w:rsidRDefault="00E15F09">
            <w:pPr>
              <w:jc w:val="center"/>
            </w:pPr>
            <w:r>
              <w:rPr>
                <w:rFonts w:eastAsiaTheme="minorEastAsia"/>
                <w:color w:val="000000" w:themeColor="text1"/>
                <w:sz w:val="24"/>
              </w:rPr>
              <w:t>2.03%</w:t>
            </w:r>
          </w:p>
        </w:tc>
        <w:tc>
          <w:tcPr>
            <w:tcW w:w="1181" w:type="dxa"/>
            <w:vAlign w:val="center"/>
          </w:tcPr>
          <w:p w:rsidR="007C52CE" w:rsidRDefault="00E15F09">
            <w:pPr>
              <w:jc w:val="center"/>
            </w:pPr>
            <w:r>
              <w:rPr>
                <w:rFonts w:eastAsiaTheme="minorEastAsia"/>
                <w:color w:val="000000" w:themeColor="text1"/>
                <w:sz w:val="24"/>
              </w:rPr>
              <w:t>-12.36%</w:t>
            </w:r>
          </w:p>
        </w:tc>
        <w:tc>
          <w:tcPr>
            <w:tcW w:w="1188" w:type="dxa"/>
            <w:vAlign w:val="center"/>
          </w:tcPr>
          <w:p w:rsidR="007C52CE" w:rsidRDefault="00E15F09">
            <w:pPr>
              <w:jc w:val="center"/>
            </w:pPr>
            <w:r>
              <w:rPr>
                <w:rFonts w:eastAsiaTheme="minorEastAsia"/>
                <w:color w:val="000000" w:themeColor="text1"/>
                <w:sz w:val="24"/>
              </w:rPr>
              <w:t>2.16%</w:t>
            </w:r>
          </w:p>
        </w:tc>
        <w:tc>
          <w:tcPr>
            <w:tcW w:w="1199" w:type="dxa"/>
            <w:vAlign w:val="center"/>
          </w:tcPr>
          <w:p w:rsidR="007C52CE" w:rsidRDefault="00E15F09">
            <w:pPr>
              <w:jc w:val="center"/>
            </w:pPr>
            <w:r>
              <w:rPr>
                <w:rFonts w:eastAsiaTheme="minorEastAsia"/>
                <w:color w:val="000000" w:themeColor="text1"/>
                <w:sz w:val="24"/>
              </w:rPr>
              <w:t>1.43%</w:t>
            </w:r>
          </w:p>
        </w:tc>
        <w:tc>
          <w:tcPr>
            <w:tcW w:w="1204" w:type="dxa"/>
            <w:vAlign w:val="center"/>
          </w:tcPr>
          <w:p w:rsidR="007C52CE" w:rsidRDefault="00E15F09">
            <w:pPr>
              <w:jc w:val="center"/>
            </w:pPr>
            <w:r>
              <w:rPr>
                <w:rFonts w:eastAsiaTheme="minorEastAsia"/>
                <w:color w:val="000000" w:themeColor="text1"/>
                <w:sz w:val="24"/>
              </w:rPr>
              <w:t>-0.13%</w:t>
            </w:r>
          </w:p>
        </w:tc>
      </w:tr>
      <w:tr w:rsidR="007C52CE">
        <w:tc>
          <w:tcPr>
            <w:tcW w:w="1395" w:type="dxa"/>
            <w:vAlign w:val="center"/>
          </w:tcPr>
          <w:p w:rsidR="007C52CE" w:rsidRDefault="00E15F09">
            <w:pPr>
              <w:jc w:val="left"/>
            </w:pPr>
            <w:r>
              <w:rPr>
                <w:rFonts w:eastAsiaTheme="minorEastAsia"/>
                <w:color w:val="000000" w:themeColor="text1"/>
                <w:sz w:val="24"/>
              </w:rPr>
              <w:t>过去一年</w:t>
            </w:r>
          </w:p>
        </w:tc>
        <w:tc>
          <w:tcPr>
            <w:tcW w:w="1092" w:type="dxa"/>
            <w:vAlign w:val="center"/>
          </w:tcPr>
          <w:p w:rsidR="007C52CE" w:rsidRDefault="00E15F09">
            <w:pPr>
              <w:jc w:val="center"/>
            </w:pPr>
            <w:r>
              <w:rPr>
                <w:rFonts w:eastAsiaTheme="minorEastAsia"/>
                <w:color w:val="000000" w:themeColor="text1"/>
                <w:sz w:val="24"/>
              </w:rPr>
              <w:t>-15.04%</w:t>
            </w:r>
          </w:p>
        </w:tc>
        <w:tc>
          <w:tcPr>
            <w:tcW w:w="1161" w:type="dxa"/>
            <w:vAlign w:val="center"/>
          </w:tcPr>
          <w:p w:rsidR="007C52CE" w:rsidRDefault="00E15F09">
            <w:pPr>
              <w:jc w:val="center"/>
            </w:pPr>
            <w:r>
              <w:rPr>
                <w:rFonts w:eastAsiaTheme="minorEastAsia"/>
                <w:color w:val="000000" w:themeColor="text1"/>
                <w:sz w:val="24"/>
              </w:rPr>
              <w:t>1.94%</w:t>
            </w:r>
          </w:p>
        </w:tc>
        <w:tc>
          <w:tcPr>
            <w:tcW w:w="1181" w:type="dxa"/>
            <w:vAlign w:val="center"/>
          </w:tcPr>
          <w:p w:rsidR="007C52CE" w:rsidRDefault="00E15F09">
            <w:pPr>
              <w:jc w:val="center"/>
            </w:pPr>
            <w:r>
              <w:rPr>
                <w:rFonts w:eastAsiaTheme="minorEastAsia"/>
                <w:color w:val="000000" w:themeColor="text1"/>
                <w:sz w:val="24"/>
              </w:rPr>
              <w:t>-16.32%</w:t>
            </w:r>
          </w:p>
        </w:tc>
        <w:tc>
          <w:tcPr>
            <w:tcW w:w="1188" w:type="dxa"/>
            <w:vAlign w:val="center"/>
          </w:tcPr>
          <w:p w:rsidR="007C52CE" w:rsidRDefault="00E15F09">
            <w:pPr>
              <w:jc w:val="center"/>
            </w:pPr>
            <w:r>
              <w:rPr>
                <w:rFonts w:eastAsiaTheme="minorEastAsia"/>
                <w:color w:val="000000" w:themeColor="text1"/>
                <w:sz w:val="24"/>
              </w:rPr>
              <w:t>2.04%</w:t>
            </w:r>
          </w:p>
        </w:tc>
        <w:tc>
          <w:tcPr>
            <w:tcW w:w="1199" w:type="dxa"/>
            <w:vAlign w:val="center"/>
          </w:tcPr>
          <w:p w:rsidR="007C52CE" w:rsidRDefault="00E15F09">
            <w:pPr>
              <w:jc w:val="center"/>
            </w:pPr>
            <w:r>
              <w:rPr>
                <w:rFonts w:eastAsiaTheme="minorEastAsia"/>
                <w:color w:val="000000" w:themeColor="text1"/>
                <w:sz w:val="24"/>
              </w:rPr>
              <w:t>1.28%</w:t>
            </w:r>
          </w:p>
        </w:tc>
        <w:tc>
          <w:tcPr>
            <w:tcW w:w="1204" w:type="dxa"/>
            <w:vAlign w:val="center"/>
          </w:tcPr>
          <w:p w:rsidR="007C52CE" w:rsidRDefault="00E15F09">
            <w:pPr>
              <w:jc w:val="center"/>
            </w:pPr>
            <w:r>
              <w:rPr>
                <w:rFonts w:eastAsiaTheme="minorEastAsia"/>
                <w:color w:val="000000" w:themeColor="text1"/>
                <w:sz w:val="24"/>
              </w:rPr>
              <w:t>-0.10%</w:t>
            </w:r>
          </w:p>
        </w:tc>
      </w:tr>
      <w:tr w:rsidR="007C52CE">
        <w:tc>
          <w:tcPr>
            <w:tcW w:w="1395" w:type="dxa"/>
            <w:vAlign w:val="center"/>
          </w:tcPr>
          <w:p w:rsidR="007C52CE" w:rsidRDefault="00E15F09">
            <w:pPr>
              <w:jc w:val="left"/>
            </w:pPr>
            <w:r>
              <w:rPr>
                <w:rFonts w:eastAsiaTheme="minorEastAsia"/>
                <w:color w:val="000000" w:themeColor="text1"/>
                <w:sz w:val="24"/>
              </w:rPr>
              <w:lastRenderedPageBreak/>
              <w:t>过去三年</w:t>
            </w:r>
          </w:p>
        </w:tc>
        <w:tc>
          <w:tcPr>
            <w:tcW w:w="1092" w:type="dxa"/>
            <w:vAlign w:val="center"/>
          </w:tcPr>
          <w:p w:rsidR="007C52CE" w:rsidRDefault="00E15F09">
            <w:pPr>
              <w:jc w:val="center"/>
            </w:pPr>
            <w:r>
              <w:rPr>
                <w:rFonts w:eastAsiaTheme="minorEastAsia"/>
                <w:color w:val="000000" w:themeColor="text1"/>
                <w:sz w:val="24"/>
              </w:rPr>
              <w:t>-</w:t>
            </w:r>
          </w:p>
        </w:tc>
        <w:tc>
          <w:tcPr>
            <w:tcW w:w="1161" w:type="dxa"/>
            <w:vAlign w:val="center"/>
          </w:tcPr>
          <w:p w:rsidR="007C52CE" w:rsidRDefault="00E15F09">
            <w:pPr>
              <w:jc w:val="center"/>
            </w:pPr>
            <w:r>
              <w:rPr>
                <w:rFonts w:eastAsiaTheme="minorEastAsia"/>
                <w:color w:val="000000" w:themeColor="text1"/>
                <w:sz w:val="24"/>
              </w:rPr>
              <w:t>-</w:t>
            </w:r>
          </w:p>
        </w:tc>
        <w:tc>
          <w:tcPr>
            <w:tcW w:w="1181" w:type="dxa"/>
            <w:vAlign w:val="center"/>
          </w:tcPr>
          <w:p w:rsidR="007C52CE" w:rsidRDefault="00E15F09">
            <w:pPr>
              <w:jc w:val="center"/>
            </w:pPr>
            <w:r>
              <w:rPr>
                <w:rFonts w:eastAsiaTheme="minorEastAsia"/>
                <w:color w:val="000000" w:themeColor="text1"/>
                <w:sz w:val="24"/>
              </w:rPr>
              <w:t>-</w:t>
            </w:r>
          </w:p>
        </w:tc>
        <w:tc>
          <w:tcPr>
            <w:tcW w:w="1188" w:type="dxa"/>
            <w:vAlign w:val="center"/>
          </w:tcPr>
          <w:p w:rsidR="007C52CE" w:rsidRDefault="00E15F09">
            <w:pPr>
              <w:jc w:val="center"/>
            </w:pPr>
            <w:r>
              <w:rPr>
                <w:rFonts w:eastAsiaTheme="minorEastAsia"/>
                <w:color w:val="000000" w:themeColor="text1"/>
                <w:sz w:val="24"/>
              </w:rPr>
              <w:t>-</w:t>
            </w:r>
          </w:p>
        </w:tc>
        <w:tc>
          <w:tcPr>
            <w:tcW w:w="1199" w:type="dxa"/>
            <w:vAlign w:val="center"/>
          </w:tcPr>
          <w:p w:rsidR="007C52CE" w:rsidRDefault="00E15F09">
            <w:pPr>
              <w:jc w:val="center"/>
            </w:pPr>
            <w:r>
              <w:rPr>
                <w:rFonts w:eastAsiaTheme="minorEastAsia"/>
                <w:color w:val="000000" w:themeColor="text1"/>
                <w:sz w:val="24"/>
              </w:rPr>
              <w:t>-</w:t>
            </w:r>
          </w:p>
        </w:tc>
        <w:tc>
          <w:tcPr>
            <w:tcW w:w="1204" w:type="dxa"/>
            <w:vAlign w:val="center"/>
          </w:tcPr>
          <w:p w:rsidR="007C52CE" w:rsidRDefault="00E15F09">
            <w:pPr>
              <w:jc w:val="center"/>
            </w:pPr>
            <w:r>
              <w:rPr>
                <w:rFonts w:eastAsiaTheme="minorEastAsia"/>
                <w:color w:val="000000" w:themeColor="text1"/>
                <w:sz w:val="24"/>
              </w:rPr>
              <w:t>-</w:t>
            </w:r>
          </w:p>
        </w:tc>
      </w:tr>
      <w:tr w:rsidR="007C52CE">
        <w:tc>
          <w:tcPr>
            <w:tcW w:w="1395" w:type="dxa"/>
            <w:vAlign w:val="center"/>
          </w:tcPr>
          <w:p w:rsidR="007C52CE" w:rsidRDefault="00E15F09">
            <w:pPr>
              <w:jc w:val="left"/>
            </w:pPr>
            <w:r>
              <w:rPr>
                <w:rFonts w:eastAsiaTheme="minorEastAsia"/>
                <w:color w:val="000000" w:themeColor="text1"/>
                <w:sz w:val="24"/>
              </w:rPr>
              <w:t>过去五年</w:t>
            </w:r>
          </w:p>
        </w:tc>
        <w:tc>
          <w:tcPr>
            <w:tcW w:w="1092" w:type="dxa"/>
            <w:vAlign w:val="center"/>
          </w:tcPr>
          <w:p w:rsidR="007C52CE" w:rsidRDefault="00E15F09">
            <w:pPr>
              <w:jc w:val="center"/>
            </w:pPr>
            <w:r>
              <w:rPr>
                <w:rFonts w:eastAsiaTheme="minorEastAsia"/>
                <w:color w:val="000000" w:themeColor="text1"/>
                <w:sz w:val="24"/>
              </w:rPr>
              <w:t>-</w:t>
            </w:r>
          </w:p>
        </w:tc>
        <w:tc>
          <w:tcPr>
            <w:tcW w:w="1161" w:type="dxa"/>
            <w:vAlign w:val="center"/>
          </w:tcPr>
          <w:p w:rsidR="007C52CE" w:rsidRDefault="00E15F09">
            <w:pPr>
              <w:jc w:val="center"/>
            </w:pPr>
            <w:r>
              <w:rPr>
                <w:rFonts w:eastAsiaTheme="minorEastAsia"/>
                <w:color w:val="000000" w:themeColor="text1"/>
                <w:sz w:val="24"/>
              </w:rPr>
              <w:t>-</w:t>
            </w:r>
          </w:p>
        </w:tc>
        <w:tc>
          <w:tcPr>
            <w:tcW w:w="1181" w:type="dxa"/>
            <w:vAlign w:val="center"/>
          </w:tcPr>
          <w:p w:rsidR="007C52CE" w:rsidRDefault="00E15F09">
            <w:pPr>
              <w:jc w:val="center"/>
            </w:pPr>
            <w:r>
              <w:rPr>
                <w:rFonts w:eastAsiaTheme="minorEastAsia"/>
                <w:color w:val="000000" w:themeColor="text1"/>
                <w:sz w:val="24"/>
              </w:rPr>
              <w:t>-</w:t>
            </w:r>
          </w:p>
        </w:tc>
        <w:tc>
          <w:tcPr>
            <w:tcW w:w="1188" w:type="dxa"/>
            <w:vAlign w:val="center"/>
          </w:tcPr>
          <w:p w:rsidR="007C52CE" w:rsidRDefault="00E15F09">
            <w:pPr>
              <w:jc w:val="center"/>
            </w:pPr>
            <w:r>
              <w:rPr>
                <w:rFonts w:eastAsiaTheme="minorEastAsia"/>
                <w:color w:val="000000" w:themeColor="text1"/>
                <w:sz w:val="24"/>
              </w:rPr>
              <w:t>-</w:t>
            </w:r>
          </w:p>
        </w:tc>
        <w:tc>
          <w:tcPr>
            <w:tcW w:w="1199" w:type="dxa"/>
            <w:vAlign w:val="center"/>
          </w:tcPr>
          <w:p w:rsidR="007C52CE" w:rsidRDefault="00E15F09">
            <w:pPr>
              <w:jc w:val="center"/>
            </w:pPr>
            <w:r>
              <w:rPr>
                <w:rFonts w:eastAsiaTheme="minorEastAsia"/>
                <w:color w:val="000000" w:themeColor="text1"/>
                <w:sz w:val="24"/>
              </w:rPr>
              <w:t>-</w:t>
            </w:r>
          </w:p>
        </w:tc>
        <w:tc>
          <w:tcPr>
            <w:tcW w:w="1204" w:type="dxa"/>
            <w:vAlign w:val="center"/>
          </w:tcPr>
          <w:p w:rsidR="007C52CE" w:rsidRDefault="00E15F09">
            <w:pPr>
              <w:jc w:val="center"/>
            </w:pPr>
            <w:r>
              <w:rPr>
                <w:rFonts w:eastAsiaTheme="minorEastAsia"/>
                <w:color w:val="000000" w:themeColor="text1"/>
                <w:sz w:val="24"/>
              </w:rPr>
              <w:t>-</w:t>
            </w:r>
          </w:p>
        </w:tc>
      </w:tr>
      <w:tr w:rsidR="007C52CE">
        <w:tc>
          <w:tcPr>
            <w:tcW w:w="1395" w:type="dxa"/>
            <w:vAlign w:val="center"/>
          </w:tcPr>
          <w:p w:rsidR="007C52CE" w:rsidRDefault="00E15F09">
            <w:pPr>
              <w:jc w:val="left"/>
            </w:pPr>
            <w:r>
              <w:rPr>
                <w:rFonts w:eastAsiaTheme="minorEastAsia"/>
                <w:color w:val="000000" w:themeColor="text1"/>
                <w:sz w:val="24"/>
              </w:rPr>
              <w:t>自基金合同生效起至今</w:t>
            </w:r>
          </w:p>
        </w:tc>
        <w:tc>
          <w:tcPr>
            <w:tcW w:w="1092" w:type="dxa"/>
            <w:vAlign w:val="center"/>
          </w:tcPr>
          <w:p w:rsidR="007C52CE" w:rsidRDefault="00E15F09">
            <w:pPr>
              <w:jc w:val="center"/>
            </w:pPr>
            <w:r>
              <w:rPr>
                <w:rFonts w:eastAsiaTheme="minorEastAsia"/>
                <w:color w:val="000000" w:themeColor="text1"/>
                <w:sz w:val="24"/>
              </w:rPr>
              <w:t>-30.72%</w:t>
            </w:r>
          </w:p>
        </w:tc>
        <w:tc>
          <w:tcPr>
            <w:tcW w:w="1161" w:type="dxa"/>
            <w:vAlign w:val="center"/>
          </w:tcPr>
          <w:p w:rsidR="007C52CE" w:rsidRDefault="00E15F09">
            <w:pPr>
              <w:jc w:val="center"/>
            </w:pPr>
            <w:r>
              <w:rPr>
                <w:rFonts w:eastAsiaTheme="minorEastAsia"/>
                <w:color w:val="000000" w:themeColor="text1"/>
                <w:sz w:val="24"/>
              </w:rPr>
              <w:t>2.57%</w:t>
            </w:r>
          </w:p>
        </w:tc>
        <w:tc>
          <w:tcPr>
            <w:tcW w:w="1181" w:type="dxa"/>
            <w:vAlign w:val="center"/>
          </w:tcPr>
          <w:p w:rsidR="007C52CE" w:rsidRDefault="00E15F09">
            <w:pPr>
              <w:jc w:val="center"/>
            </w:pPr>
            <w:r>
              <w:rPr>
                <w:rFonts w:eastAsiaTheme="minorEastAsia"/>
                <w:color w:val="000000" w:themeColor="text1"/>
                <w:sz w:val="24"/>
              </w:rPr>
              <w:t>-33.60%</w:t>
            </w:r>
          </w:p>
        </w:tc>
        <w:tc>
          <w:tcPr>
            <w:tcW w:w="1188" w:type="dxa"/>
            <w:vAlign w:val="center"/>
          </w:tcPr>
          <w:p w:rsidR="007C52CE" w:rsidRDefault="00E15F09">
            <w:pPr>
              <w:jc w:val="center"/>
            </w:pPr>
            <w:r>
              <w:rPr>
                <w:rFonts w:eastAsiaTheme="minorEastAsia"/>
                <w:color w:val="000000" w:themeColor="text1"/>
                <w:sz w:val="24"/>
              </w:rPr>
              <w:t>2.77%</w:t>
            </w:r>
          </w:p>
        </w:tc>
        <w:tc>
          <w:tcPr>
            <w:tcW w:w="1199" w:type="dxa"/>
            <w:vAlign w:val="center"/>
          </w:tcPr>
          <w:p w:rsidR="007C52CE" w:rsidRDefault="00E15F09">
            <w:pPr>
              <w:jc w:val="center"/>
            </w:pPr>
            <w:r>
              <w:rPr>
                <w:rFonts w:eastAsiaTheme="minorEastAsia"/>
                <w:color w:val="000000" w:themeColor="text1"/>
                <w:sz w:val="24"/>
              </w:rPr>
              <w:t>2.88%</w:t>
            </w:r>
          </w:p>
        </w:tc>
        <w:tc>
          <w:tcPr>
            <w:tcW w:w="1204" w:type="dxa"/>
            <w:vAlign w:val="center"/>
          </w:tcPr>
          <w:p w:rsidR="007C52CE" w:rsidRDefault="00E15F09">
            <w:pPr>
              <w:jc w:val="center"/>
            </w:pPr>
            <w:r>
              <w:rPr>
                <w:rFonts w:eastAsiaTheme="minorEastAsia"/>
                <w:color w:val="000000" w:themeColor="text1"/>
                <w:sz w:val="24"/>
              </w:rPr>
              <w:t>-0.20%</w:t>
            </w:r>
          </w:p>
        </w:tc>
      </w:tr>
    </w:tbl>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3.2.2</w:t>
        </w:r>
        <w:r w:rsidRPr="00C74EFF">
          <w:rPr>
            <w:rFonts w:eastAsiaTheme="minorEastAsia"/>
            <w:b/>
            <w:color w:val="000000" w:themeColor="text1"/>
            <w:kern w:val="0"/>
            <w:sz w:val="24"/>
          </w:rPr>
          <w:t xml:space="preserve">　</w:t>
        </w:r>
        <w:r w:rsidR="003D51F6" w:rsidRPr="00C74EFF">
          <w:rPr>
            <w:rStyle w:val="afb"/>
            <w:color w:val="000000" w:themeColor="text1"/>
            <w:sz w:val="24"/>
            <w:shd w:val="clear" w:color="auto" w:fill="FFFFFF"/>
          </w:rPr>
          <w:t>自基金合同生效以来</w:t>
        </w:r>
      </w:smartTag>
      <w:r w:rsidRPr="00C74EFF">
        <w:rPr>
          <w:rFonts w:eastAsiaTheme="minorEastAsia"/>
          <w:b/>
          <w:color w:val="000000" w:themeColor="text1"/>
          <w:kern w:val="0"/>
          <w:sz w:val="24"/>
        </w:rPr>
        <w:t>基金累计净值增长率变动及其与同期业绩比较基准收益率变动的比较</w:t>
      </w:r>
    </w:p>
    <w:p w:rsidR="00A726E0" w:rsidRPr="00C74EFF" w:rsidRDefault="00A726E0" w:rsidP="0029671E">
      <w:pPr>
        <w:spacing w:line="360" w:lineRule="auto"/>
        <w:jc w:val="center"/>
        <w:rPr>
          <w:rFonts w:eastAsiaTheme="minorEastAsia"/>
          <w:color w:val="000000" w:themeColor="text1"/>
          <w:sz w:val="24"/>
        </w:rPr>
      </w:pPr>
      <w:r w:rsidRPr="00C74EFF">
        <w:rPr>
          <w:rFonts w:eastAsiaTheme="minorEastAsia"/>
          <w:color w:val="000000" w:themeColor="text1"/>
          <w:sz w:val="24"/>
        </w:rPr>
        <w:t>摩根恒生科技交易型开放式指数证券投资基金</w:t>
      </w:r>
      <w:r w:rsidRPr="00C74EFF">
        <w:rPr>
          <w:rFonts w:eastAsiaTheme="minorEastAsia"/>
          <w:color w:val="000000" w:themeColor="text1"/>
          <w:sz w:val="24"/>
        </w:rPr>
        <w:t>(QDII)</w:t>
      </w:r>
    </w:p>
    <w:p w:rsidR="007D0E9D" w:rsidRPr="00C74EFF" w:rsidRDefault="007D0E9D" w:rsidP="0029671E">
      <w:pPr>
        <w:pStyle w:val="a5"/>
        <w:snapToGrid w:val="0"/>
        <w:spacing w:line="360" w:lineRule="auto"/>
        <w:jc w:val="center"/>
        <w:rPr>
          <w:rFonts w:ascii="Times New Roman" w:eastAsiaTheme="minorEastAsia" w:hAnsi="Times New Roman"/>
          <w:color w:val="000000" w:themeColor="text1"/>
          <w:sz w:val="24"/>
          <w:szCs w:val="24"/>
        </w:rPr>
      </w:pPr>
      <w:r w:rsidRPr="00C74EFF">
        <w:rPr>
          <w:rFonts w:ascii="Times New Roman" w:eastAsiaTheme="minorEastAsia" w:hAnsi="Times New Roman"/>
          <w:color w:val="000000" w:themeColor="text1"/>
          <w:sz w:val="24"/>
          <w:szCs w:val="24"/>
        </w:rPr>
        <w:t>累计净值</w:t>
      </w:r>
      <w:r w:rsidR="00E57F40" w:rsidRPr="00C74EFF">
        <w:rPr>
          <w:rFonts w:ascii="Times New Roman" w:eastAsiaTheme="minorEastAsia" w:hAnsi="Times New Roman"/>
          <w:color w:val="000000" w:themeColor="text1"/>
          <w:sz w:val="24"/>
          <w:szCs w:val="24"/>
        </w:rPr>
        <w:t>增长</w:t>
      </w:r>
      <w:r w:rsidRPr="00C74EFF">
        <w:rPr>
          <w:rFonts w:ascii="Times New Roman" w:eastAsiaTheme="minorEastAsia" w:hAnsi="Times New Roman"/>
          <w:color w:val="000000" w:themeColor="text1"/>
          <w:sz w:val="24"/>
          <w:szCs w:val="24"/>
        </w:rPr>
        <w:t>率与业绩比较基准收益率历史走势对比图</w:t>
      </w:r>
    </w:p>
    <w:p w:rsidR="00A726E0" w:rsidRPr="00C74EFF" w:rsidRDefault="007D0E9D" w:rsidP="0029671E">
      <w:pPr>
        <w:spacing w:line="360" w:lineRule="auto"/>
        <w:jc w:val="center"/>
        <w:rPr>
          <w:rFonts w:eastAsiaTheme="minorEastAsia"/>
          <w:color w:val="000000" w:themeColor="text1"/>
          <w:sz w:val="24"/>
        </w:rPr>
      </w:pPr>
      <w:r w:rsidRPr="00C74EFF">
        <w:rPr>
          <w:rFonts w:eastAsiaTheme="minorEastAsia"/>
          <w:color w:val="000000" w:themeColor="text1"/>
          <w:kern w:val="0"/>
          <w:sz w:val="24"/>
        </w:rPr>
        <w:t xml:space="preserve"> (</w:t>
      </w:r>
      <w:r w:rsidR="00B814D9" w:rsidRPr="00C74EFF">
        <w:rPr>
          <w:rFonts w:eastAsiaTheme="minorEastAsia"/>
          <w:color w:val="000000" w:themeColor="text1"/>
          <w:kern w:val="0"/>
          <w:sz w:val="24"/>
        </w:rPr>
        <w:t>2021</w:t>
      </w:r>
      <w:r w:rsidR="00B814D9" w:rsidRPr="00C74EFF">
        <w:rPr>
          <w:rFonts w:eastAsiaTheme="minorEastAsia"/>
          <w:color w:val="000000" w:themeColor="text1"/>
          <w:kern w:val="0"/>
          <w:sz w:val="24"/>
        </w:rPr>
        <w:t>年</w:t>
      </w:r>
      <w:r w:rsidR="00B814D9" w:rsidRPr="00C74EFF">
        <w:rPr>
          <w:rFonts w:eastAsiaTheme="minorEastAsia"/>
          <w:color w:val="000000" w:themeColor="text1"/>
          <w:kern w:val="0"/>
          <w:sz w:val="24"/>
        </w:rPr>
        <w:t>12</w:t>
      </w:r>
      <w:r w:rsidR="00B814D9" w:rsidRPr="00C74EFF">
        <w:rPr>
          <w:rFonts w:eastAsiaTheme="minorEastAsia"/>
          <w:color w:val="000000" w:themeColor="text1"/>
          <w:kern w:val="0"/>
          <w:sz w:val="24"/>
        </w:rPr>
        <w:t>月</w:t>
      </w:r>
      <w:r w:rsidR="00B814D9" w:rsidRPr="00C74EFF">
        <w:rPr>
          <w:rFonts w:eastAsiaTheme="minorEastAsia"/>
          <w:color w:val="000000" w:themeColor="text1"/>
          <w:kern w:val="0"/>
          <w:sz w:val="24"/>
        </w:rPr>
        <w:t>17</w:t>
      </w:r>
      <w:r w:rsidR="00B814D9" w:rsidRPr="00C74EFF">
        <w:rPr>
          <w:rFonts w:eastAsiaTheme="minorEastAsia"/>
          <w:color w:val="000000" w:themeColor="text1"/>
          <w:kern w:val="0"/>
          <w:sz w:val="24"/>
        </w:rPr>
        <w:t>日</w:t>
      </w:r>
      <w:r w:rsidR="00A726E0" w:rsidRPr="00C74EFF">
        <w:rPr>
          <w:rFonts w:eastAsiaTheme="minorEastAsia"/>
          <w:color w:val="000000" w:themeColor="text1"/>
          <w:kern w:val="0"/>
          <w:sz w:val="24"/>
        </w:rPr>
        <w:t>至</w:t>
      </w:r>
      <w:r w:rsidR="00A726E0" w:rsidRPr="00C74EFF">
        <w:rPr>
          <w:rFonts w:eastAsiaTheme="minorEastAsia"/>
          <w:color w:val="000000" w:themeColor="text1"/>
          <w:kern w:val="0"/>
          <w:sz w:val="24"/>
        </w:rPr>
        <w:t>2024</w:t>
      </w:r>
      <w:r w:rsidR="00A726E0" w:rsidRPr="00C74EFF">
        <w:rPr>
          <w:rFonts w:eastAsiaTheme="minorEastAsia"/>
          <w:color w:val="000000" w:themeColor="text1"/>
          <w:kern w:val="0"/>
          <w:sz w:val="24"/>
        </w:rPr>
        <w:t>年</w:t>
      </w:r>
      <w:r w:rsidR="00A726E0" w:rsidRPr="00C74EFF">
        <w:rPr>
          <w:rFonts w:eastAsiaTheme="minorEastAsia"/>
          <w:color w:val="000000" w:themeColor="text1"/>
          <w:kern w:val="0"/>
          <w:sz w:val="24"/>
        </w:rPr>
        <w:t>3</w:t>
      </w:r>
      <w:r w:rsidR="00A726E0" w:rsidRPr="00C74EFF">
        <w:rPr>
          <w:rFonts w:eastAsiaTheme="minorEastAsia"/>
          <w:color w:val="000000" w:themeColor="text1"/>
          <w:kern w:val="0"/>
          <w:sz w:val="24"/>
        </w:rPr>
        <w:t>月</w:t>
      </w:r>
      <w:r w:rsidR="00A726E0" w:rsidRPr="00C74EFF">
        <w:rPr>
          <w:rFonts w:eastAsiaTheme="minorEastAsia"/>
          <w:color w:val="000000" w:themeColor="text1"/>
          <w:kern w:val="0"/>
          <w:sz w:val="24"/>
        </w:rPr>
        <w:t>31</w:t>
      </w:r>
      <w:r w:rsidR="00A726E0" w:rsidRPr="00C74EFF">
        <w:rPr>
          <w:rFonts w:eastAsiaTheme="minorEastAsia"/>
          <w:color w:val="000000" w:themeColor="text1"/>
          <w:kern w:val="0"/>
          <w:sz w:val="24"/>
        </w:rPr>
        <w:t>日</w:t>
      </w:r>
      <w:r w:rsidRPr="00C74EFF">
        <w:rPr>
          <w:rFonts w:eastAsiaTheme="minorEastAsia"/>
          <w:color w:val="000000" w:themeColor="text1"/>
          <w:kern w:val="0"/>
          <w:sz w:val="24"/>
        </w:rPr>
        <w:t>)</w:t>
      </w:r>
    </w:p>
    <w:p w:rsidR="00A726E0" w:rsidRPr="00C74EFF" w:rsidRDefault="004A3625" w:rsidP="00A726E0">
      <w:pPr>
        <w:tabs>
          <w:tab w:val="left" w:pos="1800"/>
        </w:tabs>
        <w:spacing w:line="360" w:lineRule="auto"/>
        <w:jc w:val="center"/>
        <w:rPr>
          <w:rFonts w:eastAsiaTheme="minorEastAsia"/>
          <w:color w:val="000000" w:themeColor="text1"/>
          <w:sz w:val="24"/>
        </w:rPr>
      </w:pPr>
      <w:r w:rsidRPr="00C74EFF">
        <w:rPr>
          <w:rFonts w:eastAsiaTheme="minorEastAsia"/>
          <w:noProof/>
          <w:color w:val="000000" w:themeColor="text1"/>
          <w:sz w:val="24"/>
        </w:rPr>
        <w:drawing>
          <wp:inline distT="0" distB="0" distL="0" distR="0" wp14:anchorId="11558EAE" wp14:editId="1A4F5BCA">
            <wp:extent cx="5276850" cy="30861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7C52CE" w:rsidRDefault="00E15F09">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注：本基金合同生效日为</w:t>
      </w:r>
      <w:r>
        <w:rPr>
          <w:rFonts w:eastAsiaTheme="minorEastAsia"/>
          <w:color w:val="000000" w:themeColor="text1"/>
          <w:sz w:val="24"/>
        </w:rPr>
        <w:t>2021</w:t>
      </w:r>
      <w:r>
        <w:rPr>
          <w:rFonts w:eastAsiaTheme="minorEastAsia"/>
          <w:color w:val="000000" w:themeColor="text1"/>
          <w:sz w:val="24"/>
        </w:rPr>
        <w:t>年</w:t>
      </w:r>
      <w:r>
        <w:rPr>
          <w:rFonts w:eastAsiaTheme="minorEastAsia"/>
          <w:color w:val="000000" w:themeColor="text1"/>
          <w:sz w:val="24"/>
        </w:rPr>
        <w:t>12</w:t>
      </w:r>
      <w:r>
        <w:rPr>
          <w:rFonts w:eastAsiaTheme="minorEastAsia"/>
          <w:color w:val="000000" w:themeColor="text1"/>
          <w:sz w:val="24"/>
        </w:rPr>
        <w:t>月</w:t>
      </w:r>
      <w:r>
        <w:rPr>
          <w:rFonts w:eastAsiaTheme="minorEastAsia"/>
          <w:color w:val="000000" w:themeColor="text1"/>
          <w:sz w:val="24"/>
        </w:rPr>
        <w:t>17</w:t>
      </w:r>
      <w:r>
        <w:rPr>
          <w:rFonts w:eastAsiaTheme="minorEastAsia"/>
          <w:color w:val="000000" w:themeColor="text1"/>
          <w:sz w:val="24"/>
        </w:rPr>
        <w:t>日，图示的时间段为合同生效日至本报告期末。</w:t>
      </w:r>
    </w:p>
    <w:p w:rsidR="00A726E0" w:rsidRPr="00C74EFF" w:rsidRDefault="00A726E0"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本基金建仓期为本基金合同生效日起</w:t>
      </w:r>
      <w:r w:rsidRPr="00C74EFF">
        <w:rPr>
          <w:rFonts w:eastAsiaTheme="minorEastAsia"/>
          <w:color w:val="000000" w:themeColor="text1"/>
          <w:sz w:val="24"/>
        </w:rPr>
        <w:t xml:space="preserve"> 6 </w:t>
      </w:r>
      <w:r w:rsidRPr="00C74EFF">
        <w:rPr>
          <w:rFonts w:eastAsiaTheme="minorEastAsia"/>
          <w:color w:val="000000" w:themeColor="text1"/>
          <w:sz w:val="24"/>
        </w:rPr>
        <w:t>个月，建仓期结束时资产配置比例符合本基金基金合同规定。</w:t>
      </w: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 xml:space="preserve">§4  </w:t>
      </w:r>
      <w:r w:rsidRPr="00C74EFF">
        <w:rPr>
          <w:rFonts w:eastAsiaTheme="minorEastAsia"/>
          <w:color w:val="000000" w:themeColor="text1"/>
          <w:kern w:val="0"/>
          <w:sz w:val="24"/>
          <w:szCs w:val="24"/>
        </w:rPr>
        <w:t>管理人报告</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4.</w:t>
      </w:r>
      <w:r w:rsidR="00E80A21" w:rsidRPr="00C74EFF">
        <w:rPr>
          <w:rFonts w:eastAsiaTheme="minorEastAsia"/>
          <w:b/>
          <w:color w:val="000000" w:themeColor="text1"/>
          <w:kern w:val="0"/>
          <w:sz w:val="24"/>
        </w:rPr>
        <w:t>1</w:t>
      </w:r>
      <w:r w:rsidRPr="00C74EF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EF0A05" w:rsidRPr="00C74EFF" w:rsidTr="005C25C8">
        <w:trPr>
          <w:cantSplit/>
          <w:trHeight w:val="292"/>
        </w:trPr>
        <w:tc>
          <w:tcPr>
            <w:tcW w:w="851" w:type="dxa"/>
            <w:vMerge w:val="restart"/>
            <w:vAlign w:val="center"/>
          </w:tcPr>
          <w:p w:rsidR="005C25C8" w:rsidRPr="00C74EFF" w:rsidRDefault="005C25C8" w:rsidP="00CA3C4F">
            <w:pPr>
              <w:widowControl/>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姓名</w:t>
            </w:r>
          </w:p>
        </w:tc>
        <w:tc>
          <w:tcPr>
            <w:tcW w:w="850" w:type="dxa"/>
            <w:vMerge w:val="restart"/>
            <w:vAlign w:val="center"/>
          </w:tcPr>
          <w:p w:rsidR="005C25C8" w:rsidRPr="00C74EFF" w:rsidRDefault="005C25C8" w:rsidP="00CA3C4F">
            <w:pPr>
              <w:widowControl/>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职务</w:t>
            </w:r>
          </w:p>
        </w:tc>
        <w:tc>
          <w:tcPr>
            <w:tcW w:w="3119" w:type="dxa"/>
            <w:gridSpan w:val="2"/>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任本基金的基金经理期限</w:t>
            </w:r>
          </w:p>
        </w:tc>
        <w:tc>
          <w:tcPr>
            <w:tcW w:w="1417" w:type="dxa"/>
            <w:vMerge w:val="restart"/>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证券从业年限</w:t>
            </w:r>
          </w:p>
        </w:tc>
        <w:tc>
          <w:tcPr>
            <w:tcW w:w="2694" w:type="dxa"/>
            <w:vMerge w:val="restart"/>
            <w:vAlign w:val="center"/>
          </w:tcPr>
          <w:p w:rsidR="005C25C8" w:rsidRPr="00C74EFF" w:rsidRDefault="005C25C8" w:rsidP="00CA3C4F">
            <w:pPr>
              <w:widowControl/>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说明</w:t>
            </w:r>
          </w:p>
        </w:tc>
      </w:tr>
      <w:tr w:rsidR="00EF0A05" w:rsidRPr="00C74EFF" w:rsidTr="005C25C8">
        <w:trPr>
          <w:cantSplit/>
        </w:trPr>
        <w:tc>
          <w:tcPr>
            <w:tcW w:w="851" w:type="dxa"/>
            <w:vMerge/>
            <w:vAlign w:val="center"/>
          </w:tcPr>
          <w:p w:rsidR="005C25C8" w:rsidRPr="00C74EFF" w:rsidRDefault="005C25C8" w:rsidP="00CA3C4F">
            <w:pPr>
              <w:widowControl/>
              <w:spacing w:line="360" w:lineRule="auto"/>
              <w:jc w:val="left"/>
              <w:rPr>
                <w:rFonts w:eastAsiaTheme="minorEastAsia"/>
                <w:color w:val="000000" w:themeColor="text1"/>
                <w:kern w:val="0"/>
                <w:sz w:val="24"/>
              </w:rPr>
            </w:pPr>
          </w:p>
        </w:tc>
        <w:tc>
          <w:tcPr>
            <w:tcW w:w="850" w:type="dxa"/>
            <w:vMerge/>
            <w:vAlign w:val="center"/>
          </w:tcPr>
          <w:p w:rsidR="005C25C8" w:rsidRPr="00C74EFF" w:rsidRDefault="005C25C8" w:rsidP="00CA3C4F">
            <w:pPr>
              <w:widowControl/>
              <w:spacing w:line="360" w:lineRule="auto"/>
              <w:jc w:val="left"/>
              <w:rPr>
                <w:rFonts w:eastAsiaTheme="minorEastAsia"/>
                <w:color w:val="000000" w:themeColor="text1"/>
                <w:kern w:val="0"/>
                <w:sz w:val="24"/>
              </w:rPr>
            </w:pPr>
          </w:p>
        </w:tc>
        <w:tc>
          <w:tcPr>
            <w:tcW w:w="1560"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任职日期</w:t>
            </w:r>
          </w:p>
        </w:tc>
        <w:tc>
          <w:tcPr>
            <w:tcW w:w="1559"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离任日期</w:t>
            </w:r>
          </w:p>
        </w:tc>
        <w:tc>
          <w:tcPr>
            <w:tcW w:w="1417" w:type="dxa"/>
            <w:vMerge/>
            <w:vAlign w:val="center"/>
          </w:tcPr>
          <w:p w:rsidR="005C25C8" w:rsidRPr="00C74EFF" w:rsidRDefault="005C25C8" w:rsidP="00CA3C4F">
            <w:pPr>
              <w:widowControl/>
              <w:spacing w:line="360" w:lineRule="auto"/>
              <w:jc w:val="left"/>
              <w:rPr>
                <w:rFonts w:eastAsiaTheme="minorEastAsia"/>
                <w:color w:val="000000" w:themeColor="text1"/>
                <w:kern w:val="0"/>
                <w:sz w:val="24"/>
              </w:rPr>
            </w:pPr>
          </w:p>
        </w:tc>
        <w:tc>
          <w:tcPr>
            <w:tcW w:w="2694" w:type="dxa"/>
            <w:vMerge/>
            <w:vAlign w:val="center"/>
          </w:tcPr>
          <w:p w:rsidR="005C25C8" w:rsidRPr="00C74EFF" w:rsidRDefault="005C25C8" w:rsidP="00CA3C4F">
            <w:pPr>
              <w:widowControl/>
              <w:spacing w:line="360" w:lineRule="auto"/>
              <w:jc w:val="left"/>
              <w:rPr>
                <w:rFonts w:eastAsiaTheme="minorEastAsia"/>
                <w:color w:val="000000" w:themeColor="text1"/>
                <w:kern w:val="0"/>
                <w:sz w:val="24"/>
              </w:rPr>
            </w:pPr>
          </w:p>
        </w:tc>
      </w:tr>
      <w:tr w:rsidR="007C52CE">
        <w:tc>
          <w:tcPr>
            <w:tcW w:w="851" w:type="dxa"/>
            <w:vAlign w:val="center"/>
          </w:tcPr>
          <w:p w:rsidR="007C52CE" w:rsidRDefault="00E15F09">
            <w:pPr>
              <w:jc w:val="center"/>
            </w:pPr>
            <w:r>
              <w:rPr>
                <w:rFonts w:eastAsiaTheme="minorEastAsia"/>
                <w:color w:val="000000" w:themeColor="text1"/>
                <w:sz w:val="24"/>
              </w:rPr>
              <w:lastRenderedPageBreak/>
              <w:t>胡迪</w:t>
            </w:r>
          </w:p>
        </w:tc>
        <w:tc>
          <w:tcPr>
            <w:tcW w:w="850" w:type="dxa"/>
            <w:vAlign w:val="center"/>
          </w:tcPr>
          <w:p w:rsidR="007C52CE" w:rsidRDefault="00E15F09">
            <w:pPr>
              <w:jc w:val="center"/>
            </w:pPr>
            <w:r>
              <w:rPr>
                <w:rFonts w:eastAsiaTheme="minorEastAsia"/>
                <w:color w:val="000000" w:themeColor="text1"/>
                <w:sz w:val="24"/>
              </w:rPr>
              <w:t>本基金基金经理、指数及量化投资部总监</w:t>
            </w:r>
          </w:p>
        </w:tc>
        <w:tc>
          <w:tcPr>
            <w:tcW w:w="1560" w:type="dxa"/>
            <w:vAlign w:val="center"/>
          </w:tcPr>
          <w:p w:rsidR="007C52CE" w:rsidRDefault="00E15F09">
            <w:pPr>
              <w:jc w:val="center"/>
            </w:pPr>
            <w:r>
              <w:rPr>
                <w:rFonts w:eastAsiaTheme="minorEastAsia"/>
                <w:color w:val="000000" w:themeColor="text1"/>
                <w:sz w:val="24"/>
              </w:rPr>
              <w:t>2021-12-30</w:t>
            </w:r>
          </w:p>
        </w:tc>
        <w:tc>
          <w:tcPr>
            <w:tcW w:w="1559" w:type="dxa"/>
            <w:vAlign w:val="center"/>
          </w:tcPr>
          <w:p w:rsidR="007C52CE" w:rsidRDefault="00E15F09">
            <w:pPr>
              <w:jc w:val="center"/>
            </w:pPr>
            <w:r>
              <w:rPr>
                <w:rFonts w:eastAsiaTheme="minorEastAsia"/>
                <w:color w:val="000000" w:themeColor="text1"/>
                <w:sz w:val="24"/>
              </w:rPr>
              <w:t>-</w:t>
            </w:r>
          </w:p>
        </w:tc>
        <w:tc>
          <w:tcPr>
            <w:tcW w:w="1417" w:type="dxa"/>
            <w:vAlign w:val="center"/>
          </w:tcPr>
          <w:p w:rsidR="007C52CE" w:rsidRDefault="00E15F09">
            <w:pPr>
              <w:jc w:val="center"/>
            </w:pPr>
            <w:r>
              <w:rPr>
                <w:rFonts w:eastAsiaTheme="minorEastAsia"/>
                <w:color w:val="000000" w:themeColor="text1"/>
                <w:sz w:val="24"/>
              </w:rPr>
              <w:t>16</w:t>
            </w:r>
            <w:r>
              <w:rPr>
                <w:rFonts w:eastAsiaTheme="minorEastAsia"/>
                <w:color w:val="000000" w:themeColor="text1"/>
                <w:sz w:val="24"/>
              </w:rPr>
              <w:t>年</w:t>
            </w:r>
          </w:p>
        </w:tc>
        <w:tc>
          <w:tcPr>
            <w:tcW w:w="2694" w:type="dxa"/>
            <w:vAlign w:val="center"/>
          </w:tcPr>
          <w:p w:rsidR="007C52CE" w:rsidRDefault="00E15F09">
            <w:r>
              <w:rPr>
                <w:rFonts w:eastAsiaTheme="minorEastAsia"/>
                <w:color w:val="000000" w:themeColor="text1"/>
                <w:sz w:val="24"/>
              </w:rPr>
              <w:t>胡迪女士曾任纽约美林证券全球资产管理部高级经理，纽约标准普尔量化投资主管，中国国际金融股份有限公司资产管理部执行总经理。</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5</w:t>
            </w:r>
            <w:r>
              <w:rPr>
                <w:rFonts w:eastAsiaTheme="minorEastAsia"/>
                <w:color w:val="000000" w:themeColor="text1"/>
                <w:sz w:val="24"/>
              </w:rPr>
              <w:t>月加入摩根基金管理（中国）有限公司（原上投摩根基金管理有限公司），现任指数及量化投资部总监兼基金经理。</w:t>
            </w:r>
          </w:p>
        </w:tc>
      </w:tr>
      <w:tr w:rsidR="007C52CE">
        <w:tc>
          <w:tcPr>
            <w:tcW w:w="851" w:type="dxa"/>
            <w:vAlign w:val="center"/>
          </w:tcPr>
          <w:p w:rsidR="007C52CE" w:rsidRDefault="00E15F09">
            <w:pPr>
              <w:jc w:val="center"/>
            </w:pPr>
            <w:r>
              <w:rPr>
                <w:rFonts w:eastAsiaTheme="minorEastAsia"/>
                <w:color w:val="000000" w:themeColor="text1"/>
                <w:sz w:val="24"/>
              </w:rPr>
              <w:t>何智豪</w:t>
            </w:r>
          </w:p>
        </w:tc>
        <w:tc>
          <w:tcPr>
            <w:tcW w:w="850" w:type="dxa"/>
            <w:vAlign w:val="center"/>
          </w:tcPr>
          <w:p w:rsidR="007C52CE" w:rsidRDefault="00E15F09">
            <w:pPr>
              <w:jc w:val="center"/>
            </w:pPr>
            <w:r>
              <w:rPr>
                <w:rFonts w:eastAsiaTheme="minorEastAsia"/>
                <w:color w:val="000000" w:themeColor="text1"/>
                <w:sz w:val="24"/>
              </w:rPr>
              <w:t>本基金基金经理</w:t>
            </w:r>
          </w:p>
        </w:tc>
        <w:tc>
          <w:tcPr>
            <w:tcW w:w="1560" w:type="dxa"/>
            <w:vAlign w:val="center"/>
          </w:tcPr>
          <w:p w:rsidR="007C52CE" w:rsidRDefault="00E15F09">
            <w:pPr>
              <w:jc w:val="center"/>
            </w:pPr>
            <w:r>
              <w:rPr>
                <w:rFonts w:eastAsiaTheme="minorEastAsia"/>
                <w:color w:val="000000" w:themeColor="text1"/>
                <w:sz w:val="24"/>
              </w:rPr>
              <w:t>2021-12-30</w:t>
            </w:r>
          </w:p>
        </w:tc>
        <w:tc>
          <w:tcPr>
            <w:tcW w:w="1559" w:type="dxa"/>
            <w:vAlign w:val="center"/>
          </w:tcPr>
          <w:p w:rsidR="007C52CE" w:rsidRDefault="00E15F09">
            <w:pPr>
              <w:jc w:val="center"/>
            </w:pPr>
            <w:r>
              <w:rPr>
                <w:rFonts w:eastAsiaTheme="minorEastAsia"/>
                <w:color w:val="000000" w:themeColor="text1"/>
                <w:sz w:val="24"/>
              </w:rPr>
              <w:t>-</w:t>
            </w:r>
          </w:p>
        </w:tc>
        <w:tc>
          <w:tcPr>
            <w:tcW w:w="1417" w:type="dxa"/>
            <w:vAlign w:val="center"/>
          </w:tcPr>
          <w:p w:rsidR="007C52CE" w:rsidRDefault="00E15F09">
            <w:pPr>
              <w:jc w:val="center"/>
            </w:pPr>
            <w:r>
              <w:rPr>
                <w:rFonts w:eastAsiaTheme="minorEastAsia"/>
                <w:color w:val="000000" w:themeColor="text1"/>
                <w:sz w:val="24"/>
              </w:rPr>
              <w:t>10</w:t>
            </w:r>
            <w:r>
              <w:rPr>
                <w:rFonts w:eastAsiaTheme="minorEastAsia"/>
                <w:color w:val="000000" w:themeColor="text1"/>
                <w:sz w:val="24"/>
              </w:rPr>
              <w:t>年</w:t>
            </w:r>
          </w:p>
        </w:tc>
        <w:tc>
          <w:tcPr>
            <w:tcW w:w="2694" w:type="dxa"/>
            <w:vAlign w:val="center"/>
          </w:tcPr>
          <w:p w:rsidR="007C52CE" w:rsidRDefault="00E15F09">
            <w:r>
              <w:rPr>
                <w:rFonts w:eastAsiaTheme="minorEastAsia"/>
                <w:color w:val="000000" w:themeColor="text1"/>
                <w:sz w:val="24"/>
              </w:rPr>
              <w:t>何智豪先生曾任中国国际金融股份有限公司组合与量化策略研究员、资产管理部高级经理。</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月起加入摩根基金管理（中国）有限公司（原上投摩根基金管理有限公司），现任基金经理。</w:t>
            </w:r>
          </w:p>
        </w:tc>
      </w:tr>
    </w:tbl>
    <w:p w:rsidR="007C52CE" w:rsidRDefault="00E15F09">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 xml:space="preserve">1. </w:t>
      </w:r>
      <w:r>
        <w:rPr>
          <w:rFonts w:eastAsiaTheme="minorEastAsia"/>
          <w:color w:val="000000" w:themeColor="text1"/>
          <w:sz w:val="24"/>
        </w:rPr>
        <w:t>任职日期和离任日期均指根据公司决定确定的聘任日期和解聘日期。</w:t>
      </w:r>
    </w:p>
    <w:p w:rsidR="0076518F" w:rsidRPr="00C74EFF" w:rsidRDefault="005C25C8"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 xml:space="preserve">2. </w:t>
      </w:r>
      <w:r w:rsidRPr="00C74EFF">
        <w:rPr>
          <w:rFonts w:eastAsiaTheme="minorEastAsia"/>
          <w:color w:val="000000" w:themeColor="text1"/>
          <w:sz w:val="24"/>
        </w:rPr>
        <w:t>证券从业的含义遵从行业协会《证券业从业人员资格管理办法》的相关规定。</w:t>
      </w:r>
    </w:p>
    <w:p w:rsidR="00120B9A" w:rsidRPr="00C74EFF" w:rsidRDefault="00120B9A" w:rsidP="0029671E">
      <w:pPr>
        <w:autoSpaceDE w:val="0"/>
        <w:autoSpaceDN w:val="0"/>
        <w:adjustRightInd w:val="0"/>
        <w:spacing w:line="360" w:lineRule="auto"/>
        <w:jc w:val="left"/>
        <w:rPr>
          <w:rFonts w:eastAsiaTheme="minorEastAsia"/>
          <w:color w:val="000000" w:themeColor="text1"/>
          <w:sz w:val="24"/>
        </w:rPr>
      </w:pPr>
    </w:p>
    <w:p w:rsidR="0076518F" w:rsidRPr="00C74EFF" w:rsidRDefault="00273C7E"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4</w:t>
      </w:r>
      <w:r w:rsidR="0076518F" w:rsidRPr="00C74EFF">
        <w:rPr>
          <w:rFonts w:eastAsiaTheme="minorEastAsia"/>
          <w:b/>
          <w:color w:val="000000" w:themeColor="text1"/>
          <w:kern w:val="0"/>
          <w:sz w:val="24"/>
        </w:rPr>
        <w:t>.</w:t>
      </w:r>
      <w:r w:rsidRPr="00C74EFF">
        <w:rPr>
          <w:rFonts w:eastAsiaTheme="minorEastAsia"/>
          <w:b/>
          <w:color w:val="000000" w:themeColor="text1"/>
          <w:kern w:val="0"/>
          <w:sz w:val="24"/>
        </w:rPr>
        <w:t>2</w:t>
      </w:r>
      <w:r w:rsidR="006B699C" w:rsidRPr="00C74EFF">
        <w:rPr>
          <w:b/>
          <w:color w:val="000000"/>
          <w:sz w:val="24"/>
          <w:shd w:val="clear" w:color="auto" w:fill="FFFFFF"/>
        </w:rPr>
        <w:t>管理人对报告期内本基金运作遵规守信情况的说明</w:t>
      </w:r>
    </w:p>
    <w:p w:rsidR="0076518F" w:rsidRPr="00C74EFF" w:rsidRDefault="000E5D28" w:rsidP="0029671E">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B56C5B" w:rsidRPr="00C74EFF" w:rsidRDefault="00B56C5B" w:rsidP="0029671E">
      <w:pPr>
        <w:spacing w:line="360" w:lineRule="auto"/>
        <w:ind w:firstLineChars="200" w:firstLine="480"/>
        <w:rPr>
          <w:rFonts w:eastAsiaTheme="minorEastAsia"/>
          <w:color w:val="000000" w:themeColor="text1"/>
          <w:sz w:val="24"/>
        </w:rPr>
      </w:pPr>
    </w:p>
    <w:p w:rsidR="0076518F" w:rsidRPr="00C74EFF" w:rsidRDefault="00273C7E"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4.3</w:t>
      </w:r>
      <w:r w:rsidR="0076518F" w:rsidRPr="00C74EFF">
        <w:rPr>
          <w:rFonts w:eastAsiaTheme="minorEastAsia"/>
          <w:b/>
          <w:color w:val="000000" w:themeColor="text1"/>
          <w:kern w:val="0"/>
          <w:sz w:val="24"/>
        </w:rPr>
        <w:t>公平交易专项说明</w:t>
      </w:r>
    </w:p>
    <w:p w:rsidR="00AB42E2" w:rsidRPr="00C74EFF" w:rsidRDefault="00273C7E" w:rsidP="0029671E">
      <w:pPr>
        <w:spacing w:line="360" w:lineRule="auto"/>
        <w:rPr>
          <w:rFonts w:eastAsiaTheme="minorEastAsia"/>
          <w:color w:val="000000" w:themeColor="text1"/>
          <w:sz w:val="24"/>
        </w:rPr>
      </w:pPr>
      <w:r w:rsidRPr="00C74EFF">
        <w:rPr>
          <w:rFonts w:eastAsiaTheme="minorEastAsia"/>
          <w:b/>
          <w:color w:val="000000" w:themeColor="text1"/>
          <w:kern w:val="0"/>
          <w:sz w:val="24"/>
        </w:rPr>
        <w:t>4.3</w:t>
      </w:r>
      <w:r w:rsidR="00AB42E2" w:rsidRPr="00C74EFF">
        <w:rPr>
          <w:rFonts w:eastAsiaTheme="minorEastAsia"/>
          <w:color w:val="000000" w:themeColor="text1"/>
          <w:sz w:val="24"/>
        </w:rPr>
        <w:t>.</w:t>
      </w:r>
      <w:r w:rsidRPr="00C74EFF">
        <w:rPr>
          <w:rFonts w:eastAsiaTheme="minorEastAsia"/>
          <w:b/>
          <w:color w:val="000000" w:themeColor="text1"/>
          <w:kern w:val="0"/>
          <w:sz w:val="24"/>
        </w:rPr>
        <w:t>1</w:t>
      </w:r>
      <w:r w:rsidR="00AB42E2" w:rsidRPr="00C74EFF">
        <w:rPr>
          <w:rFonts w:eastAsiaTheme="minorEastAsia"/>
          <w:color w:val="000000" w:themeColor="text1"/>
          <w:sz w:val="24"/>
        </w:rPr>
        <w:t xml:space="preserve"> </w:t>
      </w:r>
      <w:r w:rsidR="00AB42E2" w:rsidRPr="00C74EFF">
        <w:rPr>
          <w:rFonts w:eastAsiaTheme="minorEastAsia"/>
          <w:color w:val="000000" w:themeColor="text1"/>
          <w:sz w:val="24"/>
        </w:rPr>
        <w:t>公平交易制度的执行情况</w:t>
      </w:r>
    </w:p>
    <w:p w:rsidR="007C52CE" w:rsidRDefault="00E15F09">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报告期内，本公司继续贯彻落实《证券投资基金管理公司公平交易制度指导意见》等相关法律法规和公司内部公平交易流程的各项要求，严格规范境内上市</w:t>
      </w:r>
      <w:r>
        <w:rPr>
          <w:rFonts w:eastAsiaTheme="minorEastAsia"/>
          <w:color w:val="000000" w:themeColor="text1"/>
          <w:sz w:val="24"/>
        </w:rPr>
        <w:lastRenderedPageBreak/>
        <w:t>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7C52CE" w:rsidRDefault="00E15F09">
      <w:pPr>
        <w:spacing w:line="360" w:lineRule="auto"/>
        <w:ind w:firstLineChars="200" w:firstLine="480"/>
        <w:rPr>
          <w:rFonts w:eastAsiaTheme="minorEastAsia"/>
          <w:color w:val="000000" w:themeColor="text1"/>
          <w:sz w:val="24"/>
        </w:rPr>
      </w:pPr>
      <w:r>
        <w:rPr>
          <w:rFonts w:eastAsiaTheme="minorEastAsia"/>
          <w:color w:val="000000" w:themeColor="text1"/>
          <w:sz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C74EFF" w:rsidRDefault="000E5D28" w:rsidP="0029671E">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报告期内，通过对不同投资组合之间的收益率差异比较、对同向交易和反向交易的交易时机和交易价差监控分析，未发现整体公平交易执行出现异常的情况。</w:t>
      </w:r>
    </w:p>
    <w:p w:rsidR="00AB42E2" w:rsidRPr="00C74EFF" w:rsidRDefault="00273C7E" w:rsidP="0029671E">
      <w:pPr>
        <w:spacing w:line="360" w:lineRule="auto"/>
        <w:rPr>
          <w:rFonts w:eastAsiaTheme="minorEastAsia"/>
          <w:color w:val="000000" w:themeColor="text1"/>
          <w:sz w:val="24"/>
        </w:rPr>
      </w:pPr>
      <w:r w:rsidRPr="00C74EFF">
        <w:rPr>
          <w:rFonts w:eastAsiaTheme="minorEastAsia"/>
          <w:b/>
          <w:color w:val="000000" w:themeColor="text1"/>
          <w:kern w:val="0"/>
          <w:sz w:val="24"/>
        </w:rPr>
        <w:t>4.3</w:t>
      </w:r>
      <w:r w:rsidRPr="00C74EFF">
        <w:rPr>
          <w:rFonts w:eastAsiaTheme="minorEastAsia"/>
          <w:color w:val="000000" w:themeColor="text1"/>
          <w:sz w:val="24"/>
        </w:rPr>
        <w:t>.</w:t>
      </w:r>
      <w:r w:rsidRPr="00C74EFF">
        <w:rPr>
          <w:rFonts w:eastAsiaTheme="minorEastAsia"/>
          <w:b/>
          <w:color w:val="000000" w:themeColor="text1"/>
          <w:kern w:val="0"/>
          <w:sz w:val="24"/>
        </w:rPr>
        <w:t>2</w:t>
      </w:r>
      <w:r w:rsidR="00AB42E2" w:rsidRPr="00C74EFF">
        <w:rPr>
          <w:rFonts w:eastAsiaTheme="minorEastAsia"/>
          <w:color w:val="000000" w:themeColor="text1"/>
          <w:sz w:val="24"/>
        </w:rPr>
        <w:t xml:space="preserve"> </w:t>
      </w:r>
      <w:r w:rsidR="00AB42E2" w:rsidRPr="00C74EFF">
        <w:rPr>
          <w:rFonts w:eastAsiaTheme="minorEastAsia"/>
          <w:color w:val="000000" w:themeColor="text1"/>
          <w:sz w:val="24"/>
        </w:rPr>
        <w:t>异常交易行为的专项说明</w:t>
      </w:r>
    </w:p>
    <w:p w:rsidR="007C52CE" w:rsidRDefault="00E15F09">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报告期内，通过对交易价格、交易时间、交易方向等的分析，未发现有可能导致不公平交易和利益输送的异常交易行为。</w:t>
      </w:r>
    </w:p>
    <w:p w:rsidR="00AB42E2" w:rsidRPr="00C74EFF" w:rsidRDefault="000E5D28" w:rsidP="0029671E">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所有投资组合参与的交易所公开竞价同日反向交易成交较少的单边交易量超过该证券当日成交量的</w:t>
      </w:r>
      <w:r w:rsidRPr="00C74EFF">
        <w:rPr>
          <w:rFonts w:eastAsiaTheme="minorEastAsia"/>
          <w:color w:val="000000" w:themeColor="text1"/>
          <w:sz w:val="24"/>
        </w:rPr>
        <w:t>5%</w:t>
      </w:r>
      <w:r w:rsidRPr="00C74EFF">
        <w:rPr>
          <w:rFonts w:eastAsiaTheme="minorEastAsia"/>
          <w:color w:val="000000" w:themeColor="text1"/>
          <w:sz w:val="24"/>
        </w:rPr>
        <w:t>的情形：无。</w:t>
      </w:r>
    </w:p>
    <w:p w:rsidR="0076518F" w:rsidRPr="00C74EFF" w:rsidRDefault="0076518F" w:rsidP="0029671E">
      <w:pPr>
        <w:autoSpaceDE w:val="0"/>
        <w:autoSpaceDN w:val="0"/>
        <w:adjustRightInd w:val="0"/>
        <w:spacing w:line="360" w:lineRule="auto"/>
        <w:jc w:val="left"/>
        <w:rPr>
          <w:rFonts w:eastAsiaTheme="minorEastAsia"/>
          <w:color w:val="000000" w:themeColor="text1"/>
          <w:kern w:val="0"/>
          <w:sz w:val="24"/>
        </w:rPr>
      </w:pPr>
    </w:p>
    <w:p w:rsidR="00742911" w:rsidRPr="00C74EFF" w:rsidRDefault="00742911" w:rsidP="00742911">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4.4 </w:t>
      </w:r>
      <w:r w:rsidRPr="00C74EFF">
        <w:rPr>
          <w:rFonts w:eastAsiaTheme="minorEastAsia"/>
          <w:b/>
          <w:color w:val="000000" w:themeColor="text1"/>
          <w:kern w:val="0"/>
          <w:sz w:val="24"/>
        </w:rPr>
        <w:t>报告期内基金的投资策略和业绩表现说明</w:t>
      </w:r>
    </w:p>
    <w:p w:rsidR="007C52CE" w:rsidRDefault="00E15F0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本基金跟踪的恒生科技指数由</w:t>
      </w:r>
      <w:r>
        <w:rPr>
          <w:rFonts w:eastAsiaTheme="minorEastAsia"/>
          <w:color w:val="000000" w:themeColor="text1"/>
          <w:szCs w:val="21"/>
        </w:rPr>
        <w:t>30</w:t>
      </w:r>
      <w:r>
        <w:rPr>
          <w:rFonts w:eastAsiaTheme="minorEastAsia"/>
          <w:color w:val="000000" w:themeColor="text1"/>
          <w:szCs w:val="21"/>
        </w:rPr>
        <w:t>家最大的与科技主题高度相关的香港上市公司组成，以反映科技板块港股上市公司的整体表现。年初以来市场对美联储降息的乐观预期不断修正，降息时点一再推迟，</w:t>
      </w:r>
      <w:r>
        <w:rPr>
          <w:rFonts w:eastAsiaTheme="minorEastAsia"/>
          <w:color w:val="000000" w:themeColor="text1"/>
          <w:szCs w:val="21"/>
        </w:rPr>
        <w:t>10</w:t>
      </w:r>
      <w:r>
        <w:rPr>
          <w:rFonts w:eastAsiaTheme="minorEastAsia"/>
          <w:color w:val="000000" w:themeColor="text1"/>
          <w:szCs w:val="21"/>
        </w:rPr>
        <w:t>年期美债收益率也自</w:t>
      </w:r>
      <w:r>
        <w:rPr>
          <w:rFonts w:eastAsiaTheme="minorEastAsia"/>
          <w:color w:val="000000" w:themeColor="text1"/>
          <w:szCs w:val="21"/>
        </w:rPr>
        <w:t>2023</w:t>
      </w:r>
      <w:r>
        <w:rPr>
          <w:rFonts w:eastAsiaTheme="minorEastAsia"/>
          <w:color w:val="000000" w:themeColor="text1"/>
          <w:szCs w:val="21"/>
        </w:rPr>
        <w:t>年年底以来震荡向上。一季度，恒生指数下跌了</w:t>
      </w:r>
      <w:r>
        <w:rPr>
          <w:rFonts w:eastAsiaTheme="minorEastAsia"/>
          <w:color w:val="000000" w:themeColor="text1"/>
          <w:szCs w:val="21"/>
        </w:rPr>
        <w:t>2.97%</w:t>
      </w:r>
      <w:r>
        <w:rPr>
          <w:rFonts w:eastAsiaTheme="minorEastAsia"/>
          <w:color w:val="000000" w:themeColor="text1"/>
          <w:szCs w:val="21"/>
        </w:rPr>
        <w:t>，恒生科技指数下跌了</w:t>
      </w:r>
      <w:r>
        <w:rPr>
          <w:rFonts w:eastAsiaTheme="minorEastAsia"/>
          <w:color w:val="000000" w:themeColor="text1"/>
          <w:szCs w:val="21"/>
        </w:rPr>
        <w:t>7.62%</w:t>
      </w:r>
      <w:r>
        <w:rPr>
          <w:rFonts w:eastAsiaTheme="minorEastAsia"/>
          <w:color w:val="000000" w:themeColor="text1"/>
          <w:szCs w:val="21"/>
        </w:rPr>
        <w:t>，而同期上证指数上涨</w:t>
      </w:r>
      <w:r>
        <w:rPr>
          <w:rFonts w:eastAsiaTheme="minorEastAsia"/>
          <w:color w:val="000000" w:themeColor="text1"/>
          <w:szCs w:val="21"/>
        </w:rPr>
        <w:t>2.23%</w:t>
      </w:r>
      <w:r>
        <w:rPr>
          <w:rFonts w:eastAsiaTheme="minorEastAsia"/>
          <w:color w:val="000000" w:themeColor="text1"/>
          <w:szCs w:val="21"/>
        </w:rPr>
        <w:t>，港股表现弱于全球其他主要指数。说明在风险偏好较低的情形下，尽管估值较低，但是受制于流动性的约束，港股的表现并未胜出</w:t>
      </w:r>
      <w:r>
        <w:rPr>
          <w:rFonts w:eastAsiaTheme="minorEastAsia"/>
          <w:color w:val="000000" w:themeColor="text1"/>
          <w:szCs w:val="21"/>
        </w:rPr>
        <w:t>A</w:t>
      </w:r>
      <w:r>
        <w:rPr>
          <w:rFonts w:eastAsiaTheme="minorEastAsia"/>
          <w:color w:val="000000" w:themeColor="text1"/>
          <w:szCs w:val="21"/>
        </w:rPr>
        <w:t>股。</w:t>
      </w:r>
    </w:p>
    <w:p w:rsidR="007C52CE" w:rsidRDefault="00E15F09">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未来，我们预计稳增长政策的不断出台、美债利率下行、地缘局势缓和都有可能对港股市场促成一波修复式反弹。当前港股市场估值处于相对低位，下行风险相对较低，且以科技为代表的成长板块对利率更为敏感，经济预期好转叠加流动性预期改善，港股科技板块有望迎来估值修复。</w:t>
      </w:r>
    </w:p>
    <w:p w:rsidR="00742911" w:rsidRPr="00C74EFF" w:rsidRDefault="00742911" w:rsidP="00742911">
      <w:pPr>
        <w:spacing w:line="360" w:lineRule="auto"/>
        <w:ind w:firstLineChars="200" w:firstLine="420"/>
        <w:rPr>
          <w:rFonts w:eastAsiaTheme="minorEastAsia"/>
          <w:color w:val="000000" w:themeColor="text1"/>
          <w:szCs w:val="21"/>
        </w:rPr>
      </w:pPr>
      <w:r w:rsidRPr="00C74EFF">
        <w:rPr>
          <w:rFonts w:eastAsiaTheme="minorEastAsia"/>
          <w:color w:val="000000" w:themeColor="text1"/>
          <w:szCs w:val="21"/>
        </w:rPr>
        <w:t>本报告期本基金份额净值增长率为</w:t>
      </w:r>
      <w:r w:rsidRPr="00C74EFF">
        <w:rPr>
          <w:rFonts w:eastAsiaTheme="minorEastAsia"/>
          <w:color w:val="000000" w:themeColor="text1"/>
          <w:szCs w:val="21"/>
        </w:rPr>
        <w:t>:-6.74%</w:t>
      </w:r>
      <w:r w:rsidRPr="00C74EFF">
        <w:rPr>
          <w:rFonts w:eastAsiaTheme="minorEastAsia"/>
          <w:color w:val="000000" w:themeColor="text1"/>
          <w:szCs w:val="21"/>
        </w:rPr>
        <w:t>，同期业绩比较基准收益率为</w:t>
      </w:r>
      <w:r w:rsidRPr="00C74EFF">
        <w:rPr>
          <w:rFonts w:eastAsiaTheme="minorEastAsia"/>
          <w:color w:val="000000" w:themeColor="text1"/>
          <w:szCs w:val="21"/>
        </w:rPr>
        <w:t>:-7.58%</w:t>
      </w:r>
      <w:r w:rsidRPr="00C74EFF">
        <w:rPr>
          <w:rFonts w:eastAsiaTheme="minorEastAsia"/>
          <w:color w:val="000000" w:themeColor="text1"/>
          <w:szCs w:val="21"/>
        </w:rPr>
        <w:t>。</w:t>
      </w:r>
    </w:p>
    <w:p w:rsidR="0032500D" w:rsidRPr="00C74EFF" w:rsidRDefault="0032500D" w:rsidP="0029671E">
      <w:pPr>
        <w:spacing w:line="360" w:lineRule="auto"/>
        <w:ind w:firstLineChars="200" w:firstLine="480"/>
        <w:rPr>
          <w:rFonts w:eastAsiaTheme="minorEastAsia"/>
          <w:color w:val="000000" w:themeColor="text1"/>
          <w:sz w:val="24"/>
        </w:rPr>
      </w:pPr>
    </w:p>
    <w:p w:rsidR="001B47FF" w:rsidRPr="00C74EFF" w:rsidRDefault="001B47FF" w:rsidP="001B47FF">
      <w:pPr>
        <w:spacing w:line="360" w:lineRule="auto"/>
        <w:rPr>
          <w:rFonts w:eastAsiaTheme="minorEastAsia"/>
          <w:color w:val="000000" w:themeColor="text1"/>
          <w:sz w:val="24"/>
        </w:rPr>
      </w:pPr>
      <w:r w:rsidRPr="00C74EFF">
        <w:rPr>
          <w:rFonts w:eastAsiaTheme="minorEastAsia"/>
          <w:b/>
          <w:color w:val="000000" w:themeColor="text1"/>
          <w:kern w:val="0"/>
          <w:sz w:val="24"/>
        </w:rPr>
        <w:lastRenderedPageBreak/>
        <w:t>4.5</w:t>
      </w:r>
      <w:r w:rsidRPr="00C74EFF">
        <w:rPr>
          <w:rFonts w:eastAsiaTheme="minorEastAsia"/>
          <w:b/>
          <w:color w:val="000000" w:themeColor="text1"/>
          <w:kern w:val="0"/>
          <w:sz w:val="24"/>
        </w:rPr>
        <w:t>报告期内基金持有人数或基金资产净值预警说明</w:t>
      </w:r>
    </w:p>
    <w:p w:rsidR="001B47FF" w:rsidRPr="00C74EFF" w:rsidRDefault="001B47FF" w:rsidP="001B47FF">
      <w:pPr>
        <w:spacing w:line="360" w:lineRule="auto"/>
        <w:ind w:firstLineChars="200" w:firstLine="480"/>
        <w:rPr>
          <w:rFonts w:eastAsiaTheme="minorEastAsia"/>
          <w:color w:val="000000" w:themeColor="text1"/>
          <w:sz w:val="24"/>
        </w:rPr>
      </w:pPr>
      <w:r w:rsidRPr="00C74EFF">
        <w:rPr>
          <w:rFonts w:eastAsiaTheme="minorEastAsia"/>
          <w:color w:val="000000" w:themeColor="text1"/>
          <w:kern w:val="0"/>
          <w:sz w:val="24"/>
        </w:rPr>
        <w:t>无。</w:t>
      </w: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 xml:space="preserve">§5  </w:t>
      </w:r>
      <w:r w:rsidRPr="00C74EFF">
        <w:rPr>
          <w:rFonts w:eastAsiaTheme="minorEastAsia"/>
          <w:color w:val="000000" w:themeColor="text1"/>
          <w:kern w:val="0"/>
          <w:sz w:val="24"/>
          <w:szCs w:val="24"/>
        </w:rPr>
        <w:t>投资组合报告</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5.1 </w:t>
      </w:r>
      <w:r w:rsidRPr="00C74EFF">
        <w:rPr>
          <w:rFonts w:eastAsiaTheme="minorEastAsia"/>
          <w:b/>
          <w:color w:val="000000" w:themeColor="text1"/>
          <w:kern w:val="0"/>
          <w:sz w:val="24"/>
        </w:rPr>
        <w:t>报告期末基金资产组合情况</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2"/>
        <w:gridCol w:w="3402"/>
        <w:gridCol w:w="1701"/>
      </w:tblGrid>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序号</w:t>
            </w:r>
          </w:p>
        </w:tc>
        <w:tc>
          <w:tcPr>
            <w:tcW w:w="2552"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项目</w:t>
            </w:r>
          </w:p>
        </w:tc>
        <w:tc>
          <w:tcPr>
            <w:tcW w:w="3402"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金额</w:t>
            </w:r>
            <w:r w:rsidRPr="00C74EFF">
              <w:rPr>
                <w:rFonts w:eastAsiaTheme="minorEastAsia"/>
                <w:color w:val="000000" w:themeColor="text1"/>
                <w:sz w:val="24"/>
              </w:rPr>
              <w:t>(</w:t>
            </w:r>
            <w:r w:rsidRPr="00C74EFF">
              <w:rPr>
                <w:rFonts w:eastAsiaTheme="minorEastAsia"/>
                <w:color w:val="000000" w:themeColor="text1"/>
                <w:sz w:val="24"/>
              </w:rPr>
              <w:t>元</w:t>
            </w: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占基金总资产的比例</w:t>
            </w: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1</w:t>
            </w: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权益投资</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200,225,326.22</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81.32</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其中：普通股</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200,225,326.22</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81.32</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存托凭证</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优先股</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房地产信托</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tcPr>
          <w:p w:rsidR="00BF4E28" w:rsidRPr="00C74EFF" w:rsidRDefault="00BF4E28" w:rsidP="00C06412">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2</w:t>
            </w:r>
          </w:p>
        </w:tc>
        <w:tc>
          <w:tcPr>
            <w:tcW w:w="2552" w:type="dxa"/>
            <w:shd w:val="clear" w:color="auto" w:fill="auto"/>
          </w:tcPr>
          <w:p w:rsidR="00BF4E28" w:rsidRPr="00C74EFF" w:rsidRDefault="00BF4E28" w:rsidP="00C06412">
            <w:pPr>
              <w:adjustRightInd w:val="0"/>
              <w:snapToGrid w:val="0"/>
              <w:spacing w:line="400" w:lineRule="exact"/>
              <w:rPr>
                <w:rFonts w:eastAsiaTheme="minorEastAsia"/>
                <w:color w:val="000000" w:themeColor="text1"/>
                <w:sz w:val="24"/>
              </w:rPr>
            </w:pPr>
            <w:r w:rsidRPr="00C74EFF">
              <w:rPr>
                <w:rFonts w:eastAsiaTheme="minorEastAsia"/>
                <w:color w:val="000000" w:themeColor="text1"/>
                <w:sz w:val="24"/>
              </w:rPr>
              <w:t>基金投资</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3</w:t>
            </w: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固定收益投资</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6F5BE1"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其中：债券</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F36A6E">
            <w:pPr>
              <w:autoSpaceDE w:val="0"/>
              <w:autoSpaceDN w:val="0"/>
              <w:adjustRightInd w:val="0"/>
              <w:spacing w:before="29" w:line="360" w:lineRule="auto"/>
              <w:ind w:left="17" w:firstLineChars="300" w:firstLine="720"/>
              <w:jc w:val="left"/>
              <w:rPr>
                <w:rFonts w:eastAsiaTheme="minorEastAsia"/>
                <w:color w:val="000000" w:themeColor="text1"/>
                <w:sz w:val="24"/>
              </w:rPr>
            </w:pPr>
            <w:r w:rsidRPr="00C74EFF">
              <w:rPr>
                <w:rFonts w:eastAsiaTheme="minorEastAsia"/>
                <w:color w:val="000000" w:themeColor="text1"/>
                <w:sz w:val="24"/>
              </w:rPr>
              <w:t>资产支持证券</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4</w:t>
            </w: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金融衍生品投资</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tcPr>
          <w:p w:rsidR="00BF4E28" w:rsidRPr="00C74EFF" w:rsidRDefault="00BF4E28" w:rsidP="00C06412">
            <w:pPr>
              <w:adjustRightInd w:val="0"/>
              <w:snapToGrid w:val="0"/>
              <w:spacing w:line="400" w:lineRule="exact"/>
              <w:rPr>
                <w:rFonts w:eastAsiaTheme="minorEastAsia"/>
                <w:color w:val="000000" w:themeColor="text1"/>
                <w:sz w:val="24"/>
              </w:rPr>
            </w:pPr>
            <w:r w:rsidRPr="00C74EFF">
              <w:rPr>
                <w:rFonts w:eastAsiaTheme="minorEastAsia"/>
                <w:color w:val="000000" w:themeColor="text1"/>
                <w:sz w:val="24"/>
              </w:rPr>
              <w:t>其中：远期</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tcPr>
          <w:p w:rsidR="00BF4E28" w:rsidRPr="00C74EFF" w:rsidDel="00455464" w:rsidRDefault="00BF4E28" w:rsidP="00C06412">
            <w:pPr>
              <w:adjustRightInd w:val="0"/>
              <w:snapToGrid w:val="0"/>
              <w:spacing w:line="400" w:lineRule="exact"/>
              <w:ind w:firstLineChars="300" w:firstLine="720"/>
              <w:rPr>
                <w:rFonts w:eastAsiaTheme="minorEastAsia"/>
                <w:color w:val="000000" w:themeColor="text1"/>
                <w:sz w:val="24"/>
              </w:rPr>
            </w:pPr>
            <w:r w:rsidRPr="00C74EFF">
              <w:rPr>
                <w:rFonts w:eastAsiaTheme="minorEastAsia"/>
                <w:color w:val="000000" w:themeColor="text1"/>
                <w:sz w:val="24"/>
              </w:rPr>
              <w:t>期货</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tcPr>
          <w:p w:rsidR="00BF4E28" w:rsidRPr="00C74EFF" w:rsidRDefault="00BF4E28" w:rsidP="00C06412">
            <w:pPr>
              <w:adjustRightInd w:val="0"/>
              <w:snapToGrid w:val="0"/>
              <w:spacing w:line="400" w:lineRule="exact"/>
              <w:ind w:firstLineChars="300" w:firstLine="720"/>
              <w:rPr>
                <w:rFonts w:eastAsiaTheme="minorEastAsia"/>
                <w:color w:val="000000" w:themeColor="text1"/>
                <w:sz w:val="24"/>
              </w:rPr>
            </w:pPr>
            <w:r w:rsidRPr="00C74EFF">
              <w:rPr>
                <w:rFonts w:eastAsiaTheme="minorEastAsia"/>
                <w:color w:val="000000" w:themeColor="text1"/>
                <w:sz w:val="24"/>
              </w:rPr>
              <w:t>期权</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tcPr>
          <w:p w:rsidR="00BF4E28" w:rsidRPr="00C74EFF" w:rsidRDefault="00BF4E28" w:rsidP="00C06412">
            <w:pPr>
              <w:adjustRightInd w:val="0"/>
              <w:snapToGrid w:val="0"/>
              <w:spacing w:line="400" w:lineRule="exact"/>
              <w:ind w:firstLineChars="298" w:firstLine="715"/>
              <w:rPr>
                <w:rFonts w:eastAsiaTheme="minorEastAsia"/>
                <w:color w:val="000000" w:themeColor="text1"/>
                <w:sz w:val="24"/>
              </w:rPr>
            </w:pPr>
            <w:r w:rsidRPr="00C74EFF">
              <w:rPr>
                <w:rFonts w:eastAsiaTheme="minorEastAsia"/>
                <w:color w:val="000000" w:themeColor="text1"/>
                <w:sz w:val="24"/>
              </w:rPr>
              <w:t>权证</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5</w:t>
            </w: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买入返售金融资产</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其中：买断式回购的买入返售金融资产</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tcPr>
          <w:p w:rsidR="00BF4E28" w:rsidRPr="00C74EFF" w:rsidRDefault="00BF4E28" w:rsidP="00C06412">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6</w:t>
            </w:r>
          </w:p>
        </w:tc>
        <w:tc>
          <w:tcPr>
            <w:tcW w:w="2552" w:type="dxa"/>
            <w:shd w:val="clear" w:color="auto" w:fill="auto"/>
          </w:tcPr>
          <w:p w:rsidR="00BF4E28" w:rsidRPr="00C74EFF" w:rsidRDefault="00BF4E28" w:rsidP="00C06412">
            <w:pPr>
              <w:adjustRightInd w:val="0"/>
              <w:snapToGrid w:val="0"/>
              <w:spacing w:line="400" w:lineRule="exact"/>
              <w:rPr>
                <w:rFonts w:eastAsiaTheme="minorEastAsia"/>
                <w:color w:val="000000" w:themeColor="text1"/>
                <w:sz w:val="24"/>
              </w:rPr>
            </w:pPr>
            <w:r w:rsidRPr="00C74EFF">
              <w:rPr>
                <w:rFonts w:eastAsiaTheme="minorEastAsia"/>
                <w:color w:val="000000" w:themeColor="text1"/>
                <w:sz w:val="24"/>
              </w:rPr>
              <w:t>货币市场工具</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7</w:t>
            </w:r>
          </w:p>
        </w:tc>
        <w:tc>
          <w:tcPr>
            <w:tcW w:w="2552" w:type="dxa"/>
            <w:shd w:val="clear" w:color="auto" w:fill="auto"/>
            <w:vAlign w:val="center"/>
          </w:tcPr>
          <w:p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银行存款和结算备付金合计</w:t>
            </w:r>
          </w:p>
        </w:tc>
        <w:tc>
          <w:tcPr>
            <w:tcW w:w="3402"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45,884,582.22</w:t>
            </w:r>
          </w:p>
        </w:tc>
        <w:tc>
          <w:tcPr>
            <w:tcW w:w="1701" w:type="dxa"/>
            <w:shd w:val="clear" w:color="auto" w:fill="auto"/>
            <w:vAlign w:val="center"/>
          </w:tcPr>
          <w:p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18.64</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lastRenderedPageBreak/>
              <w:t>8</w:t>
            </w:r>
          </w:p>
        </w:tc>
        <w:tc>
          <w:tcPr>
            <w:tcW w:w="2552" w:type="dxa"/>
            <w:shd w:val="clear" w:color="auto" w:fill="auto"/>
            <w:vAlign w:val="center"/>
          </w:tcPr>
          <w:p w:rsidR="00BF4E28" w:rsidRPr="00C74EFF" w:rsidRDefault="00BF4E28" w:rsidP="00C06412">
            <w:pPr>
              <w:jc w:val="left"/>
              <w:rPr>
                <w:rFonts w:eastAsiaTheme="minorEastAsia"/>
                <w:color w:val="000000" w:themeColor="text1"/>
                <w:sz w:val="24"/>
              </w:rPr>
            </w:pPr>
            <w:r w:rsidRPr="00C74EFF">
              <w:rPr>
                <w:rFonts w:eastAsiaTheme="minorEastAsia"/>
                <w:color w:val="000000" w:themeColor="text1"/>
                <w:sz w:val="24"/>
              </w:rPr>
              <w:t>其他各项资产</w:t>
            </w:r>
          </w:p>
        </w:tc>
        <w:tc>
          <w:tcPr>
            <w:tcW w:w="3402" w:type="dxa"/>
            <w:shd w:val="clear" w:color="auto" w:fill="auto"/>
            <w:vAlign w:val="center"/>
          </w:tcPr>
          <w:p w:rsidR="00BF4E28" w:rsidRPr="00C74EFF" w:rsidRDefault="00BF4E28" w:rsidP="00C06412">
            <w:pPr>
              <w:jc w:val="right"/>
              <w:rPr>
                <w:rFonts w:eastAsiaTheme="minorEastAsia"/>
                <w:color w:val="000000" w:themeColor="text1"/>
                <w:sz w:val="24"/>
              </w:rPr>
            </w:pPr>
            <w:r w:rsidRPr="00C74EFF">
              <w:rPr>
                <w:rFonts w:eastAsiaTheme="minorEastAsia"/>
                <w:color w:val="000000" w:themeColor="text1"/>
                <w:sz w:val="24"/>
              </w:rPr>
              <w:t>101,560.85</w:t>
            </w:r>
          </w:p>
        </w:tc>
        <w:tc>
          <w:tcPr>
            <w:tcW w:w="1701" w:type="dxa"/>
            <w:shd w:val="clear" w:color="auto" w:fill="auto"/>
            <w:vAlign w:val="center"/>
          </w:tcPr>
          <w:p w:rsidR="00BF4E28" w:rsidRPr="00C74EFF" w:rsidRDefault="00BF4E28" w:rsidP="00C06412">
            <w:pPr>
              <w:jc w:val="right"/>
              <w:rPr>
                <w:rFonts w:eastAsiaTheme="minorEastAsia"/>
                <w:color w:val="000000" w:themeColor="text1"/>
                <w:sz w:val="24"/>
              </w:rPr>
            </w:pPr>
            <w:r w:rsidRPr="00C74EFF">
              <w:rPr>
                <w:rFonts w:eastAsiaTheme="minorEastAsia"/>
                <w:color w:val="000000" w:themeColor="text1"/>
                <w:sz w:val="24"/>
              </w:rPr>
              <w:t>0.04</w:t>
            </w:r>
          </w:p>
        </w:tc>
      </w:tr>
      <w:tr w:rsidR="00EF0A05" w:rsidRPr="00C74EFF" w:rsidTr="00AF41C5">
        <w:tc>
          <w:tcPr>
            <w:tcW w:w="851" w:type="dxa"/>
            <w:shd w:val="clear" w:color="auto" w:fill="auto"/>
            <w:vAlign w:val="center"/>
          </w:tcPr>
          <w:p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9</w:t>
            </w:r>
          </w:p>
        </w:tc>
        <w:tc>
          <w:tcPr>
            <w:tcW w:w="2552" w:type="dxa"/>
            <w:shd w:val="clear" w:color="auto" w:fill="auto"/>
            <w:vAlign w:val="center"/>
          </w:tcPr>
          <w:p w:rsidR="00BF4E28" w:rsidRPr="00C74EFF" w:rsidRDefault="00BF4E28" w:rsidP="00C06412">
            <w:pPr>
              <w:jc w:val="left"/>
              <w:rPr>
                <w:rFonts w:eastAsiaTheme="minorEastAsia"/>
                <w:color w:val="000000" w:themeColor="text1"/>
                <w:sz w:val="24"/>
              </w:rPr>
            </w:pPr>
            <w:r w:rsidRPr="00C74EFF">
              <w:rPr>
                <w:rFonts w:eastAsiaTheme="minorEastAsia"/>
                <w:color w:val="000000" w:themeColor="text1"/>
                <w:sz w:val="24"/>
              </w:rPr>
              <w:t>合计</w:t>
            </w:r>
          </w:p>
        </w:tc>
        <w:tc>
          <w:tcPr>
            <w:tcW w:w="3402" w:type="dxa"/>
            <w:shd w:val="clear" w:color="auto" w:fill="auto"/>
            <w:vAlign w:val="center"/>
          </w:tcPr>
          <w:p w:rsidR="00BF4E28" w:rsidRPr="00C74EFF" w:rsidRDefault="00BF4E28" w:rsidP="00C06412">
            <w:pPr>
              <w:jc w:val="right"/>
              <w:rPr>
                <w:rFonts w:eastAsiaTheme="minorEastAsia"/>
                <w:color w:val="000000" w:themeColor="text1"/>
                <w:sz w:val="24"/>
              </w:rPr>
            </w:pPr>
            <w:r w:rsidRPr="00C74EFF">
              <w:rPr>
                <w:rFonts w:eastAsiaTheme="minorEastAsia"/>
                <w:color w:val="000000" w:themeColor="text1"/>
                <w:sz w:val="24"/>
              </w:rPr>
              <w:t>246,211,469.29</w:t>
            </w:r>
          </w:p>
        </w:tc>
        <w:tc>
          <w:tcPr>
            <w:tcW w:w="1701" w:type="dxa"/>
            <w:shd w:val="clear" w:color="auto" w:fill="auto"/>
            <w:vAlign w:val="center"/>
          </w:tcPr>
          <w:p w:rsidR="00BF4E28" w:rsidRPr="00C74EFF" w:rsidRDefault="00BF4E28" w:rsidP="00C06412">
            <w:pPr>
              <w:jc w:val="right"/>
              <w:rPr>
                <w:rFonts w:eastAsiaTheme="minorEastAsia"/>
                <w:color w:val="000000" w:themeColor="text1"/>
                <w:sz w:val="24"/>
              </w:rPr>
            </w:pPr>
            <w:r w:rsidRPr="00C74EFF">
              <w:rPr>
                <w:rFonts w:eastAsiaTheme="minorEastAsia"/>
                <w:color w:val="000000" w:themeColor="text1"/>
                <w:sz w:val="24"/>
              </w:rPr>
              <w:t>100.00</w:t>
            </w:r>
          </w:p>
        </w:tc>
      </w:tr>
    </w:tbl>
    <w:p w:rsidR="0076518F" w:rsidRPr="00C74EFF" w:rsidRDefault="000E5D28"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注：本基金本报告期末通过港股通交易机制投资的港股公允价值为</w:t>
      </w:r>
      <w:r w:rsidRPr="00C74EFF">
        <w:rPr>
          <w:rFonts w:eastAsiaTheme="minorEastAsia"/>
          <w:color w:val="000000" w:themeColor="text1"/>
          <w:sz w:val="24"/>
        </w:rPr>
        <w:t>131,794,482.33</w:t>
      </w:r>
      <w:r w:rsidRPr="00C74EFF">
        <w:rPr>
          <w:rFonts w:eastAsiaTheme="minorEastAsia"/>
          <w:color w:val="000000" w:themeColor="text1"/>
          <w:sz w:val="24"/>
        </w:rPr>
        <w:t>元</w:t>
      </w:r>
      <w:r w:rsidRPr="00C74EFF">
        <w:rPr>
          <w:rFonts w:eastAsiaTheme="minorEastAsia"/>
          <w:color w:val="000000" w:themeColor="text1"/>
          <w:sz w:val="24"/>
        </w:rPr>
        <w:t>,</w:t>
      </w:r>
      <w:r w:rsidRPr="00C74EFF">
        <w:rPr>
          <w:rFonts w:eastAsiaTheme="minorEastAsia"/>
          <w:color w:val="000000" w:themeColor="text1"/>
          <w:sz w:val="24"/>
        </w:rPr>
        <w:t>占净值比例</w:t>
      </w:r>
      <w:r w:rsidRPr="00C74EFF">
        <w:rPr>
          <w:rFonts w:eastAsiaTheme="minorEastAsia"/>
          <w:color w:val="000000" w:themeColor="text1"/>
          <w:sz w:val="24"/>
        </w:rPr>
        <w:t>66.96%</w:t>
      </w:r>
      <w:r w:rsidRPr="00C74EFF">
        <w:rPr>
          <w:rFonts w:eastAsiaTheme="minorEastAsia"/>
          <w:color w:val="000000" w:themeColor="text1"/>
          <w:sz w:val="24"/>
        </w:rPr>
        <w:t>。</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5.2 </w:t>
      </w:r>
      <w:r w:rsidRPr="00C74EFF">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EF0A05" w:rsidRPr="00C74EFF" w:rsidTr="001E2C91">
        <w:trPr>
          <w:jc w:val="center"/>
        </w:trPr>
        <w:tc>
          <w:tcPr>
            <w:tcW w:w="2410" w:type="dxa"/>
            <w:vAlign w:val="center"/>
          </w:tcPr>
          <w:p w:rsidR="00596191" w:rsidRPr="00C74EFF" w:rsidRDefault="00596191" w:rsidP="001E2C91">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国家（地区）</w:t>
            </w:r>
          </w:p>
        </w:tc>
        <w:tc>
          <w:tcPr>
            <w:tcW w:w="3118" w:type="dxa"/>
            <w:vAlign w:val="center"/>
          </w:tcPr>
          <w:p w:rsidR="00596191" w:rsidRPr="00C74EFF" w:rsidRDefault="00596191" w:rsidP="001E2C91">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公允价值</w:t>
            </w:r>
            <w:r w:rsidRPr="00C74EFF">
              <w:rPr>
                <w:rFonts w:eastAsiaTheme="minorEastAsia"/>
                <w:color w:val="000000" w:themeColor="text1"/>
                <w:kern w:val="0"/>
                <w:sz w:val="24"/>
              </w:rPr>
              <w:t>(</w:t>
            </w:r>
            <w:r w:rsidRPr="00C74EFF">
              <w:rPr>
                <w:rFonts w:eastAsiaTheme="minorEastAsia"/>
                <w:color w:val="000000" w:themeColor="text1"/>
                <w:kern w:val="0"/>
                <w:sz w:val="24"/>
              </w:rPr>
              <w:t>人民币元</w:t>
            </w:r>
            <w:r w:rsidRPr="00C74EFF">
              <w:rPr>
                <w:rFonts w:eastAsiaTheme="minorEastAsia"/>
                <w:color w:val="000000" w:themeColor="text1"/>
                <w:kern w:val="0"/>
                <w:sz w:val="24"/>
              </w:rPr>
              <w:t>)</w:t>
            </w:r>
          </w:p>
        </w:tc>
        <w:tc>
          <w:tcPr>
            <w:tcW w:w="3076" w:type="dxa"/>
            <w:vAlign w:val="center"/>
          </w:tcPr>
          <w:p w:rsidR="00596191" w:rsidRPr="00C74EFF" w:rsidRDefault="00596191" w:rsidP="001E2C91">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占基金资产净值比例（％）</w:t>
            </w:r>
          </w:p>
        </w:tc>
      </w:tr>
      <w:tr w:rsidR="007C52CE">
        <w:trPr>
          <w:jc w:val="center"/>
        </w:trPr>
        <w:tc>
          <w:tcPr>
            <w:tcW w:w="2410" w:type="dxa"/>
            <w:vAlign w:val="center"/>
          </w:tcPr>
          <w:p w:rsidR="007C52CE" w:rsidRDefault="00E15F09">
            <w:pPr>
              <w:jc w:val="left"/>
            </w:pPr>
            <w:r>
              <w:rPr>
                <w:rFonts w:eastAsiaTheme="minorEastAsia"/>
                <w:color w:val="000000" w:themeColor="text1"/>
                <w:sz w:val="24"/>
              </w:rPr>
              <w:t>中国香港</w:t>
            </w:r>
          </w:p>
        </w:tc>
        <w:tc>
          <w:tcPr>
            <w:tcW w:w="3118" w:type="dxa"/>
            <w:vAlign w:val="center"/>
          </w:tcPr>
          <w:p w:rsidR="007C52CE" w:rsidRDefault="00E15F09">
            <w:pPr>
              <w:jc w:val="right"/>
            </w:pPr>
            <w:r>
              <w:rPr>
                <w:rFonts w:eastAsiaTheme="minorEastAsia"/>
                <w:color w:val="000000" w:themeColor="text1"/>
                <w:sz w:val="24"/>
              </w:rPr>
              <w:t>200,218,533.36</w:t>
            </w:r>
          </w:p>
        </w:tc>
        <w:tc>
          <w:tcPr>
            <w:tcW w:w="3076" w:type="dxa"/>
            <w:vAlign w:val="center"/>
          </w:tcPr>
          <w:p w:rsidR="007C52CE" w:rsidRDefault="00E15F09">
            <w:pPr>
              <w:jc w:val="right"/>
            </w:pPr>
            <w:r>
              <w:rPr>
                <w:rFonts w:eastAsiaTheme="minorEastAsia"/>
                <w:color w:val="000000" w:themeColor="text1"/>
                <w:sz w:val="24"/>
              </w:rPr>
              <w:t>101.72</w:t>
            </w:r>
          </w:p>
        </w:tc>
      </w:tr>
      <w:tr w:rsidR="00EF0A05" w:rsidRPr="00C74EFF" w:rsidTr="001E2C91">
        <w:trPr>
          <w:jc w:val="center"/>
        </w:trPr>
        <w:tc>
          <w:tcPr>
            <w:tcW w:w="2410" w:type="dxa"/>
          </w:tcPr>
          <w:p w:rsidR="00596191" w:rsidRPr="00C74EFF" w:rsidRDefault="00596191" w:rsidP="001E2C91">
            <w:pPr>
              <w:autoSpaceDE w:val="0"/>
              <w:autoSpaceDN w:val="0"/>
              <w:adjustRightInd w:val="0"/>
              <w:spacing w:before="29" w:line="360" w:lineRule="auto"/>
              <w:jc w:val="center"/>
              <w:rPr>
                <w:rFonts w:eastAsiaTheme="minorEastAsia"/>
                <w:color w:val="000000" w:themeColor="text1"/>
                <w:sz w:val="24"/>
              </w:rPr>
            </w:pPr>
            <w:r w:rsidRPr="00C74EFF">
              <w:rPr>
                <w:rFonts w:eastAsiaTheme="minorEastAsia"/>
                <w:color w:val="000000" w:themeColor="text1"/>
                <w:sz w:val="24"/>
              </w:rPr>
              <w:t>合计</w:t>
            </w:r>
          </w:p>
        </w:tc>
        <w:tc>
          <w:tcPr>
            <w:tcW w:w="3118" w:type="dxa"/>
          </w:tcPr>
          <w:p w:rsidR="00596191" w:rsidRPr="00C74EFF" w:rsidRDefault="00596191" w:rsidP="001E2C91">
            <w:pPr>
              <w:autoSpaceDE w:val="0"/>
              <w:autoSpaceDN w:val="0"/>
              <w:adjustRightInd w:val="0"/>
              <w:spacing w:before="29" w:line="360" w:lineRule="auto"/>
              <w:jc w:val="right"/>
              <w:rPr>
                <w:rFonts w:eastAsiaTheme="minorEastAsia"/>
                <w:color w:val="000000" w:themeColor="text1"/>
                <w:sz w:val="24"/>
              </w:rPr>
            </w:pPr>
            <w:r w:rsidRPr="00C74EFF">
              <w:rPr>
                <w:rFonts w:eastAsiaTheme="minorEastAsia"/>
                <w:color w:val="000000" w:themeColor="text1"/>
                <w:sz w:val="24"/>
              </w:rPr>
              <w:t>200,218,533.36</w:t>
            </w:r>
          </w:p>
        </w:tc>
        <w:tc>
          <w:tcPr>
            <w:tcW w:w="3076" w:type="dxa"/>
          </w:tcPr>
          <w:p w:rsidR="00596191" w:rsidRPr="00C74EFF" w:rsidRDefault="00596191" w:rsidP="001E2C91">
            <w:pPr>
              <w:autoSpaceDE w:val="0"/>
              <w:autoSpaceDN w:val="0"/>
              <w:adjustRightInd w:val="0"/>
              <w:spacing w:before="29" w:line="360" w:lineRule="auto"/>
              <w:jc w:val="right"/>
              <w:rPr>
                <w:rFonts w:eastAsiaTheme="minorEastAsia"/>
                <w:color w:val="000000" w:themeColor="text1"/>
                <w:sz w:val="24"/>
              </w:rPr>
            </w:pPr>
            <w:r w:rsidRPr="00C74EFF">
              <w:rPr>
                <w:rFonts w:eastAsiaTheme="minorEastAsia"/>
                <w:color w:val="000000" w:themeColor="text1"/>
                <w:sz w:val="24"/>
              </w:rPr>
              <w:t>101.72</w:t>
            </w:r>
          </w:p>
        </w:tc>
      </w:tr>
    </w:tbl>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100C16" w:rsidRPr="00C74EFF" w:rsidRDefault="00100C16"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5.3 </w:t>
      </w:r>
      <w:r w:rsidRPr="00C74EFF">
        <w:rPr>
          <w:rFonts w:eastAsiaTheme="minorEastAsia"/>
          <w:b/>
          <w:color w:val="000000" w:themeColor="text1"/>
          <w:kern w:val="0"/>
          <w:sz w:val="24"/>
        </w:rPr>
        <w:t>报告期末按行业分类的股票及存托凭证投资组合</w:t>
      </w:r>
    </w:p>
    <w:p w:rsidR="00100C16" w:rsidRPr="00C74EFF" w:rsidRDefault="00100C16"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5.3.1</w:t>
      </w:r>
      <w:r w:rsidRPr="00C74EFF">
        <w:rPr>
          <w:rFonts w:eastAsiaTheme="minorEastAsia"/>
          <w:b/>
          <w:color w:val="000000" w:themeColor="text1"/>
          <w:kern w:val="0"/>
          <w:sz w:val="24"/>
        </w:rPr>
        <w:t>报告期末指数投资按行业分类的股票及存托凭证投资组合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EF0A05" w:rsidRPr="00C74EFF" w:rsidTr="00276E7D">
        <w:tc>
          <w:tcPr>
            <w:tcW w:w="2787" w:type="dxa"/>
            <w:vAlign w:val="center"/>
          </w:tcPr>
          <w:p w:rsidR="00BF2DDD" w:rsidRPr="00C74EFF" w:rsidRDefault="00BF2DDD" w:rsidP="00276E7D">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行业类别</w:t>
            </w:r>
          </w:p>
        </w:tc>
        <w:tc>
          <w:tcPr>
            <w:tcW w:w="2551" w:type="dxa"/>
            <w:vAlign w:val="center"/>
          </w:tcPr>
          <w:p w:rsidR="00BF2DDD" w:rsidRPr="00C74EFF" w:rsidRDefault="00BF2DDD" w:rsidP="00276E7D">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公允价值（人民币元）</w:t>
            </w:r>
          </w:p>
        </w:tc>
        <w:tc>
          <w:tcPr>
            <w:tcW w:w="3175" w:type="dxa"/>
            <w:vAlign w:val="center"/>
          </w:tcPr>
          <w:p w:rsidR="00BF2DDD" w:rsidRPr="00C74EFF" w:rsidRDefault="00BF2DDD" w:rsidP="00276E7D">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占基金资产净值比例（％）</w:t>
            </w:r>
          </w:p>
        </w:tc>
      </w:tr>
      <w:tr w:rsidR="007C52CE">
        <w:tc>
          <w:tcPr>
            <w:tcW w:w="2787" w:type="dxa"/>
            <w:vAlign w:val="center"/>
          </w:tcPr>
          <w:p w:rsidR="007C52CE" w:rsidRDefault="00E15F09">
            <w:pPr>
              <w:jc w:val="left"/>
            </w:pPr>
            <w:r>
              <w:rPr>
                <w:color w:val="000000" w:themeColor="text1"/>
                <w:sz w:val="24"/>
              </w:rPr>
              <w:t>消费者非必需品</w:t>
            </w:r>
          </w:p>
        </w:tc>
        <w:tc>
          <w:tcPr>
            <w:tcW w:w="2551" w:type="dxa"/>
            <w:vAlign w:val="center"/>
          </w:tcPr>
          <w:p w:rsidR="007C52CE" w:rsidRDefault="00E15F09">
            <w:pPr>
              <w:jc w:val="right"/>
            </w:pPr>
            <w:r>
              <w:rPr>
                <w:color w:val="000000" w:themeColor="text1"/>
                <w:sz w:val="24"/>
              </w:rPr>
              <w:t>84,773,106.79</w:t>
            </w:r>
          </w:p>
        </w:tc>
        <w:tc>
          <w:tcPr>
            <w:tcW w:w="3175" w:type="dxa"/>
            <w:vAlign w:val="center"/>
          </w:tcPr>
          <w:p w:rsidR="007C52CE" w:rsidRDefault="00E15F09">
            <w:pPr>
              <w:jc w:val="right"/>
            </w:pPr>
            <w:r>
              <w:rPr>
                <w:color w:val="000000" w:themeColor="text1"/>
                <w:sz w:val="24"/>
              </w:rPr>
              <w:t>43.07</w:t>
            </w:r>
          </w:p>
        </w:tc>
      </w:tr>
      <w:tr w:rsidR="007C52CE">
        <w:tc>
          <w:tcPr>
            <w:tcW w:w="2787" w:type="dxa"/>
            <w:vAlign w:val="center"/>
          </w:tcPr>
          <w:p w:rsidR="007C52CE" w:rsidRDefault="00E15F09">
            <w:pPr>
              <w:jc w:val="left"/>
            </w:pPr>
            <w:r>
              <w:rPr>
                <w:color w:val="000000" w:themeColor="text1"/>
                <w:sz w:val="24"/>
              </w:rPr>
              <w:t>电信服务</w:t>
            </w:r>
          </w:p>
        </w:tc>
        <w:tc>
          <w:tcPr>
            <w:tcW w:w="2551" w:type="dxa"/>
            <w:vAlign w:val="center"/>
          </w:tcPr>
          <w:p w:rsidR="007C52CE" w:rsidRDefault="00E15F09">
            <w:pPr>
              <w:jc w:val="right"/>
            </w:pPr>
            <w:r>
              <w:rPr>
                <w:color w:val="000000" w:themeColor="text1"/>
                <w:sz w:val="24"/>
              </w:rPr>
              <w:t>59,085,916.54</w:t>
            </w:r>
          </w:p>
        </w:tc>
        <w:tc>
          <w:tcPr>
            <w:tcW w:w="3175" w:type="dxa"/>
            <w:vAlign w:val="center"/>
          </w:tcPr>
          <w:p w:rsidR="007C52CE" w:rsidRDefault="00E15F09">
            <w:pPr>
              <w:jc w:val="right"/>
            </w:pPr>
            <w:r>
              <w:rPr>
                <w:color w:val="000000" w:themeColor="text1"/>
                <w:sz w:val="24"/>
              </w:rPr>
              <w:t>30.02</w:t>
            </w:r>
          </w:p>
        </w:tc>
      </w:tr>
      <w:tr w:rsidR="007C52CE">
        <w:tc>
          <w:tcPr>
            <w:tcW w:w="2787" w:type="dxa"/>
            <w:vAlign w:val="center"/>
          </w:tcPr>
          <w:p w:rsidR="007C52CE" w:rsidRDefault="00E15F09">
            <w:pPr>
              <w:jc w:val="left"/>
            </w:pPr>
            <w:r>
              <w:rPr>
                <w:color w:val="000000" w:themeColor="text1"/>
                <w:sz w:val="24"/>
              </w:rPr>
              <w:t>信息技术</w:t>
            </w:r>
          </w:p>
        </w:tc>
        <w:tc>
          <w:tcPr>
            <w:tcW w:w="2551" w:type="dxa"/>
            <w:vAlign w:val="center"/>
          </w:tcPr>
          <w:p w:rsidR="007C52CE" w:rsidRDefault="00E15F09">
            <w:pPr>
              <w:jc w:val="right"/>
            </w:pPr>
            <w:r>
              <w:rPr>
                <w:color w:val="000000" w:themeColor="text1"/>
                <w:sz w:val="24"/>
              </w:rPr>
              <w:t>48,400,522.30</w:t>
            </w:r>
          </w:p>
        </w:tc>
        <w:tc>
          <w:tcPr>
            <w:tcW w:w="3175" w:type="dxa"/>
            <w:vAlign w:val="center"/>
          </w:tcPr>
          <w:p w:rsidR="007C52CE" w:rsidRDefault="00E15F09">
            <w:pPr>
              <w:jc w:val="right"/>
            </w:pPr>
            <w:r>
              <w:rPr>
                <w:color w:val="000000" w:themeColor="text1"/>
                <w:sz w:val="24"/>
              </w:rPr>
              <w:t>24.59</w:t>
            </w:r>
          </w:p>
        </w:tc>
      </w:tr>
      <w:tr w:rsidR="007C52CE">
        <w:tc>
          <w:tcPr>
            <w:tcW w:w="2787" w:type="dxa"/>
            <w:vAlign w:val="center"/>
          </w:tcPr>
          <w:p w:rsidR="007C52CE" w:rsidRDefault="00E15F09">
            <w:pPr>
              <w:jc w:val="left"/>
            </w:pPr>
            <w:r>
              <w:rPr>
                <w:color w:val="000000" w:themeColor="text1"/>
                <w:sz w:val="24"/>
              </w:rPr>
              <w:t>消费者常用品</w:t>
            </w:r>
          </w:p>
        </w:tc>
        <w:tc>
          <w:tcPr>
            <w:tcW w:w="2551" w:type="dxa"/>
            <w:vAlign w:val="center"/>
          </w:tcPr>
          <w:p w:rsidR="007C52CE" w:rsidRDefault="00E15F09">
            <w:pPr>
              <w:jc w:val="right"/>
            </w:pPr>
            <w:r>
              <w:rPr>
                <w:color w:val="000000" w:themeColor="text1"/>
                <w:sz w:val="24"/>
              </w:rPr>
              <w:t>5,901,889.80</w:t>
            </w:r>
          </w:p>
        </w:tc>
        <w:tc>
          <w:tcPr>
            <w:tcW w:w="3175" w:type="dxa"/>
            <w:vAlign w:val="center"/>
          </w:tcPr>
          <w:p w:rsidR="007C52CE" w:rsidRDefault="00E15F09">
            <w:pPr>
              <w:jc w:val="right"/>
            </w:pPr>
            <w:r>
              <w:rPr>
                <w:color w:val="000000" w:themeColor="text1"/>
                <w:sz w:val="24"/>
              </w:rPr>
              <w:t>3.00</w:t>
            </w:r>
          </w:p>
        </w:tc>
      </w:tr>
      <w:tr w:rsidR="007C52CE">
        <w:tc>
          <w:tcPr>
            <w:tcW w:w="2787" w:type="dxa"/>
            <w:vAlign w:val="center"/>
          </w:tcPr>
          <w:p w:rsidR="007C52CE" w:rsidRDefault="00E15F09">
            <w:pPr>
              <w:jc w:val="left"/>
            </w:pPr>
            <w:r>
              <w:rPr>
                <w:color w:val="000000" w:themeColor="text1"/>
                <w:sz w:val="24"/>
              </w:rPr>
              <w:t>金融</w:t>
            </w:r>
          </w:p>
        </w:tc>
        <w:tc>
          <w:tcPr>
            <w:tcW w:w="2551" w:type="dxa"/>
            <w:vAlign w:val="center"/>
          </w:tcPr>
          <w:p w:rsidR="007C52CE" w:rsidRDefault="00E15F09">
            <w:pPr>
              <w:jc w:val="right"/>
            </w:pPr>
            <w:r>
              <w:rPr>
                <w:color w:val="000000" w:themeColor="text1"/>
                <w:sz w:val="24"/>
              </w:rPr>
              <w:t>1,222,709.31</w:t>
            </w:r>
          </w:p>
        </w:tc>
        <w:tc>
          <w:tcPr>
            <w:tcW w:w="3175" w:type="dxa"/>
            <w:vAlign w:val="center"/>
          </w:tcPr>
          <w:p w:rsidR="007C52CE" w:rsidRDefault="00E15F09">
            <w:pPr>
              <w:jc w:val="right"/>
            </w:pPr>
            <w:r>
              <w:rPr>
                <w:color w:val="000000" w:themeColor="text1"/>
                <w:sz w:val="24"/>
              </w:rPr>
              <w:t>0.62</w:t>
            </w:r>
          </w:p>
        </w:tc>
      </w:tr>
      <w:tr w:rsidR="007C52CE">
        <w:tc>
          <w:tcPr>
            <w:tcW w:w="2787" w:type="dxa"/>
            <w:vAlign w:val="center"/>
          </w:tcPr>
          <w:p w:rsidR="007C52CE" w:rsidRDefault="00E15F09">
            <w:pPr>
              <w:jc w:val="left"/>
            </w:pPr>
            <w:r>
              <w:rPr>
                <w:color w:val="000000" w:themeColor="text1"/>
                <w:sz w:val="24"/>
              </w:rPr>
              <w:t>医疗保健</w:t>
            </w:r>
          </w:p>
        </w:tc>
        <w:tc>
          <w:tcPr>
            <w:tcW w:w="2551" w:type="dxa"/>
            <w:vAlign w:val="center"/>
          </w:tcPr>
          <w:p w:rsidR="007C52CE" w:rsidRDefault="00E15F09">
            <w:pPr>
              <w:jc w:val="right"/>
            </w:pPr>
            <w:r>
              <w:rPr>
                <w:color w:val="000000" w:themeColor="text1"/>
                <w:sz w:val="24"/>
              </w:rPr>
              <w:t>834,388.62</w:t>
            </w:r>
          </w:p>
        </w:tc>
        <w:tc>
          <w:tcPr>
            <w:tcW w:w="3175" w:type="dxa"/>
            <w:vAlign w:val="center"/>
          </w:tcPr>
          <w:p w:rsidR="007C52CE" w:rsidRDefault="00E15F09">
            <w:pPr>
              <w:jc w:val="right"/>
            </w:pPr>
            <w:r>
              <w:rPr>
                <w:color w:val="000000" w:themeColor="text1"/>
                <w:sz w:val="24"/>
              </w:rPr>
              <w:t>0.42</w:t>
            </w:r>
          </w:p>
        </w:tc>
      </w:tr>
      <w:tr w:rsidR="00EF0A05" w:rsidRPr="00C74EFF" w:rsidTr="00276E7D">
        <w:tc>
          <w:tcPr>
            <w:tcW w:w="2787" w:type="dxa"/>
            <w:vAlign w:val="center"/>
          </w:tcPr>
          <w:p w:rsidR="00511AC1" w:rsidRPr="00C74EFF" w:rsidRDefault="00511AC1" w:rsidP="00276E7D">
            <w:pPr>
              <w:autoSpaceDE w:val="0"/>
              <w:autoSpaceDN w:val="0"/>
              <w:adjustRightInd w:val="0"/>
              <w:spacing w:before="29" w:line="360" w:lineRule="auto"/>
              <w:ind w:left="15"/>
              <w:jc w:val="center"/>
              <w:rPr>
                <w:color w:val="000000" w:themeColor="text1"/>
                <w:sz w:val="24"/>
              </w:rPr>
            </w:pPr>
            <w:bookmarkStart w:id="0" w:name="_GoBack"/>
            <w:bookmarkEnd w:id="0"/>
            <w:r w:rsidRPr="00C74EFF">
              <w:rPr>
                <w:color w:val="000000" w:themeColor="text1"/>
                <w:sz w:val="24"/>
              </w:rPr>
              <w:t>合计</w:t>
            </w:r>
          </w:p>
        </w:tc>
        <w:tc>
          <w:tcPr>
            <w:tcW w:w="2551" w:type="dxa"/>
            <w:vAlign w:val="center"/>
          </w:tcPr>
          <w:p w:rsidR="00511AC1" w:rsidRPr="00C74EFF" w:rsidRDefault="00511AC1" w:rsidP="002E6AC6">
            <w:pPr>
              <w:spacing w:line="360" w:lineRule="auto"/>
              <w:jc w:val="right"/>
              <w:rPr>
                <w:color w:val="000000" w:themeColor="text1"/>
                <w:sz w:val="24"/>
              </w:rPr>
            </w:pPr>
            <w:r w:rsidRPr="00C74EFF">
              <w:rPr>
                <w:color w:val="000000" w:themeColor="text1"/>
                <w:sz w:val="24"/>
              </w:rPr>
              <w:t>200,218,533.36</w:t>
            </w:r>
          </w:p>
        </w:tc>
        <w:tc>
          <w:tcPr>
            <w:tcW w:w="3175" w:type="dxa"/>
            <w:vAlign w:val="center"/>
          </w:tcPr>
          <w:p w:rsidR="00511AC1" w:rsidRPr="00C74EFF" w:rsidRDefault="00511AC1" w:rsidP="002E6AC6">
            <w:pPr>
              <w:spacing w:line="360" w:lineRule="auto"/>
              <w:jc w:val="right"/>
              <w:rPr>
                <w:color w:val="000000" w:themeColor="text1"/>
                <w:sz w:val="24"/>
              </w:rPr>
            </w:pPr>
            <w:r w:rsidRPr="00C74EFF">
              <w:rPr>
                <w:color w:val="000000" w:themeColor="text1"/>
                <w:sz w:val="24"/>
              </w:rPr>
              <w:t>101.72</w:t>
            </w:r>
          </w:p>
        </w:tc>
      </w:tr>
    </w:tbl>
    <w:p w:rsidR="00BF2DDD" w:rsidRPr="00C74EFF" w:rsidRDefault="00BF2DDD" w:rsidP="00BF2DDD">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注：以上分类采用全球行业分类标准</w:t>
      </w:r>
      <w:r w:rsidRPr="00C74EFF">
        <w:rPr>
          <w:rFonts w:eastAsiaTheme="minorEastAsia"/>
          <w:color w:val="000000" w:themeColor="text1"/>
          <w:sz w:val="24"/>
        </w:rPr>
        <w:t>(GICS)</w:t>
      </w:r>
      <w:r w:rsidRPr="00C74EFF">
        <w:rPr>
          <w:rFonts w:eastAsiaTheme="minorEastAsia"/>
          <w:color w:val="000000" w:themeColor="text1"/>
          <w:sz w:val="24"/>
        </w:rPr>
        <w:t>。</w:t>
      </w:r>
      <w:r w:rsidRPr="00C74EFF">
        <w:rPr>
          <w:rFonts w:eastAsiaTheme="minorEastAsia"/>
          <w:color w:val="000000" w:themeColor="text1"/>
          <w:sz w:val="24"/>
        </w:rPr>
        <w:t xml:space="preserve"> </w:t>
      </w:r>
    </w:p>
    <w:p w:rsidR="00100C16" w:rsidRPr="00C74EFF" w:rsidRDefault="00100C16"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5.3.2</w:t>
        </w:r>
      </w:smartTag>
      <w:r w:rsidRPr="00C74EFF">
        <w:rPr>
          <w:rFonts w:eastAsiaTheme="minorEastAsia"/>
          <w:b/>
          <w:color w:val="000000" w:themeColor="text1"/>
          <w:kern w:val="0"/>
          <w:sz w:val="24"/>
        </w:rPr>
        <w:t>报告期末积极投资按行业分类的股票及存托凭证投资组合</w:t>
      </w:r>
    </w:p>
    <w:p w:rsidR="00100C16" w:rsidRPr="00C74EFF" w:rsidRDefault="00F718C1" w:rsidP="00100C16">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本基金本报告期末未持有积极投资股票。</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5.4 </w:t>
      </w:r>
      <w:r w:rsidRPr="00C74EFF">
        <w:rPr>
          <w:rFonts w:eastAsiaTheme="minorEastAsia"/>
          <w:b/>
          <w:color w:val="000000" w:themeColor="text1"/>
          <w:kern w:val="0"/>
          <w:sz w:val="24"/>
        </w:rPr>
        <w:t>报告期末按公允价值占基金资产净值比例大小排序的股票及存托凭证投资明细</w:t>
      </w:r>
    </w:p>
    <w:p w:rsidR="001D79D5" w:rsidRDefault="001D79D5"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5.4.1</w:t>
        </w:r>
      </w:smartTag>
      <w:r w:rsidRPr="00C74EFF">
        <w:rPr>
          <w:rFonts w:eastAsiaTheme="minorEastAsia"/>
          <w:b/>
          <w:color w:val="000000" w:themeColor="text1"/>
          <w:kern w:val="0"/>
          <w:sz w:val="24"/>
        </w:rPr>
        <w:t>期末指数投资按公允价值占基金资产净值比例大小排序的前</w:t>
      </w:r>
      <w:r w:rsidR="001522EE" w:rsidRPr="00C74EFF">
        <w:rPr>
          <w:rFonts w:eastAsiaTheme="minorEastAsia"/>
          <w:b/>
          <w:color w:val="000000" w:themeColor="text1"/>
          <w:kern w:val="0"/>
          <w:sz w:val="24"/>
        </w:rPr>
        <w:t>十</w:t>
      </w:r>
      <w:r w:rsidRPr="00C74EFF">
        <w:rPr>
          <w:rFonts w:eastAsiaTheme="minorEastAsia"/>
          <w:b/>
          <w:color w:val="000000" w:themeColor="text1"/>
          <w:kern w:val="0"/>
          <w:sz w:val="24"/>
        </w:rPr>
        <w:t>名股票及存托凭证投资明细</w:t>
      </w:r>
    </w:p>
    <w:tbl>
      <w:tblPr>
        <w:tblStyle w:val="afa"/>
        <w:tblW w:w="0" w:type="auto"/>
        <w:tblInd w:w="15" w:type="dxa"/>
        <w:tblLook w:val="04A0" w:firstRow="1" w:lastRow="0" w:firstColumn="1" w:lastColumn="0" w:noHBand="0" w:noVBand="1"/>
      </w:tblPr>
      <w:tblGrid>
        <w:gridCol w:w="501"/>
        <w:gridCol w:w="1477"/>
        <w:gridCol w:w="737"/>
        <w:gridCol w:w="719"/>
        <w:gridCol w:w="592"/>
        <w:gridCol w:w="751"/>
        <w:gridCol w:w="1176"/>
        <w:gridCol w:w="1596"/>
        <w:gridCol w:w="964"/>
      </w:tblGrid>
      <w:tr w:rsidR="00CE49E2" w:rsidRPr="00C74EFF" w:rsidTr="005959D1">
        <w:tc>
          <w:tcPr>
            <w:tcW w:w="817" w:type="dxa"/>
            <w:vAlign w:val="center"/>
          </w:tcPr>
          <w:p w:rsidR="00CE49E2" w:rsidRPr="00C74EFF" w:rsidRDefault="00CE49E2" w:rsidP="005959D1">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序号</w:t>
            </w:r>
          </w:p>
        </w:tc>
        <w:tc>
          <w:tcPr>
            <w:tcW w:w="816" w:type="dxa"/>
            <w:vAlign w:val="center"/>
          </w:tcPr>
          <w:p w:rsidR="00CE49E2" w:rsidRPr="00C74EFF" w:rsidRDefault="00CE49E2" w:rsidP="005959D1">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公司名称（英文）</w:t>
            </w:r>
          </w:p>
        </w:tc>
        <w:tc>
          <w:tcPr>
            <w:tcW w:w="962" w:type="dxa"/>
            <w:vAlign w:val="center"/>
          </w:tcPr>
          <w:p w:rsidR="00CE49E2" w:rsidRPr="00C74EFF" w:rsidRDefault="00CE49E2" w:rsidP="005959D1">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公司名称（中文）</w:t>
            </w:r>
          </w:p>
        </w:tc>
        <w:tc>
          <w:tcPr>
            <w:tcW w:w="962" w:type="dxa"/>
            <w:vAlign w:val="center"/>
          </w:tcPr>
          <w:p w:rsidR="00CE49E2" w:rsidRPr="00C74EFF" w:rsidRDefault="00CE49E2" w:rsidP="005959D1">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证券代码</w:t>
            </w:r>
          </w:p>
        </w:tc>
        <w:tc>
          <w:tcPr>
            <w:tcW w:w="816" w:type="dxa"/>
            <w:vAlign w:val="center"/>
          </w:tcPr>
          <w:p w:rsidR="00CE49E2" w:rsidRPr="00C74EFF" w:rsidRDefault="00CE49E2" w:rsidP="005959D1">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所在证</w:t>
            </w:r>
          </w:p>
          <w:p w:rsidR="00CE49E2" w:rsidRPr="00C74EFF" w:rsidRDefault="00CE49E2" w:rsidP="005959D1">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券</w:t>
            </w:r>
            <w:r w:rsidRPr="00C74EFF">
              <w:rPr>
                <w:rFonts w:eastAsiaTheme="minorEastAsia"/>
                <w:color w:val="000000" w:themeColor="text1"/>
                <w:sz w:val="24"/>
              </w:rPr>
              <w:lastRenderedPageBreak/>
              <w:t>市场</w:t>
            </w:r>
          </w:p>
        </w:tc>
        <w:tc>
          <w:tcPr>
            <w:tcW w:w="962" w:type="dxa"/>
            <w:vAlign w:val="center"/>
          </w:tcPr>
          <w:p w:rsidR="00CE49E2" w:rsidRPr="00C74EFF" w:rsidRDefault="00CE49E2" w:rsidP="005959D1">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lastRenderedPageBreak/>
              <w:t>所属国家</w:t>
            </w:r>
          </w:p>
          <w:p w:rsidR="00CE49E2" w:rsidRPr="00C74EFF" w:rsidRDefault="00CE49E2" w:rsidP="005959D1">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（地区</w:t>
            </w:r>
            <w:r w:rsidRPr="00C74EFF">
              <w:rPr>
                <w:rFonts w:eastAsiaTheme="minorEastAsia"/>
                <w:color w:val="000000" w:themeColor="text1"/>
                <w:sz w:val="24"/>
              </w:rPr>
              <w:t>)</w:t>
            </w:r>
          </w:p>
        </w:tc>
        <w:tc>
          <w:tcPr>
            <w:tcW w:w="1108" w:type="dxa"/>
            <w:vAlign w:val="center"/>
          </w:tcPr>
          <w:p w:rsidR="00CE49E2" w:rsidRPr="00C74EFF" w:rsidRDefault="00CE49E2" w:rsidP="005959D1">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数量</w:t>
            </w:r>
          </w:p>
          <w:p w:rsidR="00CE49E2" w:rsidRPr="00C74EFF" w:rsidRDefault="00CE49E2" w:rsidP="005959D1">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（股）</w:t>
            </w:r>
          </w:p>
        </w:tc>
        <w:tc>
          <w:tcPr>
            <w:tcW w:w="962" w:type="dxa"/>
            <w:vAlign w:val="center"/>
          </w:tcPr>
          <w:p w:rsidR="00CE49E2" w:rsidRPr="00C74EFF" w:rsidRDefault="00CE49E2" w:rsidP="005959D1">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公允价值（人民币元）</w:t>
            </w:r>
          </w:p>
        </w:tc>
        <w:tc>
          <w:tcPr>
            <w:tcW w:w="1108" w:type="dxa"/>
            <w:vAlign w:val="center"/>
          </w:tcPr>
          <w:p w:rsidR="00CE49E2" w:rsidRPr="00C74EFF" w:rsidRDefault="00CE49E2" w:rsidP="005959D1">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占基金资产净值比例（％）</w:t>
            </w:r>
          </w:p>
        </w:tc>
      </w:tr>
      <w:tr w:rsidR="00CE49E2" w:rsidTr="005959D1">
        <w:tc>
          <w:tcPr>
            <w:tcW w:w="0" w:type="auto"/>
            <w:vAlign w:val="center"/>
          </w:tcPr>
          <w:p w:rsidR="00CE49E2" w:rsidRDefault="00CE49E2" w:rsidP="005959D1">
            <w:pPr>
              <w:jc w:val="center"/>
            </w:pPr>
            <w:r>
              <w:rPr>
                <w:rFonts w:eastAsiaTheme="minorEastAsia"/>
                <w:color w:val="000000" w:themeColor="text1"/>
                <w:sz w:val="24"/>
              </w:rPr>
              <w:t>1</w:t>
            </w:r>
          </w:p>
        </w:tc>
        <w:tc>
          <w:tcPr>
            <w:tcW w:w="0" w:type="auto"/>
            <w:vAlign w:val="center"/>
          </w:tcPr>
          <w:p w:rsidR="00CE49E2" w:rsidRDefault="00CE49E2" w:rsidP="005959D1">
            <w:pPr>
              <w:jc w:val="center"/>
            </w:pPr>
            <w:r>
              <w:rPr>
                <w:rFonts w:eastAsiaTheme="minorEastAsia"/>
                <w:color w:val="000000" w:themeColor="text1"/>
                <w:sz w:val="24"/>
              </w:rPr>
              <w:t>Meituan</w:t>
            </w:r>
          </w:p>
        </w:tc>
        <w:tc>
          <w:tcPr>
            <w:tcW w:w="0" w:type="auto"/>
            <w:vAlign w:val="center"/>
          </w:tcPr>
          <w:p w:rsidR="00CE49E2" w:rsidRDefault="00CE49E2" w:rsidP="005959D1">
            <w:pPr>
              <w:jc w:val="center"/>
            </w:pPr>
            <w:r>
              <w:rPr>
                <w:rFonts w:eastAsiaTheme="minorEastAsia"/>
                <w:color w:val="000000" w:themeColor="text1"/>
                <w:sz w:val="24"/>
              </w:rPr>
              <w:t>美团</w:t>
            </w:r>
          </w:p>
        </w:tc>
        <w:tc>
          <w:tcPr>
            <w:tcW w:w="0" w:type="auto"/>
            <w:vAlign w:val="center"/>
          </w:tcPr>
          <w:p w:rsidR="00CE49E2" w:rsidRDefault="00CE49E2" w:rsidP="005959D1">
            <w:pPr>
              <w:jc w:val="center"/>
            </w:pPr>
            <w:r>
              <w:rPr>
                <w:rFonts w:eastAsiaTheme="minorEastAsia"/>
                <w:color w:val="000000" w:themeColor="text1"/>
                <w:sz w:val="24"/>
              </w:rPr>
              <w:t>3690</w:t>
            </w:r>
          </w:p>
        </w:tc>
        <w:tc>
          <w:tcPr>
            <w:tcW w:w="0" w:type="auto"/>
            <w:vAlign w:val="center"/>
          </w:tcPr>
          <w:p w:rsidR="00CE49E2" w:rsidRDefault="00CE49E2" w:rsidP="005959D1">
            <w:pPr>
              <w:jc w:val="center"/>
            </w:pPr>
            <w:r>
              <w:rPr>
                <w:rFonts w:eastAsiaTheme="minorEastAsia"/>
                <w:color w:val="000000" w:themeColor="text1"/>
                <w:sz w:val="24"/>
              </w:rPr>
              <w:t>香港证券交易所</w:t>
            </w:r>
          </w:p>
        </w:tc>
        <w:tc>
          <w:tcPr>
            <w:tcW w:w="0" w:type="auto"/>
            <w:vAlign w:val="center"/>
          </w:tcPr>
          <w:p w:rsidR="00CE49E2" w:rsidRDefault="00CE49E2" w:rsidP="005959D1">
            <w:pPr>
              <w:jc w:val="center"/>
            </w:pPr>
            <w:r>
              <w:rPr>
                <w:rFonts w:eastAsiaTheme="minorEastAsia"/>
                <w:color w:val="000000" w:themeColor="text1"/>
                <w:sz w:val="24"/>
              </w:rPr>
              <w:t>中国香港</w:t>
            </w:r>
          </w:p>
        </w:tc>
        <w:tc>
          <w:tcPr>
            <w:tcW w:w="0" w:type="auto"/>
            <w:vAlign w:val="center"/>
          </w:tcPr>
          <w:p w:rsidR="00CE49E2" w:rsidRDefault="00CE49E2" w:rsidP="005959D1">
            <w:pPr>
              <w:jc w:val="right"/>
            </w:pPr>
            <w:r>
              <w:rPr>
                <w:rFonts w:eastAsiaTheme="minorEastAsia"/>
                <w:color w:val="000000" w:themeColor="text1"/>
                <w:sz w:val="24"/>
              </w:rPr>
              <w:t>223,850</w:t>
            </w:r>
          </w:p>
        </w:tc>
        <w:tc>
          <w:tcPr>
            <w:tcW w:w="0" w:type="auto"/>
            <w:vAlign w:val="center"/>
          </w:tcPr>
          <w:p w:rsidR="00CE49E2" w:rsidRDefault="00CE49E2" w:rsidP="005959D1">
            <w:pPr>
              <w:jc w:val="right"/>
            </w:pPr>
            <w:r>
              <w:rPr>
                <w:rFonts w:eastAsiaTheme="minorEastAsia"/>
                <w:color w:val="000000" w:themeColor="text1"/>
                <w:sz w:val="24"/>
              </w:rPr>
              <w:t>19,643,741.85</w:t>
            </w:r>
          </w:p>
        </w:tc>
        <w:tc>
          <w:tcPr>
            <w:tcW w:w="0" w:type="auto"/>
            <w:vAlign w:val="center"/>
          </w:tcPr>
          <w:p w:rsidR="00CE49E2" w:rsidRDefault="00CE49E2" w:rsidP="005959D1">
            <w:pPr>
              <w:jc w:val="right"/>
            </w:pPr>
            <w:r>
              <w:rPr>
                <w:rFonts w:eastAsiaTheme="minorEastAsia"/>
                <w:color w:val="000000" w:themeColor="text1"/>
                <w:sz w:val="24"/>
              </w:rPr>
              <w:t>9.98</w:t>
            </w:r>
          </w:p>
        </w:tc>
      </w:tr>
      <w:tr w:rsidR="00CE49E2" w:rsidTr="005959D1">
        <w:tc>
          <w:tcPr>
            <w:tcW w:w="0" w:type="auto"/>
            <w:vAlign w:val="center"/>
          </w:tcPr>
          <w:p w:rsidR="00CE49E2" w:rsidRDefault="00CE49E2" w:rsidP="005959D1">
            <w:pPr>
              <w:jc w:val="center"/>
            </w:pPr>
            <w:r>
              <w:rPr>
                <w:rFonts w:eastAsiaTheme="minorEastAsia"/>
                <w:color w:val="000000" w:themeColor="text1"/>
                <w:sz w:val="24"/>
              </w:rPr>
              <w:t>2</w:t>
            </w:r>
          </w:p>
        </w:tc>
        <w:tc>
          <w:tcPr>
            <w:tcW w:w="0" w:type="auto"/>
            <w:vAlign w:val="center"/>
          </w:tcPr>
          <w:p w:rsidR="00CE49E2" w:rsidRDefault="00CE49E2" w:rsidP="005959D1">
            <w:pPr>
              <w:jc w:val="center"/>
            </w:pPr>
            <w:r>
              <w:rPr>
                <w:rFonts w:eastAsiaTheme="minorEastAsia"/>
                <w:color w:val="000000" w:themeColor="text1"/>
                <w:sz w:val="24"/>
              </w:rPr>
              <w:t>Xiaomi Corp</w:t>
            </w:r>
          </w:p>
        </w:tc>
        <w:tc>
          <w:tcPr>
            <w:tcW w:w="0" w:type="auto"/>
            <w:vAlign w:val="center"/>
          </w:tcPr>
          <w:p w:rsidR="00CE49E2" w:rsidRDefault="00CE49E2" w:rsidP="005959D1">
            <w:pPr>
              <w:jc w:val="center"/>
            </w:pPr>
            <w:r>
              <w:rPr>
                <w:rFonts w:eastAsiaTheme="minorEastAsia"/>
                <w:color w:val="000000" w:themeColor="text1"/>
                <w:sz w:val="24"/>
              </w:rPr>
              <w:t>小米集团</w:t>
            </w:r>
          </w:p>
        </w:tc>
        <w:tc>
          <w:tcPr>
            <w:tcW w:w="0" w:type="auto"/>
            <w:vAlign w:val="center"/>
          </w:tcPr>
          <w:p w:rsidR="00CE49E2" w:rsidRDefault="00CE49E2" w:rsidP="005959D1">
            <w:pPr>
              <w:jc w:val="center"/>
            </w:pPr>
            <w:r>
              <w:rPr>
                <w:rFonts w:eastAsiaTheme="minorEastAsia"/>
                <w:color w:val="000000" w:themeColor="text1"/>
                <w:sz w:val="24"/>
              </w:rPr>
              <w:t>1810</w:t>
            </w:r>
          </w:p>
        </w:tc>
        <w:tc>
          <w:tcPr>
            <w:tcW w:w="0" w:type="auto"/>
            <w:vAlign w:val="center"/>
          </w:tcPr>
          <w:p w:rsidR="00CE49E2" w:rsidRDefault="00CE49E2" w:rsidP="005959D1">
            <w:pPr>
              <w:jc w:val="center"/>
            </w:pPr>
            <w:r>
              <w:rPr>
                <w:rFonts w:eastAsiaTheme="minorEastAsia"/>
                <w:color w:val="000000" w:themeColor="text1"/>
                <w:sz w:val="24"/>
              </w:rPr>
              <w:t>香港证券交易所</w:t>
            </w:r>
          </w:p>
        </w:tc>
        <w:tc>
          <w:tcPr>
            <w:tcW w:w="0" w:type="auto"/>
            <w:vAlign w:val="center"/>
          </w:tcPr>
          <w:p w:rsidR="00CE49E2" w:rsidRDefault="00CE49E2" w:rsidP="005959D1">
            <w:pPr>
              <w:jc w:val="center"/>
            </w:pPr>
            <w:r>
              <w:rPr>
                <w:rFonts w:eastAsiaTheme="minorEastAsia"/>
                <w:color w:val="000000" w:themeColor="text1"/>
                <w:sz w:val="24"/>
              </w:rPr>
              <w:t>中国香港</w:t>
            </w:r>
          </w:p>
        </w:tc>
        <w:tc>
          <w:tcPr>
            <w:tcW w:w="0" w:type="auto"/>
            <w:vAlign w:val="center"/>
          </w:tcPr>
          <w:p w:rsidR="00CE49E2" w:rsidRDefault="00CE49E2" w:rsidP="005959D1">
            <w:pPr>
              <w:jc w:val="right"/>
            </w:pPr>
            <w:r>
              <w:rPr>
                <w:rFonts w:eastAsiaTheme="minorEastAsia"/>
                <w:color w:val="000000" w:themeColor="text1"/>
                <w:sz w:val="24"/>
              </w:rPr>
              <w:t>1,355,600</w:t>
            </w:r>
          </w:p>
        </w:tc>
        <w:tc>
          <w:tcPr>
            <w:tcW w:w="0" w:type="auto"/>
            <w:vAlign w:val="center"/>
          </w:tcPr>
          <w:p w:rsidR="00CE49E2" w:rsidRDefault="00CE49E2" w:rsidP="005959D1">
            <w:pPr>
              <w:jc w:val="right"/>
            </w:pPr>
            <w:r>
              <w:rPr>
                <w:rFonts w:eastAsiaTheme="minorEastAsia"/>
                <w:color w:val="000000" w:themeColor="text1"/>
                <w:sz w:val="24"/>
              </w:rPr>
              <w:t>18,360,052.55</w:t>
            </w:r>
          </w:p>
        </w:tc>
        <w:tc>
          <w:tcPr>
            <w:tcW w:w="0" w:type="auto"/>
            <w:vAlign w:val="center"/>
          </w:tcPr>
          <w:p w:rsidR="00CE49E2" w:rsidRDefault="00CE49E2" w:rsidP="005959D1">
            <w:pPr>
              <w:jc w:val="right"/>
            </w:pPr>
            <w:r>
              <w:rPr>
                <w:rFonts w:eastAsiaTheme="minorEastAsia"/>
                <w:color w:val="000000" w:themeColor="text1"/>
                <w:sz w:val="24"/>
              </w:rPr>
              <w:t>9.33</w:t>
            </w:r>
          </w:p>
        </w:tc>
      </w:tr>
      <w:tr w:rsidR="00CE49E2" w:rsidTr="005959D1">
        <w:tc>
          <w:tcPr>
            <w:tcW w:w="0" w:type="auto"/>
            <w:vAlign w:val="center"/>
          </w:tcPr>
          <w:p w:rsidR="00CE49E2" w:rsidRDefault="00CE49E2" w:rsidP="005959D1">
            <w:pPr>
              <w:jc w:val="center"/>
            </w:pPr>
            <w:r>
              <w:rPr>
                <w:rFonts w:eastAsiaTheme="minorEastAsia"/>
                <w:color w:val="000000" w:themeColor="text1"/>
                <w:sz w:val="24"/>
              </w:rPr>
              <w:t>3</w:t>
            </w:r>
          </w:p>
        </w:tc>
        <w:tc>
          <w:tcPr>
            <w:tcW w:w="0" w:type="auto"/>
            <w:vAlign w:val="center"/>
          </w:tcPr>
          <w:p w:rsidR="00CE49E2" w:rsidRDefault="00CE49E2" w:rsidP="005959D1">
            <w:pPr>
              <w:jc w:val="center"/>
            </w:pPr>
            <w:r>
              <w:rPr>
                <w:rFonts w:eastAsiaTheme="minorEastAsia"/>
                <w:color w:val="000000" w:themeColor="text1"/>
                <w:sz w:val="24"/>
              </w:rPr>
              <w:t>Tencent Holdings Ltd</w:t>
            </w:r>
          </w:p>
        </w:tc>
        <w:tc>
          <w:tcPr>
            <w:tcW w:w="0" w:type="auto"/>
            <w:vAlign w:val="center"/>
          </w:tcPr>
          <w:p w:rsidR="00CE49E2" w:rsidRDefault="00CE49E2" w:rsidP="005959D1">
            <w:pPr>
              <w:jc w:val="center"/>
            </w:pPr>
            <w:r>
              <w:rPr>
                <w:rFonts w:eastAsiaTheme="minorEastAsia"/>
                <w:color w:val="000000" w:themeColor="text1"/>
                <w:sz w:val="24"/>
              </w:rPr>
              <w:t>腾讯控股</w:t>
            </w:r>
          </w:p>
        </w:tc>
        <w:tc>
          <w:tcPr>
            <w:tcW w:w="0" w:type="auto"/>
            <w:vAlign w:val="center"/>
          </w:tcPr>
          <w:p w:rsidR="00CE49E2" w:rsidRDefault="00CE49E2" w:rsidP="005959D1">
            <w:pPr>
              <w:jc w:val="center"/>
            </w:pPr>
            <w:r>
              <w:rPr>
                <w:rFonts w:eastAsiaTheme="minorEastAsia"/>
                <w:color w:val="000000" w:themeColor="text1"/>
                <w:sz w:val="24"/>
              </w:rPr>
              <w:t>700</w:t>
            </w:r>
          </w:p>
        </w:tc>
        <w:tc>
          <w:tcPr>
            <w:tcW w:w="0" w:type="auto"/>
            <w:vAlign w:val="center"/>
          </w:tcPr>
          <w:p w:rsidR="00CE49E2" w:rsidRDefault="00CE49E2" w:rsidP="005959D1">
            <w:pPr>
              <w:jc w:val="center"/>
            </w:pPr>
            <w:r>
              <w:rPr>
                <w:rFonts w:eastAsiaTheme="minorEastAsia"/>
                <w:color w:val="000000" w:themeColor="text1"/>
                <w:sz w:val="24"/>
              </w:rPr>
              <w:t>香港证券交易所</w:t>
            </w:r>
          </w:p>
        </w:tc>
        <w:tc>
          <w:tcPr>
            <w:tcW w:w="0" w:type="auto"/>
            <w:vAlign w:val="center"/>
          </w:tcPr>
          <w:p w:rsidR="00CE49E2" w:rsidRDefault="00CE49E2" w:rsidP="005959D1">
            <w:pPr>
              <w:jc w:val="center"/>
            </w:pPr>
            <w:r>
              <w:rPr>
                <w:rFonts w:eastAsiaTheme="minorEastAsia"/>
                <w:color w:val="000000" w:themeColor="text1"/>
                <w:sz w:val="24"/>
              </w:rPr>
              <w:t>中国香港</w:t>
            </w:r>
          </w:p>
        </w:tc>
        <w:tc>
          <w:tcPr>
            <w:tcW w:w="0" w:type="auto"/>
            <w:vAlign w:val="center"/>
          </w:tcPr>
          <w:p w:rsidR="00CE49E2" w:rsidRDefault="00CE49E2" w:rsidP="005959D1">
            <w:pPr>
              <w:jc w:val="right"/>
            </w:pPr>
            <w:r>
              <w:rPr>
                <w:rFonts w:eastAsiaTheme="minorEastAsia"/>
                <w:color w:val="000000" w:themeColor="text1"/>
                <w:sz w:val="24"/>
              </w:rPr>
              <w:t>64,200</w:t>
            </w:r>
          </w:p>
        </w:tc>
        <w:tc>
          <w:tcPr>
            <w:tcW w:w="0" w:type="auto"/>
            <w:vAlign w:val="center"/>
          </w:tcPr>
          <w:p w:rsidR="00CE49E2" w:rsidRDefault="00CE49E2" w:rsidP="005959D1">
            <w:pPr>
              <w:jc w:val="right"/>
            </w:pPr>
            <w:r>
              <w:rPr>
                <w:rFonts w:eastAsiaTheme="minorEastAsia"/>
                <w:color w:val="000000" w:themeColor="text1"/>
                <w:sz w:val="24"/>
              </w:rPr>
              <w:t>17,681,314.94</w:t>
            </w:r>
          </w:p>
        </w:tc>
        <w:tc>
          <w:tcPr>
            <w:tcW w:w="0" w:type="auto"/>
            <w:vAlign w:val="center"/>
          </w:tcPr>
          <w:p w:rsidR="00CE49E2" w:rsidRDefault="00CE49E2" w:rsidP="005959D1">
            <w:pPr>
              <w:jc w:val="right"/>
            </w:pPr>
            <w:r>
              <w:rPr>
                <w:rFonts w:eastAsiaTheme="minorEastAsia"/>
                <w:color w:val="000000" w:themeColor="text1"/>
                <w:sz w:val="24"/>
              </w:rPr>
              <w:t>8.98</w:t>
            </w:r>
          </w:p>
        </w:tc>
      </w:tr>
      <w:tr w:rsidR="00CE49E2" w:rsidTr="005959D1">
        <w:tc>
          <w:tcPr>
            <w:tcW w:w="0" w:type="auto"/>
            <w:vAlign w:val="center"/>
          </w:tcPr>
          <w:p w:rsidR="00CE49E2" w:rsidRDefault="00CE49E2" w:rsidP="005959D1">
            <w:pPr>
              <w:jc w:val="center"/>
            </w:pPr>
            <w:r>
              <w:rPr>
                <w:rFonts w:eastAsiaTheme="minorEastAsia"/>
                <w:color w:val="000000" w:themeColor="text1"/>
                <w:sz w:val="24"/>
              </w:rPr>
              <w:t>4</w:t>
            </w:r>
          </w:p>
        </w:tc>
        <w:tc>
          <w:tcPr>
            <w:tcW w:w="0" w:type="auto"/>
            <w:vAlign w:val="center"/>
          </w:tcPr>
          <w:p w:rsidR="00CE49E2" w:rsidRDefault="00CE49E2" w:rsidP="005959D1">
            <w:pPr>
              <w:jc w:val="center"/>
            </w:pPr>
            <w:r>
              <w:rPr>
                <w:rFonts w:eastAsiaTheme="minorEastAsia"/>
                <w:color w:val="000000" w:themeColor="text1"/>
                <w:sz w:val="24"/>
              </w:rPr>
              <w:t>Kuaishou Technology</w:t>
            </w:r>
          </w:p>
        </w:tc>
        <w:tc>
          <w:tcPr>
            <w:tcW w:w="0" w:type="auto"/>
            <w:vAlign w:val="center"/>
          </w:tcPr>
          <w:p w:rsidR="00CE49E2" w:rsidRDefault="00CE49E2" w:rsidP="005959D1">
            <w:pPr>
              <w:jc w:val="center"/>
            </w:pPr>
            <w:r>
              <w:rPr>
                <w:rFonts w:eastAsiaTheme="minorEastAsia"/>
                <w:color w:val="000000" w:themeColor="text1"/>
                <w:sz w:val="24"/>
              </w:rPr>
              <w:t>快手科技</w:t>
            </w:r>
          </w:p>
        </w:tc>
        <w:tc>
          <w:tcPr>
            <w:tcW w:w="0" w:type="auto"/>
            <w:vAlign w:val="center"/>
          </w:tcPr>
          <w:p w:rsidR="00CE49E2" w:rsidRDefault="00CE49E2" w:rsidP="005959D1">
            <w:pPr>
              <w:jc w:val="center"/>
            </w:pPr>
            <w:r>
              <w:rPr>
                <w:rFonts w:eastAsiaTheme="minorEastAsia"/>
                <w:color w:val="000000" w:themeColor="text1"/>
                <w:sz w:val="24"/>
              </w:rPr>
              <w:t>1024</w:t>
            </w:r>
          </w:p>
        </w:tc>
        <w:tc>
          <w:tcPr>
            <w:tcW w:w="0" w:type="auto"/>
            <w:vAlign w:val="center"/>
          </w:tcPr>
          <w:p w:rsidR="00CE49E2" w:rsidRDefault="00CE49E2" w:rsidP="005959D1">
            <w:pPr>
              <w:jc w:val="center"/>
            </w:pPr>
            <w:r>
              <w:rPr>
                <w:rFonts w:eastAsiaTheme="minorEastAsia"/>
                <w:color w:val="000000" w:themeColor="text1"/>
                <w:sz w:val="24"/>
              </w:rPr>
              <w:t>香港证券交易所</w:t>
            </w:r>
          </w:p>
        </w:tc>
        <w:tc>
          <w:tcPr>
            <w:tcW w:w="0" w:type="auto"/>
            <w:vAlign w:val="center"/>
          </w:tcPr>
          <w:p w:rsidR="00CE49E2" w:rsidRDefault="00CE49E2" w:rsidP="005959D1">
            <w:pPr>
              <w:jc w:val="center"/>
            </w:pPr>
            <w:r>
              <w:rPr>
                <w:rFonts w:eastAsiaTheme="minorEastAsia"/>
                <w:color w:val="000000" w:themeColor="text1"/>
                <w:sz w:val="24"/>
              </w:rPr>
              <w:t>中国香港</w:t>
            </w:r>
          </w:p>
        </w:tc>
        <w:tc>
          <w:tcPr>
            <w:tcW w:w="0" w:type="auto"/>
            <w:vAlign w:val="center"/>
          </w:tcPr>
          <w:p w:rsidR="00CE49E2" w:rsidRDefault="00CE49E2" w:rsidP="005959D1">
            <w:pPr>
              <w:jc w:val="right"/>
            </w:pPr>
            <w:r>
              <w:rPr>
                <w:rFonts w:eastAsiaTheme="minorEastAsia"/>
                <w:color w:val="000000" w:themeColor="text1"/>
                <w:sz w:val="24"/>
              </w:rPr>
              <w:t>385,300</w:t>
            </w:r>
          </w:p>
        </w:tc>
        <w:tc>
          <w:tcPr>
            <w:tcW w:w="0" w:type="auto"/>
            <w:vAlign w:val="center"/>
          </w:tcPr>
          <w:p w:rsidR="00CE49E2" w:rsidRDefault="00CE49E2" w:rsidP="005959D1">
            <w:pPr>
              <w:jc w:val="right"/>
            </w:pPr>
            <w:r>
              <w:rPr>
                <w:rFonts w:eastAsiaTheme="minorEastAsia"/>
                <w:color w:val="000000" w:themeColor="text1"/>
                <w:sz w:val="24"/>
              </w:rPr>
              <w:t>17,132,856.72</w:t>
            </w:r>
          </w:p>
        </w:tc>
        <w:tc>
          <w:tcPr>
            <w:tcW w:w="0" w:type="auto"/>
            <w:vAlign w:val="center"/>
          </w:tcPr>
          <w:p w:rsidR="00CE49E2" w:rsidRDefault="00CE49E2" w:rsidP="005959D1">
            <w:pPr>
              <w:jc w:val="right"/>
            </w:pPr>
            <w:r>
              <w:rPr>
                <w:rFonts w:eastAsiaTheme="minorEastAsia"/>
                <w:color w:val="000000" w:themeColor="text1"/>
                <w:sz w:val="24"/>
              </w:rPr>
              <w:t>8.70</w:t>
            </w:r>
          </w:p>
        </w:tc>
      </w:tr>
      <w:tr w:rsidR="00CE49E2" w:rsidTr="005959D1">
        <w:tc>
          <w:tcPr>
            <w:tcW w:w="0" w:type="auto"/>
            <w:vAlign w:val="center"/>
          </w:tcPr>
          <w:p w:rsidR="00CE49E2" w:rsidRDefault="00CE49E2" w:rsidP="005959D1">
            <w:pPr>
              <w:jc w:val="center"/>
            </w:pPr>
            <w:r>
              <w:rPr>
                <w:rFonts w:eastAsiaTheme="minorEastAsia"/>
                <w:color w:val="000000" w:themeColor="text1"/>
                <w:sz w:val="24"/>
              </w:rPr>
              <w:t>5</w:t>
            </w:r>
          </w:p>
        </w:tc>
        <w:tc>
          <w:tcPr>
            <w:tcW w:w="0" w:type="auto"/>
            <w:vAlign w:val="center"/>
          </w:tcPr>
          <w:p w:rsidR="00CE49E2" w:rsidRDefault="00CE49E2" w:rsidP="005959D1">
            <w:pPr>
              <w:jc w:val="center"/>
            </w:pPr>
            <w:r>
              <w:rPr>
                <w:rFonts w:eastAsiaTheme="minorEastAsia"/>
                <w:color w:val="000000" w:themeColor="text1"/>
                <w:sz w:val="24"/>
              </w:rPr>
              <w:t>JD.com Inc</w:t>
            </w:r>
          </w:p>
        </w:tc>
        <w:tc>
          <w:tcPr>
            <w:tcW w:w="0" w:type="auto"/>
            <w:vAlign w:val="center"/>
          </w:tcPr>
          <w:p w:rsidR="00CE49E2" w:rsidRDefault="00CE49E2" w:rsidP="005959D1">
            <w:pPr>
              <w:jc w:val="center"/>
            </w:pPr>
            <w:r>
              <w:rPr>
                <w:rFonts w:eastAsiaTheme="minorEastAsia"/>
                <w:color w:val="000000" w:themeColor="text1"/>
                <w:sz w:val="24"/>
              </w:rPr>
              <w:t>京东集团</w:t>
            </w:r>
          </w:p>
        </w:tc>
        <w:tc>
          <w:tcPr>
            <w:tcW w:w="0" w:type="auto"/>
            <w:vAlign w:val="center"/>
          </w:tcPr>
          <w:p w:rsidR="00CE49E2" w:rsidRDefault="00CE49E2" w:rsidP="005959D1">
            <w:pPr>
              <w:jc w:val="center"/>
            </w:pPr>
            <w:r>
              <w:rPr>
                <w:rFonts w:eastAsiaTheme="minorEastAsia"/>
                <w:color w:val="000000" w:themeColor="text1"/>
                <w:sz w:val="24"/>
              </w:rPr>
              <w:t>9618</w:t>
            </w:r>
          </w:p>
        </w:tc>
        <w:tc>
          <w:tcPr>
            <w:tcW w:w="0" w:type="auto"/>
            <w:vAlign w:val="center"/>
          </w:tcPr>
          <w:p w:rsidR="00CE49E2" w:rsidRDefault="00CE49E2" w:rsidP="005959D1">
            <w:pPr>
              <w:jc w:val="center"/>
            </w:pPr>
            <w:r>
              <w:rPr>
                <w:rFonts w:eastAsiaTheme="minorEastAsia"/>
                <w:color w:val="000000" w:themeColor="text1"/>
                <w:sz w:val="24"/>
              </w:rPr>
              <w:t>香港证券交易所</w:t>
            </w:r>
          </w:p>
        </w:tc>
        <w:tc>
          <w:tcPr>
            <w:tcW w:w="0" w:type="auto"/>
            <w:vAlign w:val="center"/>
          </w:tcPr>
          <w:p w:rsidR="00CE49E2" w:rsidRDefault="00CE49E2" w:rsidP="005959D1">
            <w:pPr>
              <w:jc w:val="center"/>
            </w:pPr>
            <w:r>
              <w:rPr>
                <w:rFonts w:eastAsiaTheme="minorEastAsia"/>
                <w:color w:val="000000" w:themeColor="text1"/>
                <w:sz w:val="24"/>
              </w:rPr>
              <w:t>中国香港</w:t>
            </w:r>
          </w:p>
        </w:tc>
        <w:tc>
          <w:tcPr>
            <w:tcW w:w="0" w:type="auto"/>
            <w:vAlign w:val="center"/>
          </w:tcPr>
          <w:p w:rsidR="00CE49E2" w:rsidRDefault="00CE49E2" w:rsidP="005959D1">
            <w:pPr>
              <w:jc w:val="right"/>
            </w:pPr>
            <w:r>
              <w:rPr>
                <w:rFonts w:eastAsiaTheme="minorEastAsia"/>
                <w:color w:val="000000" w:themeColor="text1"/>
                <w:sz w:val="24"/>
              </w:rPr>
              <w:t>158,036</w:t>
            </w:r>
          </w:p>
        </w:tc>
        <w:tc>
          <w:tcPr>
            <w:tcW w:w="0" w:type="auto"/>
            <w:vAlign w:val="center"/>
          </w:tcPr>
          <w:p w:rsidR="00CE49E2" w:rsidRDefault="00CE49E2" w:rsidP="005959D1">
            <w:pPr>
              <w:jc w:val="right"/>
            </w:pPr>
            <w:r>
              <w:rPr>
                <w:rFonts w:eastAsiaTheme="minorEastAsia"/>
                <w:color w:val="000000" w:themeColor="text1"/>
                <w:sz w:val="24"/>
              </w:rPr>
              <w:t>15,458,567.12</w:t>
            </w:r>
          </w:p>
        </w:tc>
        <w:tc>
          <w:tcPr>
            <w:tcW w:w="0" w:type="auto"/>
            <w:vAlign w:val="center"/>
          </w:tcPr>
          <w:p w:rsidR="00CE49E2" w:rsidRDefault="00CE49E2" w:rsidP="005959D1">
            <w:pPr>
              <w:jc w:val="right"/>
            </w:pPr>
            <w:r>
              <w:rPr>
                <w:rFonts w:eastAsiaTheme="minorEastAsia"/>
                <w:color w:val="000000" w:themeColor="text1"/>
                <w:sz w:val="24"/>
              </w:rPr>
              <w:t>7.85</w:t>
            </w:r>
          </w:p>
        </w:tc>
      </w:tr>
      <w:tr w:rsidR="00CE49E2" w:rsidTr="005959D1">
        <w:tc>
          <w:tcPr>
            <w:tcW w:w="0" w:type="auto"/>
            <w:vAlign w:val="center"/>
          </w:tcPr>
          <w:p w:rsidR="00CE49E2" w:rsidRDefault="00CE49E2" w:rsidP="005959D1">
            <w:pPr>
              <w:jc w:val="center"/>
            </w:pPr>
            <w:r>
              <w:rPr>
                <w:rFonts w:eastAsiaTheme="minorEastAsia"/>
                <w:color w:val="000000" w:themeColor="text1"/>
                <w:sz w:val="24"/>
              </w:rPr>
              <w:t>6</w:t>
            </w:r>
          </w:p>
        </w:tc>
        <w:tc>
          <w:tcPr>
            <w:tcW w:w="0" w:type="auto"/>
            <w:vAlign w:val="center"/>
          </w:tcPr>
          <w:p w:rsidR="00CE49E2" w:rsidRDefault="00CE49E2" w:rsidP="005959D1">
            <w:pPr>
              <w:jc w:val="center"/>
            </w:pPr>
            <w:r>
              <w:rPr>
                <w:rFonts w:eastAsiaTheme="minorEastAsia"/>
                <w:color w:val="000000" w:themeColor="text1"/>
                <w:sz w:val="24"/>
              </w:rPr>
              <w:t>Alibaba Group Holding Ltd</w:t>
            </w:r>
          </w:p>
        </w:tc>
        <w:tc>
          <w:tcPr>
            <w:tcW w:w="0" w:type="auto"/>
            <w:vAlign w:val="center"/>
          </w:tcPr>
          <w:p w:rsidR="00CE49E2" w:rsidRDefault="00CE49E2" w:rsidP="005959D1">
            <w:pPr>
              <w:jc w:val="center"/>
            </w:pPr>
            <w:r>
              <w:rPr>
                <w:rFonts w:eastAsiaTheme="minorEastAsia"/>
                <w:color w:val="000000" w:themeColor="text1"/>
                <w:sz w:val="24"/>
              </w:rPr>
              <w:t>阿里巴巴</w:t>
            </w:r>
          </w:p>
        </w:tc>
        <w:tc>
          <w:tcPr>
            <w:tcW w:w="0" w:type="auto"/>
            <w:vAlign w:val="center"/>
          </w:tcPr>
          <w:p w:rsidR="00CE49E2" w:rsidRDefault="00CE49E2" w:rsidP="005959D1">
            <w:pPr>
              <w:jc w:val="center"/>
            </w:pPr>
            <w:r>
              <w:rPr>
                <w:rFonts w:eastAsiaTheme="minorEastAsia"/>
                <w:color w:val="000000" w:themeColor="text1"/>
                <w:sz w:val="24"/>
              </w:rPr>
              <w:t>9988</w:t>
            </w:r>
          </w:p>
        </w:tc>
        <w:tc>
          <w:tcPr>
            <w:tcW w:w="0" w:type="auto"/>
            <w:vAlign w:val="center"/>
          </w:tcPr>
          <w:p w:rsidR="00CE49E2" w:rsidRDefault="00CE49E2" w:rsidP="005959D1">
            <w:pPr>
              <w:jc w:val="center"/>
            </w:pPr>
            <w:r>
              <w:rPr>
                <w:rFonts w:eastAsiaTheme="minorEastAsia"/>
                <w:color w:val="000000" w:themeColor="text1"/>
                <w:sz w:val="24"/>
              </w:rPr>
              <w:t>香港证券交易</w:t>
            </w:r>
            <w:r>
              <w:rPr>
                <w:rFonts w:eastAsiaTheme="minorEastAsia"/>
                <w:color w:val="000000" w:themeColor="text1"/>
                <w:sz w:val="24"/>
              </w:rPr>
              <w:lastRenderedPageBreak/>
              <w:t>所</w:t>
            </w:r>
          </w:p>
        </w:tc>
        <w:tc>
          <w:tcPr>
            <w:tcW w:w="0" w:type="auto"/>
            <w:vAlign w:val="center"/>
          </w:tcPr>
          <w:p w:rsidR="00CE49E2" w:rsidRDefault="00CE49E2" w:rsidP="005959D1">
            <w:pPr>
              <w:jc w:val="center"/>
            </w:pPr>
            <w:r>
              <w:rPr>
                <w:rFonts w:eastAsiaTheme="minorEastAsia"/>
                <w:color w:val="000000" w:themeColor="text1"/>
                <w:sz w:val="24"/>
              </w:rPr>
              <w:lastRenderedPageBreak/>
              <w:t>中国香港</w:t>
            </w:r>
          </w:p>
        </w:tc>
        <w:tc>
          <w:tcPr>
            <w:tcW w:w="0" w:type="auto"/>
            <w:vAlign w:val="center"/>
          </w:tcPr>
          <w:p w:rsidR="00CE49E2" w:rsidRDefault="00CE49E2" w:rsidP="005959D1">
            <w:pPr>
              <w:jc w:val="right"/>
            </w:pPr>
            <w:r>
              <w:rPr>
                <w:rFonts w:eastAsiaTheme="minorEastAsia"/>
                <w:color w:val="000000" w:themeColor="text1"/>
                <w:sz w:val="24"/>
              </w:rPr>
              <w:t>234,500</w:t>
            </w:r>
          </w:p>
        </w:tc>
        <w:tc>
          <w:tcPr>
            <w:tcW w:w="0" w:type="auto"/>
            <w:vAlign w:val="center"/>
          </w:tcPr>
          <w:p w:rsidR="00CE49E2" w:rsidRDefault="00CE49E2" w:rsidP="005959D1">
            <w:pPr>
              <w:jc w:val="right"/>
            </w:pPr>
            <w:r>
              <w:rPr>
                <w:rFonts w:eastAsiaTheme="minorEastAsia"/>
                <w:color w:val="000000" w:themeColor="text1"/>
                <w:sz w:val="24"/>
              </w:rPr>
              <w:t>14,934,164.74</w:t>
            </w:r>
          </w:p>
        </w:tc>
        <w:tc>
          <w:tcPr>
            <w:tcW w:w="0" w:type="auto"/>
            <w:vAlign w:val="center"/>
          </w:tcPr>
          <w:p w:rsidR="00CE49E2" w:rsidRDefault="00CE49E2" w:rsidP="005959D1">
            <w:pPr>
              <w:jc w:val="right"/>
            </w:pPr>
            <w:r>
              <w:rPr>
                <w:rFonts w:eastAsiaTheme="minorEastAsia"/>
                <w:color w:val="000000" w:themeColor="text1"/>
                <w:sz w:val="24"/>
              </w:rPr>
              <w:t>7.59</w:t>
            </w:r>
          </w:p>
        </w:tc>
      </w:tr>
      <w:tr w:rsidR="00CE49E2" w:rsidTr="005959D1">
        <w:tc>
          <w:tcPr>
            <w:tcW w:w="0" w:type="auto"/>
            <w:vAlign w:val="center"/>
          </w:tcPr>
          <w:p w:rsidR="00CE49E2" w:rsidRDefault="00CE49E2" w:rsidP="005959D1">
            <w:pPr>
              <w:jc w:val="center"/>
            </w:pPr>
            <w:r>
              <w:rPr>
                <w:rFonts w:eastAsiaTheme="minorEastAsia"/>
                <w:color w:val="000000" w:themeColor="text1"/>
                <w:sz w:val="24"/>
              </w:rPr>
              <w:t>7</w:t>
            </w:r>
          </w:p>
        </w:tc>
        <w:tc>
          <w:tcPr>
            <w:tcW w:w="0" w:type="auto"/>
            <w:vAlign w:val="center"/>
          </w:tcPr>
          <w:p w:rsidR="00CE49E2" w:rsidRDefault="00CE49E2" w:rsidP="005959D1">
            <w:pPr>
              <w:jc w:val="center"/>
            </w:pPr>
            <w:r>
              <w:rPr>
                <w:rFonts w:eastAsiaTheme="minorEastAsia"/>
                <w:color w:val="000000" w:themeColor="text1"/>
                <w:sz w:val="24"/>
              </w:rPr>
              <w:t>NetEase Inc</w:t>
            </w:r>
          </w:p>
        </w:tc>
        <w:tc>
          <w:tcPr>
            <w:tcW w:w="0" w:type="auto"/>
            <w:vAlign w:val="center"/>
          </w:tcPr>
          <w:p w:rsidR="00CE49E2" w:rsidRDefault="00CE49E2" w:rsidP="005959D1">
            <w:pPr>
              <w:jc w:val="center"/>
            </w:pPr>
            <w:r>
              <w:rPr>
                <w:rFonts w:eastAsiaTheme="minorEastAsia"/>
                <w:color w:val="000000" w:themeColor="text1"/>
                <w:sz w:val="24"/>
              </w:rPr>
              <w:t>网易</w:t>
            </w:r>
          </w:p>
        </w:tc>
        <w:tc>
          <w:tcPr>
            <w:tcW w:w="0" w:type="auto"/>
            <w:vAlign w:val="center"/>
          </w:tcPr>
          <w:p w:rsidR="00CE49E2" w:rsidRDefault="00CE49E2" w:rsidP="005959D1">
            <w:pPr>
              <w:jc w:val="center"/>
            </w:pPr>
            <w:r>
              <w:rPr>
                <w:rFonts w:eastAsiaTheme="minorEastAsia"/>
                <w:color w:val="000000" w:themeColor="text1"/>
                <w:sz w:val="24"/>
              </w:rPr>
              <w:t>9999</w:t>
            </w:r>
          </w:p>
        </w:tc>
        <w:tc>
          <w:tcPr>
            <w:tcW w:w="0" w:type="auto"/>
            <w:vAlign w:val="center"/>
          </w:tcPr>
          <w:p w:rsidR="00CE49E2" w:rsidRDefault="00CE49E2" w:rsidP="005959D1">
            <w:pPr>
              <w:jc w:val="center"/>
            </w:pPr>
            <w:r>
              <w:rPr>
                <w:rFonts w:eastAsiaTheme="minorEastAsia"/>
                <w:color w:val="000000" w:themeColor="text1"/>
                <w:sz w:val="24"/>
              </w:rPr>
              <w:t>香港证券交易所</w:t>
            </w:r>
          </w:p>
        </w:tc>
        <w:tc>
          <w:tcPr>
            <w:tcW w:w="0" w:type="auto"/>
            <w:vAlign w:val="center"/>
          </w:tcPr>
          <w:p w:rsidR="00CE49E2" w:rsidRDefault="00CE49E2" w:rsidP="005959D1">
            <w:pPr>
              <w:jc w:val="center"/>
            </w:pPr>
            <w:r>
              <w:rPr>
                <w:rFonts w:eastAsiaTheme="minorEastAsia"/>
                <w:color w:val="000000" w:themeColor="text1"/>
                <w:sz w:val="24"/>
              </w:rPr>
              <w:t>中国香港</w:t>
            </w:r>
          </w:p>
        </w:tc>
        <w:tc>
          <w:tcPr>
            <w:tcW w:w="0" w:type="auto"/>
            <w:vAlign w:val="center"/>
          </w:tcPr>
          <w:p w:rsidR="00CE49E2" w:rsidRDefault="00CE49E2" w:rsidP="005959D1">
            <w:pPr>
              <w:jc w:val="right"/>
            </w:pPr>
            <w:r>
              <w:rPr>
                <w:rFonts w:eastAsiaTheme="minorEastAsia"/>
                <w:color w:val="000000" w:themeColor="text1"/>
                <w:sz w:val="24"/>
              </w:rPr>
              <w:t>84,800</w:t>
            </w:r>
          </w:p>
        </w:tc>
        <w:tc>
          <w:tcPr>
            <w:tcW w:w="0" w:type="auto"/>
            <w:vAlign w:val="center"/>
          </w:tcPr>
          <w:p w:rsidR="00CE49E2" w:rsidRDefault="00CE49E2" w:rsidP="005959D1">
            <w:pPr>
              <w:jc w:val="right"/>
            </w:pPr>
            <w:r>
              <w:rPr>
                <w:rFonts w:eastAsiaTheme="minorEastAsia"/>
                <w:color w:val="000000" w:themeColor="text1"/>
                <w:sz w:val="24"/>
              </w:rPr>
              <w:t>12,515,321.63</w:t>
            </w:r>
          </w:p>
        </w:tc>
        <w:tc>
          <w:tcPr>
            <w:tcW w:w="0" w:type="auto"/>
            <w:vAlign w:val="center"/>
          </w:tcPr>
          <w:p w:rsidR="00CE49E2" w:rsidRDefault="00CE49E2" w:rsidP="005959D1">
            <w:pPr>
              <w:jc w:val="right"/>
            </w:pPr>
            <w:r>
              <w:rPr>
                <w:rFonts w:eastAsiaTheme="minorEastAsia"/>
                <w:color w:val="000000" w:themeColor="text1"/>
                <w:sz w:val="24"/>
              </w:rPr>
              <w:t>6.36</w:t>
            </w:r>
          </w:p>
        </w:tc>
      </w:tr>
      <w:tr w:rsidR="00CE49E2" w:rsidTr="005959D1">
        <w:tc>
          <w:tcPr>
            <w:tcW w:w="0" w:type="auto"/>
            <w:vAlign w:val="center"/>
          </w:tcPr>
          <w:p w:rsidR="00CE49E2" w:rsidRDefault="00CE49E2" w:rsidP="005959D1">
            <w:pPr>
              <w:jc w:val="center"/>
            </w:pPr>
            <w:r>
              <w:rPr>
                <w:rFonts w:eastAsiaTheme="minorEastAsia"/>
                <w:color w:val="000000" w:themeColor="text1"/>
                <w:sz w:val="24"/>
              </w:rPr>
              <w:t>8</w:t>
            </w:r>
          </w:p>
        </w:tc>
        <w:tc>
          <w:tcPr>
            <w:tcW w:w="0" w:type="auto"/>
            <w:vAlign w:val="center"/>
          </w:tcPr>
          <w:p w:rsidR="00CE49E2" w:rsidRDefault="00CE49E2" w:rsidP="005959D1">
            <w:pPr>
              <w:jc w:val="center"/>
            </w:pPr>
            <w:r>
              <w:rPr>
                <w:rFonts w:eastAsiaTheme="minorEastAsia"/>
                <w:color w:val="000000" w:themeColor="text1"/>
                <w:sz w:val="24"/>
              </w:rPr>
              <w:t>Li Auto Inc</w:t>
            </w:r>
          </w:p>
        </w:tc>
        <w:tc>
          <w:tcPr>
            <w:tcW w:w="0" w:type="auto"/>
            <w:vAlign w:val="center"/>
          </w:tcPr>
          <w:p w:rsidR="00CE49E2" w:rsidRDefault="00CE49E2" w:rsidP="005959D1">
            <w:pPr>
              <w:jc w:val="center"/>
            </w:pPr>
            <w:r>
              <w:rPr>
                <w:rFonts w:eastAsiaTheme="minorEastAsia"/>
                <w:color w:val="000000" w:themeColor="text1"/>
                <w:sz w:val="24"/>
              </w:rPr>
              <w:t>理想汽车</w:t>
            </w:r>
          </w:p>
        </w:tc>
        <w:tc>
          <w:tcPr>
            <w:tcW w:w="0" w:type="auto"/>
            <w:vAlign w:val="center"/>
          </w:tcPr>
          <w:p w:rsidR="00CE49E2" w:rsidRDefault="00CE49E2" w:rsidP="005959D1">
            <w:pPr>
              <w:jc w:val="center"/>
            </w:pPr>
            <w:r>
              <w:rPr>
                <w:rFonts w:eastAsiaTheme="minorEastAsia"/>
                <w:color w:val="000000" w:themeColor="text1"/>
                <w:sz w:val="24"/>
              </w:rPr>
              <w:t>2015</w:t>
            </w:r>
          </w:p>
        </w:tc>
        <w:tc>
          <w:tcPr>
            <w:tcW w:w="0" w:type="auto"/>
            <w:vAlign w:val="center"/>
          </w:tcPr>
          <w:p w:rsidR="00CE49E2" w:rsidRDefault="00CE49E2" w:rsidP="005959D1">
            <w:pPr>
              <w:jc w:val="center"/>
            </w:pPr>
            <w:r>
              <w:rPr>
                <w:rFonts w:eastAsiaTheme="minorEastAsia"/>
                <w:color w:val="000000" w:themeColor="text1"/>
                <w:sz w:val="24"/>
              </w:rPr>
              <w:t>香港证券交易所</w:t>
            </w:r>
          </w:p>
        </w:tc>
        <w:tc>
          <w:tcPr>
            <w:tcW w:w="0" w:type="auto"/>
            <w:vAlign w:val="center"/>
          </w:tcPr>
          <w:p w:rsidR="00CE49E2" w:rsidRDefault="00CE49E2" w:rsidP="005959D1">
            <w:pPr>
              <w:jc w:val="center"/>
            </w:pPr>
            <w:r>
              <w:rPr>
                <w:rFonts w:eastAsiaTheme="minorEastAsia"/>
                <w:color w:val="000000" w:themeColor="text1"/>
                <w:sz w:val="24"/>
              </w:rPr>
              <w:t>中国香港</w:t>
            </w:r>
          </w:p>
        </w:tc>
        <w:tc>
          <w:tcPr>
            <w:tcW w:w="0" w:type="auto"/>
            <w:vAlign w:val="center"/>
          </w:tcPr>
          <w:p w:rsidR="00CE49E2" w:rsidRDefault="00CE49E2" w:rsidP="005959D1">
            <w:pPr>
              <w:jc w:val="right"/>
            </w:pPr>
            <w:r>
              <w:rPr>
                <w:rFonts w:eastAsiaTheme="minorEastAsia"/>
                <w:color w:val="000000" w:themeColor="text1"/>
                <w:sz w:val="24"/>
              </w:rPr>
              <w:t>104,100</w:t>
            </w:r>
          </w:p>
        </w:tc>
        <w:tc>
          <w:tcPr>
            <w:tcW w:w="0" w:type="auto"/>
            <w:vAlign w:val="center"/>
          </w:tcPr>
          <w:p w:rsidR="00CE49E2" w:rsidRDefault="00CE49E2" w:rsidP="005959D1">
            <w:pPr>
              <w:jc w:val="right"/>
            </w:pPr>
            <w:r>
              <w:rPr>
                <w:rFonts w:eastAsiaTheme="minorEastAsia"/>
                <w:color w:val="000000" w:themeColor="text1"/>
                <w:sz w:val="24"/>
              </w:rPr>
              <w:t>11,447,306.01</w:t>
            </w:r>
          </w:p>
        </w:tc>
        <w:tc>
          <w:tcPr>
            <w:tcW w:w="0" w:type="auto"/>
            <w:vAlign w:val="center"/>
          </w:tcPr>
          <w:p w:rsidR="00CE49E2" w:rsidRDefault="00CE49E2" w:rsidP="005959D1">
            <w:pPr>
              <w:jc w:val="right"/>
            </w:pPr>
            <w:r>
              <w:rPr>
                <w:rFonts w:eastAsiaTheme="minorEastAsia"/>
                <w:color w:val="000000" w:themeColor="text1"/>
                <w:sz w:val="24"/>
              </w:rPr>
              <w:t>5.82</w:t>
            </w:r>
          </w:p>
        </w:tc>
      </w:tr>
      <w:tr w:rsidR="00CE49E2" w:rsidTr="005959D1">
        <w:tc>
          <w:tcPr>
            <w:tcW w:w="0" w:type="auto"/>
            <w:vAlign w:val="center"/>
          </w:tcPr>
          <w:p w:rsidR="00CE49E2" w:rsidRDefault="00CE49E2" w:rsidP="005959D1">
            <w:pPr>
              <w:jc w:val="center"/>
            </w:pPr>
            <w:r>
              <w:rPr>
                <w:rFonts w:eastAsiaTheme="minorEastAsia"/>
                <w:color w:val="000000" w:themeColor="text1"/>
                <w:sz w:val="24"/>
              </w:rPr>
              <w:t>9</w:t>
            </w:r>
          </w:p>
        </w:tc>
        <w:tc>
          <w:tcPr>
            <w:tcW w:w="0" w:type="auto"/>
            <w:vAlign w:val="center"/>
          </w:tcPr>
          <w:p w:rsidR="00CE49E2" w:rsidRDefault="00CE49E2" w:rsidP="005959D1">
            <w:pPr>
              <w:jc w:val="center"/>
            </w:pPr>
            <w:r>
              <w:rPr>
                <w:rFonts w:eastAsiaTheme="minorEastAsia"/>
                <w:color w:val="000000" w:themeColor="text1"/>
                <w:sz w:val="24"/>
              </w:rPr>
              <w:t>Lenovo Group Ltd</w:t>
            </w:r>
          </w:p>
        </w:tc>
        <w:tc>
          <w:tcPr>
            <w:tcW w:w="0" w:type="auto"/>
            <w:vAlign w:val="center"/>
          </w:tcPr>
          <w:p w:rsidR="00CE49E2" w:rsidRDefault="00CE49E2" w:rsidP="005959D1">
            <w:pPr>
              <w:jc w:val="center"/>
            </w:pPr>
            <w:r>
              <w:rPr>
                <w:rFonts w:eastAsiaTheme="minorEastAsia"/>
                <w:color w:val="000000" w:themeColor="text1"/>
                <w:sz w:val="24"/>
              </w:rPr>
              <w:t>联想集团</w:t>
            </w:r>
          </w:p>
        </w:tc>
        <w:tc>
          <w:tcPr>
            <w:tcW w:w="0" w:type="auto"/>
            <w:vAlign w:val="center"/>
          </w:tcPr>
          <w:p w:rsidR="00CE49E2" w:rsidRDefault="00CE49E2" w:rsidP="005959D1">
            <w:pPr>
              <w:jc w:val="center"/>
            </w:pPr>
            <w:r>
              <w:rPr>
                <w:rFonts w:eastAsiaTheme="minorEastAsia"/>
                <w:color w:val="000000" w:themeColor="text1"/>
                <w:sz w:val="24"/>
              </w:rPr>
              <w:t>992</w:t>
            </w:r>
          </w:p>
        </w:tc>
        <w:tc>
          <w:tcPr>
            <w:tcW w:w="0" w:type="auto"/>
            <w:vAlign w:val="center"/>
          </w:tcPr>
          <w:p w:rsidR="00CE49E2" w:rsidRDefault="00CE49E2" w:rsidP="005959D1">
            <w:pPr>
              <w:jc w:val="center"/>
            </w:pPr>
            <w:r>
              <w:rPr>
                <w:rFonts w:eastAsiaTheme="minorEastAsia"/>
                <w:color w:val="000000" w:themeColor="text1"/>
                <w:sz w:val="24"/>
              </w:rPr>
              <w:t>香港证券交易所</w:t>
            </w:r>
          </w:p>
        </w:tc>
        <w:tc>
          <w:tcPr>
            <w:tcW w:w="0" w:type="auto"/>
            <w:vAlign w:val="center"/>
          </w:tcPr>
          <w:p w:rsidR="00CE49E2" w:rsidRDefault="00CE49E2" w:rsidP="005959D1">
            <w:pPr>
              <w:jc w:val="center"/>
            </w:pPr>
            <w:r>
              <w:rPr>
                <w:rFonts w:eastAsiaTheme="minorEastAsia"/>
                <w:color w:val="000000" w:themeColor="text1"/>
                <w:sz w:val="24"/>
              </w:rPr>
              <w:t>中国香港</w:t>
            </w:r>
          </w:p>
        </w:tc>
        <w:tc>
          <w:tcPr>
            <w:tcW w:w="0" w:type="auto"/>
            <w:vAlign w:val="center"/>
          </w:tcPr>
          <w:p w:rsidR="00CE49E2" w:rsidRDefault="00CE49E2" w:rsidP="005959D1">
            <w:pPr>
              <w:jc w:val="right"/>
            </w:pPr>
            <w:r>
              <w:rPr>
                <w:rFonts w:eastAsiaTheme="minorEastAsia"/>
                <w:color w:val="000000" w:themeColor="text1"/>
                <w:sz w:val="24"/>
              </w:rPr>
              <w:t>1,012,000</w:t>
            </w:r>
          </w:p>
        </w:tc>
        <w:tc>
          <w:tcPr>
            <w:tcW w:w="0" w:type="auto"/>
            <w:vAlign w:val="center"/>
          </w:tcPr>
          <w:p w:rsidR="00CE49E2" w:rsidRDefault="00CE49E2" w:rsidP="005959D1">
            <w:pPr>
              <w:jc w:val="right"/>
            </w:pPr>
            <w:r>
              <w:rPr>
                <w:rFonts w:eastAsiaTheme="minorEastAsia"/>
                <w:color w:val="000000" w:themeColor="text1"/>
                <w:sz w:val="24"/>
              </w:rPr>
              <w:t>8,321,077.40</w:t>
            </w:r>
          </w:p>
        </w:tc>
        <w:tc>
          <w:tcPr>
            <w:tcW w:w="0" w:type="auto"/>
            <w:vAlign w:val="center"/>
          </w:tcPr>
          <w:p w:rsidR="00CE49E2" w:rsidRDefault="00CE49E2" w:rsidP="005959D1">
            <w:pPr>
              <w:jc w:val="right"/>
            </w:pPr>
            <w:r>
              <w:rPr>
                <w:rFonts w:eastAsiaTheme="minorEastAsia"/>
                <w:color w:val="000000" w:themeColor="text1"/>
                <w:sz w:val="24"/>
              </w:rPr>
              <w:t>4.23</w:t>
            </w:r>
          </w:p>
        </w:tc>
      </w:tr>
      <w:tr w:rsidR="00CE49E2" w:rsidTr="005959D1">
        <w:tc>
          <w:tcPr>
            <w:tcW w:w="0" w:type="auto"/>
            <w:vAlign w:val="center"/>
          </w:tcPr>
          <w:p w:rsidR="00CE49E2" w:rsidRDefault="00CE49E2" w:rsidP="005959D1">
            <w:pPr>
              <w:jc w:val="center"/>
            </w:pPr>
            <w:r>
              <w:rPr>
                <w:rFonts w:eastAsiaTheme="minorEastAsia"/>
                <w:color w:val="000000" w:themeColor="text1"/>
                <w:sz w:val="24"/>
              </w:rPr>
              <w:t>10</w:t>
            </w:r>
          </w:p>
        </w:tc>
        <w:tc>
          <w:tcPr>
            <w:tcW w:w="0" w:type="auto"/>
            <w:vAlign w:val="center"/>
          </w:tcPr>
          <w:p w:rsidR="00CE49E2" w:rsidRDefault="00CE49E2" w:rsidP="005959D1">
            <w:pPr>
              <w:jc w:val="center"/>
            </w:pPr>
            <w:r>
              <w:rPr>
                <w:rFonts w:eastAsiaTheme="minorEastAsia"/>
                <w:color w:val="000000" w:themeColor="text1"/>
                <w:sz w:val="24"/>
              </w:rPr>
              <w:t>Baidu Inc</w:t>
            </w:r>
          </w:p>
        </w:tc>
        <w:tc>
          <w:tcPr>
            <w:tcW w:w="0" w:type="auto"/>
            <w:vAlign w:val="center"/>
          </w:tcPr>
          <w:p w:rsidR="00CE49E2" w:rsidRDefault="00CE49E2" w:rsidP="005959D1">
            <w:pPr>
              <w:jc w:val="center"/>
            </w:pPr>
            <w:r>
              <w:rPr>
                <w:rFonts w:eastAsiaTheme="minorEastAsia"/>
                <w:color w:val="000000" w:themeColor="text1"/>
                <w:sz w:val="24"/>
              </w:rPr>
              <w:t>百度</w:t>
            </w:r>
          </w:p>
        </w:tc>
        <w:tc>
          <w:tcPr>
            <w:tcW w:w="0" w:type="auto"/>
            <w:vAlign w:val="center"/>
          </w:tcPr>
          <w:p w:rsidR="00CE49E2" w:rsidRDefault="00CE49E2" w:rsidP="005959D1">
            <w:pPr>
              <w:jc w:val="center"/>
            </w:pPr>
            <w:r>
              <w:rPr>
                <w:rFonts w:eastAsiaTheme="minorEastAsia"/>
                <w:color w:val="000000" w:themeColor="text1"/>
                <w:sz w:val="24"/>
              </w:rPr>
              <w:t>9888</w:t>
            </w:r>
          </w:p>
        </w:tc>
        <w:tc>
          <w:tcPr>
            <w:tcW w:w="0" w:type="auto"/>
            <w:vAlign w:val="center"/>
          </w:tcPr>
          <w:p w:rsidR="00CE49E2" w:rsidRDefault="00CE49E2" w:rsidP="005959D1">
            <w:pPr>
              <w:jc w:val="center"/>
            </w:pPr>
            <w:r>
              <w:rPr>
                <w:rFonts w:eastAsiaTheme="minorEastAsia"/>
                <w:color w:val="000000" w:themeColor="text1"/>
                <w:sz w:val="24"/>
              </w:rPr>
              <w:t>香港证券交易所</w:t>
            </w:r>
          </w:p>
        </w:tc>
        <w:tc>
          <w:tcPr>
            <w:tcW w:w="0" w:type="auto"/>
            <w:vAlign w:val="center"/>
          </w:tcPr>
          <w:p w:rsidR="00CE49E2" w:rsidRDefault="00CE49E2" w:rsidP="005959D1">
            <w:pPr>
              <w:jc w:val="center"/>
            </w:pPr>
            <w:r>
              <w:rPr>
                <w:rFonts w:eastAsiaTheme="minorEastAsia"/>
                <w:color w:val="000000" w:themeColor="text1"/>
                <w:sz w:val="24"/>
              </w:rPr>
              <w:t>中国香港</w:t>
            </w:r>
          </w:p>
        </w:tc>
        <w:tc>
          <w:tcPr>
            <w:tcW w:w="0" w:type="auto"/>
            <w:vAlign w:val="center"/>
          </w:tcPr>
          <w:p w:rsidR="00CE49E2" w:rsidRDefault="00CE49E2" w:rsidP="005959D1">
            <w:pPr>
              <w:jc w:val="right"/>
            </w:pPr>
            <w:r>
              <w:rPr>
                <w:rFonts w:eastAsiaTheme="minorEastAsia"/>
                <w:color w:val="000000" w:themeColor="text1"/>
                <w:sz w:val="24"/>
              </w:rPr>
              <w:t>86,800</w:t>
            </w:r>
          </w:p>
        </w:tc>
        <w:tc>
          <w:tcPr>
            <w:tcW w:w="0" w:type="auto"/>
            <w:vAlign w:val="center"/>
          </w:tcPr>
          <w:p w:rsidR="00CE49E2" w:rsidRDefault="00CE49E2" w:rsidP="005959D1">
            <w:pPr>
              <w:jc w:val="right"/>
            </w:pPr>
            <w:r>
              <w:rPr>
                <w:rFonts w:eastAsiaTheme="minorEastAsia"/>
                <w:color w:val="000000" w:themeColor="text1"/>
                <w:sz w:val="24"/>
              </w:rPr>
              <w:t>8,081,313.06</w:t>
            </w:r>
          </w:p>
        </w:tc>
        <w:tc>
          <w:tcPr>
            <w:tcW w:w="0" w:type="auto"/>
            <w:vAlign w:val="center"/>
          </w:tcPr>
          <w:p w:rsidR="00CE49E2" w:rsidRDefault="00CE49E2" w:rsidP="005959D1">
            <w:pPr>
              <w:jc w:val="right"/>
            </w:pPr>
            <w:r>
              <w:rPr>
                <w:rFonts w:eastAsiaTheme="minorEastAsia"/>
                <w:color w:val="000000" w:themeColor="text1"/>
                <w:sz w:val="24"/>
              </w:rPr>
              <w:t>4.11</w:t>
            </w:r>
          </w:p>
        </w:tc>
      </w:tr>
    </w:tbl>
    <w:p w:rsidR="0076518F" w:rsidRPr="00C74EFF" w:rsidRDefault="000F5F24"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注：此处所用证券代码的类别是当地市场代码。</w:t>
      </w:r>
    </w:p>
    <w:p w:rsidR="0076518F" w:rsidRPr="00C74EFF" w:rsidRDefault="00890172"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5.4.</w:t>
        </w:r>
        <w:r w:rsidR="001D79D5" w:rsidRPr="00C74EFF">
          <w:rPr>
            <w:rFonts w:eastAsiaTheme="minorEastAsia"/>
            <w:b/>
            <w:color w:val="000000" w:themeColor="text1"/>
            <w:kern w:val="0"/>
            <w:sz w:val="24"/>
          </w:rPr>
          <w:t>2</w:t>
        </w:r>
      </w:smartTag>
      <w:r w:rsidR="001D79D5" w:rsidRPr="00C74EFF">
        <w:rPr>
          <w:rFonts w:eastAsiaTheme="minorEastAsia"/>
          <w:b/>
          <w:color w:val="000000" w:themeColor="text1"/>
          <w:kern w:val="0"/>
          <w:sz w:val="24"/>
        </w:rPr>
        <w:t>期末</w:t>
      </w:r>
      <w:r w:rsidRPr="00C74EFF">
        <w:rPr>
          <w:rFonts w:eastAsiaTheme="minorEastAsia"/>
          <w:b/>
          <w:color w:val="000000" w:themeColor="text1"/>
          <w:kern w:val="0"/>
          <w:sz w:val="24"/>
        </w:rPr>
        <w:t>积极投资按公允价值占基金资产净值比例大小排序的前五名</w:t>
      </w:r>
      <w:r w:rsidR="001D79D5" w:rsidRPr="00C74EFF">
        <w:rPr>
          <w:rFonts w:eastAsiaTheme="minorEastAsia"/>
          <w:b/>
          <w:color w:val="000000" w:themeColor="text1"/>
          <w:kern w:val="0"/>
          <w:sz w:val="24"/>
        </w:rPr>
        <w:t>股票及存托凭证投资明细</w:t>
      </w:r>
    </w:p>
    <w:p w:rsidR="00FE308B" w:rsidRDefault="000F5F24" w:rsidP="00FE308B">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本基金本报告期末未持有积极投资股票。</w:t>
      </w:r>
    </w:p>
    <w:p w:rsidR="009D7505" w:rsidRPr="00EB66E3" w:rsidRDefault="009D7505" w:rsidP="00C74EFF">
      <w:pPr>
        <w:spacing w:line="360" w:lineRule="auto"/>
        <w:ind w:firstLineChars="200" w:firstLine="480"/>
        <w:rPr>
          <w:rFonts w:eastAsiaTheme="minorEastAsia"/>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5.5 </w:t>
      </w:r>
      <w:r w:rsidRPr="00C74EFF">
        <w:rPr>
          <w:rFonts w:eastAsiaTheme="minorEastAsia"/>
          <w:b/>
          <w:color w:val="000000" w:themeColor="text1"/>
          <w:kern w:val="0"/>
          <w:sz w:val="24"/>
        </w:rPr>
        <w:t>报告期末按债券信用等级分类的债券投资组合</w:t>
      </w:r>
    </w:p>
    <w:p w:rsidR="0076518F" w:rsidRPr="00C74EFF" w:rsidRDefault="00D40397"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本基金本报告期末未持有债券。</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5.6</w:t>
      </w:r>
      <w:r w:rsidRPr="00C74EFF">
        <w:rPr>
          <w:rFonts w:eastAsiaTheme="minorEastAsia"/>
          <w:b/>
          <w:color w:val="000000" w:themeColor="text1"/>
          <w:kern w:val="0"/>
          <w:sz w:val="24"/>
        </w:rPr>
        <w:t>报告期末按公允价值占基金资产净值比例大小排名的前五名债券投资明细</w:t>
      </w:r>
    </w:p>
    <w:p w:rsidR="0076518F" w:rsidRPr="00C74EFF" w:rsidRDefault="00D40397"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本基金本报告期末未持有债券。</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5.7</w:t>
      </w:r>
      <w:r w:rsidRPr="00C74EFF">
        <w:rPr>
          <w:rFonts w:eastAsiaTheme="minorEastAsia"/>
          <w:b/>
          <w:color w:val="000000" w:themeColor="text1"/>
          <w:kern w:val="0"/>
          <w:sz w:val="24"/>
        </w:rPr>
        <w:t>报告期末按公允价值占基金资产净值比例大小排名的前十名资产支持证券投资明细</w:t>
      </w:r>
    </w:p>
    <w:p w:rsidR="0076518F" w:rsidRPr="00C74EFF" w:rsidRDefault="00D40397"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本基金本报告期末未持有资产支持证券。</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5.8 </w:t>
      </w:r>
      <w:r w:rsidRPr="00C74EFF">
        <w:rPr>
          <w:rFonts w:eastAsiaTheme="minorEastAsia"/>
          <w:b/>
          <w:color w:val="000000" w:themeColor="text1"/>
          <w:kern w:val="0"/>
          <w:sz w:val="24"/>
        </w:rPr>
        <w:t>报告期末按公允价值占基金资产净值比例大小排名的前五名金融衍生品投资明细</w:t>
      </w:r>
    </w:p>
    <w:p w:rsidR="0076518F" w:rsidRPr="00C74EFF" w:rsidRDefault="00385AB9"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本基金本报告期末未持有金融衍生品。</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5.9</w:t>
      </w:r>
      <w:r w:rsidRPr="00C74EFF">
        <w:rPr>
          <w:rFonts w:eastAsiaTheme="minorEastAsia"/>
          <w:b/>
          <w:color w:val="000000" w:themeColor="text1"/>
          <w:kern w:val="0"/>
          <w:sz w:val="24"/>
        </w:rPr>
        <w:t>报告期末按公允价值占基金资产净值比例大小排序的前十名基金投资明细</w:t>
      </w:r>
    </w:p>
    <w:p w:rsidR="0076518F" w:rsidRPr="00C74EFF" w:rsidRDefault="00385AB9"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本基金本报告期末未持有基金。</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A33DF2">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5.10 </w:t>
      </w:r>
      <w:r w:rsidRPr="00C74EFF">
        <w:rPr>
          <w:rFonts w:eastAsiaTheme="minorEastAsia"/>
          <w:b/>
          <w:color w:val="000000" w:themeColor="text1"/>
          <w:kern w:val="0"/>
          <w:sz w:val="24"/>
        </w:rPr>
        <w:t>投资组合报告附注</w:t>
      </w:r>
    </w:p>
    <w:p w:rsidR="0076518F" w:rsidRPr="00C74EFF" w:rsidRDefault="0076518F" w:rsidP="00A33DF2">
      <w:pPr>
        <w:spacing w:line="360" w:lineRule="auto"/>
        <w:rPr>
          <w:rFonts w:eastAsiaTheme="minorEastAsia"/>
          <w:color w:val="000000" w:themeColor="text1"/>
          <w:sz w:val="24"/>
        </w:rPr>
      </w:pPr>
      <w:r w:rsidRPr="00C74EFF">
        <w:rPr>
          <w:rFonts w:eastAsiaTheme="minorEastAsia"/>
          <w:color w:val="000000" w:themeColor="text1"/>
          <w:sz w:val="24"/>
        </w:rPr>
        <w:t>5.10.1</w:t>
      </w:r>
      <w:r w:rsidR="009C4721" w:rsidRPr="00C74EFF">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76518F" w:rsidRPr="00C74EFF" w:rsidRDefault="0076518F" w:rsidP="00A33DF2">
      <w:pPr>
        <w:spacing w:line="360" w:lineRule="auto"/>
        <w:rPr>
          <w:rFonts w:eastAsiaTheme="minorEastAsia"/>
          <w:color w:val="000000" w:themeColor="text1"/>
          <w:sz w:val="24"/>
        </w:rPr>
      </w:pPr>
      <w:r w:rsidRPr="00C74EFF">
        <w:rPr>
          <w:rFonts w:eastAsiaTheme="minorEastAsia"/>
          <w:color w:val="000000" w:themeColor="text1"/>
          <w:sz w:val="24"/>
        </w:rPr>
        <w:t>5.10.2</w:t>
      </w:r>
      <w:r w:rsidR="00385AB9" w:rsidRPr="00C74EFF">
        <w:rPr>
          <w:rFonts w:eastAsiaTheme="minorEastAsia"/>
          <w:color w:val="000000" w:themeColor="text1"/>
          <w:sz w:val="24"/>
        </w:rPr>
        <w:t>报告期内本基金投资的前十名股票中没有在基金合同规定备选股票库之外的股票。</w:t>
      </w:r>
    </w:p>
    <w:p w:rsidR="00DC66A8" w:rsidRPr="00C74EFF" w:rsidRDefault="0076518F" w:rsidP="00A33DF2">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5.10.3</w:t>
        </w:r>
      </w:smartTag>
      <w:r w:rsidRPr="00C74EFF">
        <w:rPr>
          <w:rFonts w:eastAsiaTheme="minorEastAsia"/>
          <w:b/>
          <w:color w:val="000000" w:themeColor="text1"/>
          <w:kern w:val="0"/>
          <w:sz w:val="24"/>
        </w:rPr>
        <w:t>其他资产构成</w:t>
      </w:r>
    </w:p>
    <w:tbl>
      <w:tblPr>
        <w:tblStyle w:val="afa"/>
        <w:tblW w:w="0" w:type="auto"/>
        <w:tblLayout w:type="fixed"/>
        <w:tblLook w:val="04A0" w:firstRow="1" w:lastRow="0" w:firstColumn="1" w:lastColumn="0" w:noHBand="0" w:noVBand="1"/>
      </w:tblPr>
      <w:tblGrid>
        <w:gridCol w:w="817"/>
        <w:gridCol w:w="2903"/>
        <w:gridCol w:w="4808"/>
      </w:tblGrid>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序号</w:t>
            </w:r>
          </w:p>
        </w:tc>
        <w:tc>
          <w:tcPr>
            <w:tcW w:w="2903" w:type="dxa"/>
            <w:vAlign w:val="center"/>
          </w:tcPr>
          <w:p w:rsidR="000C4E2D" w:rsidRPr="00C74EFF" w:rsidRDefault="000C4E2D" w:rsidP="002705F5">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名称</w:t>
            </w:r>
          </w:p>
        </w:tc>
        <w:tc>
          <w:tcPr>
            <w:tcW w:w="4808" w:type="dxa"/>
            <w:vAlign w:val="center"/>
          </w:tcPr>
          <w:p w:rsidR="000C4E2D" w:rsidRPr="00C74EFF" w:rsidRDefault="000C4E2D" w:rsidP="002705F5">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金额</w:t>
            </w:r>
            <w:r w:rsidRPr="00C74EFF">
              <w:rPr>
                <w:rFonts w:eastAsiaTheme="minorEastAsia"/>
                <w:color w:val="000000" w:themeColor="text1"/>
                <w:kern w:val="0"/>
                <w:sz w:val="24"/>
              </w:rPr>
              <w:t>(</w:t>
            </w:r>
            <w:r w:rsidRPr="00C74EFF">
              <w:rPr>
                <w:rFonts w:eastAsiaTheme="minorEastAsia"/>
                <w:color w:val="000000" w:themeColor="text1"/>
                <w:kern w:val="0"/>
                <w:sz w:val="24"/>
              </w:rPr>
              <w:t>元</w:t>
            </w:r>
            <w:r w:rsidRPr="00C74EFF">
              <w:rPr>
                <w:rFonts w:eastAsiaTheme="minorEastAsia"/>
                <w:color w:val="000000" w:themeColor="text1"/>
                <w:kern w:val="0"/>
                <w:sz w:val="24"/>
              </w:rPr>
              <w:t>)</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sz w:val="24"/>
              </w:rPr>
              <w:t>1</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存出保证金</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101,560.85</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2</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应收证券清算款</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3</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应收股利</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4</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应收利息</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5</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应收申购款</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6</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其他应收款</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w:t>
            </w:r>
          </w:p>
        </w:tc>
      </w:tr>
      <w:tr w:rsidR="00EF0A05" w:rsidRPr="00C74EFF" w:rsidTr="007B51EE">
        <w:tc>
          <w:tcPr>
            <w:tcW w:w="817" w:type="dxa"/>
            <w:vAlign w:val="center"/>
          </w:tcPr>
          <w:p w:rsidR="001A5DA4" w:rsidRPr="00C74EFF" w:rsidRDefault="001A5DA4" w:rsidP="005845FD">
            <w:pPr>
              <w:jc w:val="center"/>
              <w:rPr>
                <w:rFonts w:eastAsiaTheme="minorEastAsia"/>
                <w:color w:val="000000" w:themeColor="text1"/>
                <w:sz w:val="24"/>
              </w:rPr>
            </w:pPr>
            <w:r w:rsidRPr="00C74EFF">
              <w:rPr>
                <w:rFonts w:eastAsiaTheme="minorEastAsia"/>
                <w:color w:val="000000" w:themeColor="text1"/>
                <w:sz w:val="24"/>
              </w:rPr>
              <w:t>7</w:t>
            </w:r>
          </w:p>
        </w:tc>
        <w:tc>
          <w:tcPr>
            <w:tcW w:w="2903" w:type="dxa"/>
            <w:vAlign w:val="center"/>
          </w:tcPr>
          <w:p w:rsidR="001A5DA4" w:rsidRPr="00C74EFF" w:rsidRDefault="001A5DA4" w:rsidP="001A5DA4">
            <w:pPr>
              <w:rPr>
                <w:rFonts w:eastAsiaTheme="minorEastAsia"/>
                <w:color w:val="000000" w:themeColor="text1"/>
                <w:sz w:val="24"/>
              </w:rPr>
            </w:pPr>
            <w:r w:rsidRPr="00C74EFF">
              <w:rPr>
                <w:rFonts w:eastAsiaTheme="minorEastAsia"/>
                <w:color w:val="000000" w:themeColor="text1"/>
                <w:sz w:val="24"/>
              </w:rPr>
              <w:t>待摊费用</w:t>
            </w:r>
          </w:p>
        </w:tc>
        <w:tc>
          <w:tcPr>
            <w:tcW w:w="4808" w:type="dxa"/>
            <w:vAlign w:val="center"/>
          </w:tcPr>
          <w:p w:rsidR="001A5DA4" w:rsidRPr="00C74EFF" w:rsidRDefault="001A5DA4" w:rsidP="005845FD">
            <w:pPr>
              <w:autoSpaceDE w:val="0"/>
              <w:autoSpaceDN w:val="0"/>
              <w:adjustRightInd w:val="0"/>
              <w:spacing w:before="29" w:line="360" w:lineRule="auto"/>
              <w:ind w:left="15"/>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8</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其他</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w:t>
            </w:r>
          </w:p>
        </w:tc>
      </w:tr>
      <w:tr w:rsidR="00EF0A05" w:rsidRPr="00C74EFF" w:rsidTr="007B51EE">
        <w:tc>
          <w:tcPr>
            <w:tcW w:w="817" w:type="dxa"/>
            <w:vAlign w:val="center"/>
          </w:tcPr>
          <w:p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9</w:t>
            </w:r>
          </w:p>
        </w:tc>
        <w:tc>
          <w:tcPr>
            <w:tcW w:w="2903" w:type="dxa"/>
            <w:vAlign w:val="center"/>
          </w:tcPr>
          <w:p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合计</w:t>
            </w:r>
          </w:p>
        </w:tc>
        <w:tc>
          <w:tcPr>
            <w:tcW w:w="4808" w:type="dxa"/>
            <w:vAlign w:val="center"/>
          </w:tcPr>
          <w:p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101,560.85</w:t>
            </w:r>
          </w:p>
        </w:tc>
      </w:tr>
    </w:tbl>
    <w:p w:rsidR="0076518F" w:rsidRPr="00C74EFF" w:rsidRDefault="0076518F" w:rsidP="00A33DF2">
      <w:pPr>
        <w:autoSpaceDE w:val="0"/>
        <w:autoSpaceDN w:val="0"/>
        <w:adjustRightInd w:val="0"/>
        <w:spacing w:line="360" w:lineRule="auto"/>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5.10.4</w:t>
        </w:r>
      </w:smartTag>
      <w:r w:rsidRPr="00C74EFF">
        <w:rPr>
          <w:rFonts w:eastAsiaTheme="minorEastAsia"/>
          <w:b/>
          <w:bCs/>
          <w:color w:val="000000" w:themeColor="text1"/>
          <w:sz w:val="24"/>
        </w:rPr>
        <w:t>报告期末持有的处于转股期的可转换债券明细</w:t>
      </w:r>
    </w:p>
    <w:p w:rsidR="0076518F" w:rsidRPr="00C74EFF" w:rsidRDefault="00385AB9"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lastRenderedPageBreak/>
        <w:t>本基金本报告期末未持有处于转股期的可转换债券。</w:t>
      </w:r>
    </w:p>
    <w:p w:rsidR="00467BA5" w:rsidRPr="00C74EFF" w:rsidRDefault="00467BA5" w:rsidP="00467BA5">
      <w:pPr>
        <w:autoSpaceDE w:val="0"/>
        <w:autoSpaceDN w:val="0"/>
        <w:adjustRightInd w:val="0"/>
        <w:spacing w:line="360" w:lineRule="auto"/>
        <w:rPr>
          <w:rFonts w:eastAsiaTheme="minorEastAsia"/>
          <w:b/>
          <w:color w:val="000000" w:themeColor="text1"/>
          <w:kern w:val="0"/>
          <w:sz w:val="24"/>
        </w:rPr>
      </w:pPr>
      <w:r w:rsidRPr="00C74EFF">
        <w:rPr>
          <w:rFonts w:eastAsiaTheme="minorEastAsia"/>
          <w:b/>
          <w:color w:val="000000" w:themeColor="text1"/>
          <w:kern w:val="0"/>
          <w:sz w:val="24"/>
        </w:rPr>
        <w:t>5.10.5</w:t>
      </w:r>
      <w:r w:rsidRPr="00C74EFF">
        <w:rPr>
          <w:rFonts w:eastAsiaTheme="minorEastAsia"/>
          <w:b/>
          <w:color w:val="000000" w:themeColor="text1"/>
          <w:kern w:val="0"/>
          <w:sz w:val="24"/>
        </w:rPr>
        <w:t>报告期末前十名股票中存在流通受限情况的说明</w:t>
      </w:r>
    </w:p>
    <w:p w:rsidR="0076518F" w:rsidRPr="00C74EFF" w:rsidRDefault="001522EE" w:rsidP="00A33DF2">
      <w:pPr>
        <w:autoSpaceDE w:val="0"/>
        <w:autoSpaceDN w:val="0"/>
        <w:adjustRightInd w:val="0"/>
        <w:spacing w:line="360" w:lineRule="auto"/>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5.10.5</w:t>
        </w:r>
      </w:smartTag>
      <w:r w:rsidRPr="00C74EFF">
        <w:rPr>
          <w:rFonts w:eastAsiaTheme="minorEastAsia"/>
          <w:b/>
          <w:color w:val="000000" w:themeColor="text1"/>
          <w:kern w:val="0"/>
          <w:sz w:val="24"/>
        </w:rPr>
        <w:t>.1</w:t>
      </w:r>
      <w:r w:rsidR="0076518F" w:rsidRPr="00C74EFF">
        <w:rPr>
          <w:rFonts w:eastAsiaTheme="minorEastAsia"/>
          <w:b/>
          <w:color w:val="000000" w:themeColor="text1"/>
          <w:kern w:val="0"/>
          <w:sz w:val="24"/>
        </w:rPr>
        <w:t xml:space="preserve"> </w:t>
      </w:r>
      <w:r w:rsidR="0076518F" w:rsidRPr="00C74EFF">
        <w:rPr>
          <w:rFonts w:eastAsiaTheme="minorEastAsia"/>
          <w:b/>
          <w:color w:val="000000" w:themeColor="text1"/>
          <w:kern w:val="0"/>
          <w:sz w:val="24"/>
        </w:rPr>
        <w:t>报告期末</w:t>
      </w:r>
      <w:r w:rsidR="00FD7153" w:rsidRPr="00C74EFF">
        <w:rPr>
          <w:rFonts w:eastAsiaTheme="minorEastAsia"/>
          <w:b/>
          <w:color w:val="000000" w:themeColor="text1"/>
          <w:kern w:val="0"/>
          <w:sz w:val="24"/>
        </w:rPr>
        <w:t>指数投资</w:t>
      </w:r>
      <w:r w:rsidR="0076518F" w:rsidRPr="00C74EFF">
        <w:rPr>
          <w:rFonts w:eastAsiaTheme="minorEastAsia"/>
          <w:b/>
          <w:color w:val="000000" w:themeColor="text1"/>
          <w:kern w:val="0"/>
          <w:sz w:val="24"/>
        </w:rPr>
        <w:t>前十名股票中存在流通受限情况的说明</w:t>
      </w:r>
    </w:p>
    <w:p w:rsidR="0076518F" w:rsidRPr="00C74EFF" w:rsidRDefault="00385AB9"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本基金本报告期末前十名股票中不存在流通受限情况。</w:t>
      </w:r>
    </w:p>
    <w:p w:rsidR="0025007C" w:rsidRPr="00C74EFF" w:rsidRDefault="0025007C" w:rsidP="00A33DF2">
      <w:pPr>
        <w:autoSpaceDE w:val="0"/>
        <w:autoSpaceDN w:val="0"/>
        <w:adjustRightInd w:val="0"/>
        <w:spacing w:line="360" w:lineRule="auto"/>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5.10.5</w:t>
        </w:r>
      </w:smartTag>
      <w:r w:rsidRPr="00C74EFF">
        <w:rPr>
          <w:rFonts w:eastAsiaTheme="minorEastAsia"/>
          <w:b/>
          <w:color w:val="000000" w:themeColor="text1"/>
          <w:kern w:val="0"/>
          <w:sz w:val="24"/>
        </w:rPr>
        <w:t>.</w:t>
      </w:r>
      <w:r w:rsidR="001522EE" w:rsidRPr="00C74EFF">
        <w:rPr>
          <w:rFonts w:eastAsiaTheme="minorEastAsia"/>
          <w:b/>
          <w:color w:val="000000" w:themeColor="text1"/>
          <w:kern w:val="0"/>
          <w:sz w:val="24"/>
        </w:rPr>
        <w:t>2</w:t>
      </w:r>
      <w:r w:rsidRPr="00C74EFF">
        <w:rPr>
          <w:rFonts w:eastAsiaTheme="minorEastAsia"/>
          <w:b/>
          <w:color w:val="000000" w:themeColor="text1"/>
          <w:kern w:val="0"/>
          <w:sz w:val="24"/>
        </w:rPr>
        <w:t>报告期末积极投资前五名股票中存在流通受限情况的说明</w:t>
      </w:r>
    </w:p>
    <w:p w:rsidR="0025007C" w:rsidRPr="00C74EFF" w:rsidRDefault="00385AB9"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本基金本报告期末前五名积极投资中不存在流通受限情况。</w:t>
      </w:r>
    </w:p>
    <w:p w:rsidR="00120B9A" w:rsidRPr="00C74EFF" w:rsidRDefault="00120B9A" w:rsidP="0025007C">
      <w:pPr>
        <w:spacing w:before="29" w:line="360" w:lineRule="auto"/>
        <w:rPr>
          <w:rFonts w:eastAsiaTheme="minorEastAsia"/>
          <w:bCs/>
          <w:color w:val="000000" w:themeColor="text1"/>
          <w:sz w:val="24"/>
        </w:rPr>
      </w:pPr>
    </w:p>
    <w:p w:rsidR="0076518F" w:rsidRPr="00C74EFF" w:rsidRDefault="0076518F" w:rsidP="00A33DF2">
      <w:pPr>
        <w:autoSpaceDE w:val="0"/>
        <w:autoSpaceDN w:val="0"/>
        <w:adjustRightInd w:val="0"/>
        <w:spacing w:line="360" w:lineRule="auto"/>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5.10.6</w:t>
        </w:r>
        <w:r w:rsidR="00AF41C5" w:rsidRPr="00C74EFF">
          <w:rPr>
            <w:rFonts w:eastAsiaTheme="minorEastAsia"/>
            <w:b/>
            <w:bCs/>
            <w:color w:val="000000" w:themeColor="text1"/>
            <w:kern w:val="0"/>
            <w:sz w:val="24"/>
          </w:rPr>
          <w:t>投资组合报告附注的其他文字描述部分</w:t>
        </w:r>
      </w:smartTag>
    </w:p>
    <w:p w:rsidR="0076518F" w:rsidRPr="00C74EFF" w:rsidRDefault="00385AB9" w:rsidP="005C07DC">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因四舍五入原因，投资组合报告中分项之和与合计可能存在尾差。</w:t>
      </w: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w:t>
      </w:r>
      <w:r w:rsidR="00B52166" w:rsidRPr="00C74EFF">
        <w:rPr>
          <w:rFonts w:eastAsiaTheme="minorEastAsia"/>
          <w:color w:val="000000" w:themeColor="text1"/>
          <w:kern w:val="0"/>
          <w:sz w:val="24"/>
          <w:szCs w:val="24"/>
        </w:rPr>
        <w:t>6</w:t>
      </w:r>
      <w:r w:rsidRPr="00C74EFF">
        <w:rPr>
          <w:rFonts w:eastAsiaTheme="minorEastAsia"/>
          <w:color w:val="000000" w:themeColor="text1"/>
          <w:kern w:val="0"/>
          <w:sz w:val="24"/>
          <w:szCs w:val="24"/>
        </w:rPr>
        <w:t xml:space="preserve">  </w:t>
      </w:r>
      <w:r w:rsidRPr="00C74EFF">
        <w:rPr>
          <w:rFonts w:eastAsiaTheme="minorEastAsia"/>
          <w:color w:val="000000" w:themeColor="text1"/>
          <w:kern w:val="0"/>
          <w:sz w:val="24"/>
          <w:szCs w:val="24"/>
        </w:rPr>
        <w:t>开放式基金份额变动</w:t>
      </w:r>
    </w:p>
    <w:p w:rsidR="0076518F" w:rsidRPr="00C74EFF" w:rsidRDefault="0076518F" w:rsidP="008B6A4A">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单位：份</w:t>
      </w:r>
    </w:p>
    <w:tbl>
      <w:tblPr>
        <w:tblW w:w="0" w:type="auto"/>
        <w:tblInd w:w="-106" w:type="dxa"/>
        <w:tblLayout w:type="fixed"/>
        <w:tblLook w:val="0000" w:firstRow="0" w:lastRow="0" w:firstColumn="0" w:lastColumn="0" w:noHBand="0" w:noVBand="0"/>
      </w:tblPr>
      <w:tblGrid>
        <w:gridCol w:w="4609"/>
        <w:gridCol w:w="4025"/>
      </w:tblGrid>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410,128,000.00</w:t>
            </w:r>
          </w:p>
        </w:tc>
      </w:tr>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6F39B6"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报告期期间</w:t>
            </w:r>
            <w:r w:rsidR="00385AB9" w:rsidRPr="00C74EFF">
              <w:rPr>
                <w:rFonts w:eastAsiaTheme="minorEastAsia"/>
                <w:color w:val="000000" w:themeColor="text1"/>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321,000,000.00</w:t>
            </w:r>
          </w:p>
        </w:tc>
      </w:tr>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减：</w:t>
            </w:r>
            <w:r w:rsidR="006F39B6" w:rsidRPr="00C74EFF">
              <w:rPr>
                <w:rFonts w:eastAsiaTheme="minorEastAsia"/>
                <w:color w:val="000000" w:themeColor="text1"/>
                <w:kern w:val="0"/>
                <w:sz w:val="24"/>
              </w:rPr>
              <w:t>报告期期间</w:t>
            </w:r>
            <w:r w:rsidRPr="00C74EFF">
              <w:rPr>
                <w:rFonts w:eastAsiaTheme="minorEastAsia"/>
                <w:color w:val="000000" w:themeColor="text1"/>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447,000,000.00</w:t>
            </w:r>
          </w:p>
        </w:tc>
      </w:tr>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6F39B6"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报告期期间</w:t>
            </w:r>
            <w:r w:rsidR="00385AB9" w:rsidRPr="00C74EFF">
              <w:rPr>
                <w:rFonts w:eastAsiaTheme="minorEastAsia"/>
                <w:color w:val="000000" w:themeColor="text1"/>
                <w:kern w:val="0"/>
                <w:sz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284,128,000.00</w:t>
            </w:r>
          </w:p>
        </w:tc>
      </w:tr>
    </w:tbl>
    <w:p w:rsidR="000741EF" w:rsidRPr="00C74EFF" w:rsidRDefault="000741EF" w:rsidP="000E002D">
      <w:pPr>
        <w:pStyle w:val="1"/>
        <w:tabs>
          <w:tab w:val="center" w:pos="4156"/>
          <w:tab w:val="right" w:pos="8312"/>
        </w:tabs>
        <w:spacing w:beforeLines="100" w:before="312" w:afterLines="100" w:after="312" w:line="360" w:lineRule="auto"/>
        <w:jc w:val="center"/>
        <w:rPr>
          <w:color w:val="000000" w:themeColor="text1"/>
          <w:sz w:val="24"/>
          <w:szCs w:val="24"/>
        </w:rPr>
      </w:pPr>
      <w:r w:rsidRPr="00C74EFF">
        <w:rPr>
          <w:rFonts w:eastAsiaTheme="minorEastAsia"/>
          <w:color w:val="000000" w:themeColor="text1"/>
          <w:kern w:val="0"/>
          <w:sz w:val="24"/>
          <w:szCs w:val="24"/>
        </w:rPr>
        <w:t xml:space="preserve">§7  </w:t>
      </w:r>
      <w:r w:rsidRPr="00C74EFF">
        <w:rPr>
          <w:color w:val="000000" w:themeColor="text1"/>
          <w:sz w:val="24"/>
          <w:szCs w:val="24"/>
        </w:rPr>
        <w:t>基金管理人运用固有资金投资本基金情况</w:t>
      </w:r>
    </w:p>
    <w:p w:rsidR="000741EF" w:rsidRPr="00C74EFF" w:rsidRDefault="000741EF" w:rsidP="000741EF">
      <w:pPr>
        <w:spacing w:line="360" w:lineRule="auto"/>
        <w:jc w:val="left"/>
        <w:rPr>
          <w:color w:val="000000" w:themeColor="text1"/>
          <w:sz w:val="24"/>
        </w:rPr>
      </w:pPr>
      <w:r w:rsidRPr="00C74EFF">
        <w:rPr>
          <w:b/>
          <w:color w:val="000000" w:themeColor="text1"/>
          <w:sz w:val="24"/>
        </w:rPr>
        <w:t xml:space="preserve">7.1 </w:t>
      </w:r>
      <w:r w:rsidRPr="00C74EFF">
        <w:rPr>
          <w:b/>
          <w:color w:val="000000" w:themeColor="text1"/>
          <w:sz w:val="24"/>
        </w:rPr>
        <w:t>基金管理人持有本基金份额变动情况</w:t>
      </w:r>
    </w:p>
    <w:p w:rsidR="000741EF" w:rsidRPr="00C74EFF" w:rsidRDefault="000741EF" w:rsidP="000741EF">
      <w:pPr>
        <w:autoSpaceDE w:val="0"/>
        <w:autoSpaceDN w:val="0"/>
        <w:adjustRightInd w:val="0"/>
        <w:spacing w:line="360" w:lineRule="auto"/>
        <w:jc w:val="left"/>
        <w:rPr>
          <w:rFonts w:eastAsiaTheme="minorEastAsia"/>
          <w:color w:val="000000" w:themeColor="text1"/>
          <w:kern w:val="0"/>
          <w:sz w:val="24"/>
        </w:rPr>
      </w:pPr>
      <w:r w:rsidRPr="00C74EFF">
        <w:rPr>
          <w:rFonts w:eastAsiaTheme="minorEastAsia"/>
          <w:color w:val="000000" w:themeColor="text1"/>
          <w:kern w:val="0"/>
          <w:sz w:val="24"/>
        </w:rPr>
        <w:t>无。</w:t>
      </w:r>
    </w:p>
    <w:p w:rsidR="000741EF" w:rsidRPr="00C74EFF" w:rsidRDefault="000741EF" w:rsidP="000741EF">
      <w:pPr>
        <w:autoSpaceDE w:val="0"/>
        <w:autoSpaceDN w:val="0"/>
        <w:adjustRightInd w:val="0"/>
        <w:spacing w:line="360" w:lineRule="auto"/>
        <w:jc w:val="left"/>
        <w:rPr>
          <w:rFonts w:eastAsiaTheme="minorEastAsia"/>
          <w:color w:val="000000" w:themeColor="text1"/>
          <w:kern w:val="0"/>
          <w:sz w:val="24"/>
        </w:rPr>
      </w:pPr>
    </w:p>
    <w:p w:rsidR="000741EF" w:rsidRPr="00C74EFF" w:rsidRDefault="000741EF" w:rsidP="000741EF">
      <w:pPr>
        <w:spacing w:line="360" w:lineRule="auto"/>
        <w:jc w:val="left"/>
        <w:rPr>
          <w:rFonts w:eastAsiaTheme="minorEastAsia"/>
          <w:color w:val="000000" w:themeColor="text1"/>
          <w:kern w:val="0"/>
          <w:sz w:val="24"/>
        </w:rPr>
      </w:pPr>
      <w:r w:rsidRPr="00C74EFF">
        <w:rPr>
          <w:rFonts w:eastAsiaTheme="minorEastAsia"/>
          <w:b/>
          <w:color w:val="000000" w:themeColor="text1"/>
          <w:kern w:val="0"/>
          <w:sz w:val="24"/>
        </w:rPr>
        <w:t xml:space="preserve">7.2 </w:t>
      </w:r>
      <w:r w:rsidRPr="00C74EFF">
        <w:rPr>
          <w:rFonts w:eastAsiaTheme="minorEastAsia"/>
          <w:b/>
          <w:color w:val="000000" w:themeColor="text1"/>
          <w:kern w:val="0"/>
          <w:sz w:val="24"/>
        </w:rPr>
        <w:t>基金管理人运用固有资金投资本基金交易明细</w:t>
      </w:r>
    </w:p>
    <w:p w:rsidR="0061761F" w:rsidRPr="00C74EFF" w:rsidRDefault="000741EF" w:rsidP="0061761F">
      <w:pPr>
        <w:autoSpaceDE w:val="0"/>
        <w:autoSpaceDN w:val="0"/>
        <w:adjustRightInd w:val="0"/>
        <w:spacing w:line="360" w:lineRule="auto"/>
        <w:jc w:val="left"/>
        <w:rPr>
          <w:rFonts w:eastAsiaTheme="minorEastAsia"/>
          <w:color w:val="000000" w:themeColor="text1"/>
          <w:kern w:val="0"/>
          <w:sz w:val="24"/>
        </w:rPr>
      </w:pPr>
      <w:r w:rsidRPr="00C74EFF">
        <w:rPr>
          <w:rFonts w:eastAsiaTheme="minorEastAsia"/>
          <w:color w:val="000000" w:themeColor="text1"/>
          <w:kern w:val="0"/>
          <w:sz w:val="24"/>
        </w:rPr>
        <w:t>无。</w:t>
      </w: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lastRenderedPageBreak/>
        <w:t>§</w:t>
      </w:r>
      <w:r w:rsidR="00057A02" w:rsidRPr="00C74EFF">
        <w:rPr>
          <w:rFonts w:eastAsiaTheme="minorEastAsia"/>
          <w:color w:val="000000" w:themeColor="text1"/>
          <w:kern w:val="0"/>
          <w:sz w:val="24"/>
          <w:szCs w:val="24"/>
        </w:rPr>
        <w:t>8</w:t>
      </w:r>
      <w:r w:rsidRPr="00C74EFF">
        <w:rPr>
          <w:rFonts w:eastAsiaTheme="minorEastAsia"/>
          <w:color w:val="000000" w:themeColor="text1"/>
          <w:kern w:val="0"/>
          <w:sz w:val="24"/>
          <w:szCs w:val="24"/>
        </w:rPr>
        <w:t xml:space="preserve">  </w:t>
      </w:r>
      <w:r w:rsidRPr="00C74EFF">
        <w:rPr>
          <w:rFonts w:eastAsiaTheme="minorEastAsia"/>
          <w:color w:val="000000" w:themeColor="text1"/>
          <w:kern w:val="0"/>
          <w:sz w:val="24"/>
          <w:szCs w:val="24"/>
        </w:rPr>
        <w:t>影响投资者决策的其他重要信息</w:t>
      </w:r>
    </w:p>
    <w:p w:rsidR="009E33E6" w:rsidRPr="00C74EFF" w:rsidRDefault="009E33E6" w:rsidP="009E33E6">
      <w:pPr>
        <w:autoSpaceDE w:val="0"/>
        <w:autoSpaceDN w:val="0"/>
        <w:adjustRightInd w:val="0"/>
        <w:spacing w:line="360" w:lineRule="auto"/>
        <w:jc w:val="left"/>
        <w:rPr>
          <w:b/>
          <w:bCs/>
          <w:color w:val="000000"/>
          <w:kern w:val="0"/>
          <w:sz w:val="24"/>
        </w:rPr>
      </w:pPr>
      <w:r w:rsidRPr="00C74EFF">
        <w:rPr>
          <w:b/>
          <w:bCs/>
          <w:color w:val="000000"/>
          <w:kern w:val="0"/>
          <w:sz w:val="24"/>
        </w:rPr>
        <w:t xml:space="preserve">8.1 </w:t>
      </w:r>
      <w:r w:rsidRPr="00C74EFF">
        <w:rPr>
          <w:b/>
          <w:bCs/>
          <w:color w:val="000000"/>
          <w:kern w:val="0"/>
          <w:sz w:val="24"/>
        </w:rPr>
        <w:t>报告期内单一投资者持有基金份额比例达到或超过</w:t>
      </w:r>
      <w:r w:rsidRPr="00C74EFF">
        <w:rPr>
          <w:b/>
          <w:bCs/>
          <w:color w:val="000000"/>
          <w:kern w:val="0"/>
          <w:sz w:val="24"/>
        </w:rPr>
        <w:t>20%</w:t>
      </w:r>
      <w:r w:rsidRPr="00C74EFF">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9E33E6" w:rsidRPr="00C74EFF" w:rsidTr="0038354C">
        <w:tc>
          <w:tcPr>
            <w:tcW w:w="993" w:type="dxa"/>
            <w:vMerge w:val="restart"/>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投资者类别</w:t>
            </w:r>
            <w:r w:rsidRPr="00C74EFF">
              <w:rPr>
                <w:color w:val="000000"/>
                <w:kern w:val="0"/>
                <w:sz w:val="24"/>
              </w:rPr>
              <w:t xml:space="preserve">  </w:t>
            </w:r>
          </w:p>
        </w:tc>
        <w:tc>
          <w:tcPr>
            <w:tcW w:w="5670" w:type="dxa"/>
            <w:gridSpan w:val="5"/>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报告期内持有基金份额变化情况</w:t>
            </w:r>
          </w:p>
        </w:tc>
        <w:tc>
          <w:tcPr>
            <w:tcW w:w="2549" w:type="dxa"/>
            <w:gridSpan w:val="2"/>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报告期末持有基金情况</w:t>
            </w:r>
          </w:p>
        </w:tc>
      </w:tr>
      <w:tr w:rsidR="009E33E6" w:rsidRPr="00C74EFF" w:rsidTr="0038354C">
        <w:tc>
          <w:tcPr>
            <w:tcW w:w="993" w:type="dxa"/>
            <w:vMerge/>
            <w:vAlign w:val="center"/>
          </w:tcPr>
          <w:p w:rsidR="009E33E6" w:rsidRPr="00C74EFF" w:rsidRDefault="009E33E6" w:rsidP="0038354C">
            <w:pPr>
              <w:autoSpaceDE w:val="0"/>
              <w:autoSpaceDN w:val="0"/>
              <w:adjustRightInd w:val="0"/>
              <w:jc w:val="center"/>
              <w:rPr>
                <w:b/>
                <w:bCs/>
                <w:color w:val="000000"/>
                <w:kern w:val="0"/>
                <w:sz w:val="24"/>
              </w:rPr>
            </w:pPr>
          </w:p>
        </w:tc>
        <w:tc>
          <w:tcPr>
            <w:tcW w:w="992" w:type="dxa"/>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序号</w:t>
            </w:r>
          </w:p>
        </w:tc>
        <w:tc>
          <w:tcPr>
            <w:tcW w:w="1843" w:type="dxa"/>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持有基金份额比例达到或者超过</w:t>
            </w:r>
            <w:r w:rsidRPr="00C74EFF">
              <w:rPr>
                <w:color w:val="000000"/>
                <w:kern w:val="0"/>
                <w:sz w:val="24"/>
              </w:rPr>
              <w:t>20%</w:t>
            </w:r>
            <w:r w:rsidRPr="00C74EFF">
              <w:rPr>
                <w:color w:val="000000"/>
                <w:kern w:val="0"/>
                <w:sz w:val="24"/>
              </w:rPr>
              <w:t>的时间区间</w:t>
            </w:r>
          </w:p>
        </w:tc>
        <w:tc>
          <w:tcPr>
            <w:tcW w:w="851" w:type="dxa"/>
            <w:vAlign w:val="center"/>
          </w:tcPr>
          <w:p w:rsidR="009E33E6" w:rsidRPr="00C74EFF" w:rsidRDefault="009E33E6" w:rsidP="0038354C">
            <w:pPr>
              <w:widowControl/>
              <w:jc w:val="center"/>
              <w:rPr>
                <w:b/>
                <w:bCs/>
                <w:color w:val="000000"/>
                <w:kern w:val="0"/>
                <w:sz w:val="24"/>
              </w:rPr>
            </w:pPr>
            <w:r w:rsidRPr="00C74EFF">
              <w:rPr>
                <w:color w:val="000000"/>
                <w:kern w:val="0"/>
                <w:sz w:val="24"/>
              </w:rPr>
              <w:t>期初份额</w:t>
            </w:r>
          </w:p>
        </w:tc>
        <w:tc>
          <w:tcPr>
            <w:tcW w:w="850" w:type="dxa"/>
            <w:vAlign w:val="center"/>
          </w:tcPr>
          <w:p w:rsidR="009E33E6" w:rsidRPr="00C74EFF" w:rsidRDefault="009E33E6" w:rsidP="0038354C">
            <w:pPr>
              <w:widowControl/>
              <w:jc w:val="center"/>
              <w:rPr>
                <w:b/>
                <w:bCs/>
                <w:color w:val="000000"/>
                <w:kern w:val="0"/>
                <w:sz w:val="24"/>
              </w:rPr>
            </w:pPr>
            <w:r w:rsidRPr="00C74EFF">
              <w:rPr>
                <w:color w:val="000000"/>
                <w:kern w:val="0"/>
                <w:sz w:val="24"/>
              </w:rPr>
              <w:t>申购份额</w:t>
            </w:r>
          </w:p>
        </w:tc>
        <w:tc>
          <w:tcPr>
            <w:tcW w:w="1134" w:type="dxa"/>
            <w:vAlign w:val="center"/>
          </w:tcPr>
          <w:p w:rsidR="009E33E6" w:rsidRPr="00C74EFF" w:rsidRDefault="009E33E6" w:rsidP="0038354C">
            <w:pPr>
              <w:widowControl/>
              <w:jc w:val="center"/>
              <w:rPr>
                <w:b/>
                <w:bCs/>
                <w:color w:val="000000"/>
                <w:kern w:val="0"/>
                <w:sz w:val="24"/>
              </w:rPr>
            </w:pPr>
            <w:r w:rsidRPr="00C74EFF">
              <w:rPr>
                <w:color w:val="000000"/>
                <w:kern w:val="0"/>
                <w:sz w:val="24"/>
              </w:rPr>
              <w:t>赎回份额</w:t>
            </w:r>
          </w:p>
        </w:tc>
        <w:tc>
          <w:tcPr>
            <w:tcW w:w="1419" w:type="dxa"/>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持有份额</w:t>
            </w:r>
          </w:p>
        </w:tc>
        <w:tc>
          <w:tcPr>
            <w:tcW w:w="1130" w:type="dxa"/>
            <w:vAlign w:val="center"/>
          </w:tcPr>
          <w:p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份额占比</w:t>
            </w:r>
          </w:p>
        </w:tc>
      </w:tr>
      <w:tr w:rsidR="007C52CE">
        <w:tc>
          <w:tcPr>
            <w:tcW w:w="993" w:type="dxa"/>
            <w:vMerge w:val="restart"/>
            <w:vAlign w:val="center"/>
          </w:tcPr>
          <w:p w:rsidR="007C52CE" w:rsidRDefault="00E15F09">
            <w:r>
              <w:rPr>
                <w:bCs/>
                <w:color w:val="000000"/>
                <w:kern w:val="0"/>
                <w:sz w:val="24"/>
              </w:rPr>
              <w:t>机构</w:t>
            </w:r>
          </w:p>
        </w:tc>
        <w:tc>
          <w:tcPr>
            <w:tcW w:w="992" w:type="dxa"/>
            <w:vAlign w:val="center"/>
          </w:tcPr>
          <w:p w:rsidR="007C52CE" w:rsidRDefault="00E15F09">
            <w:pPr>
              <w:jc w:val="center"/>
            </w:pPr>
            <w:r>
              <w:rPr>
                <w:color w:val="000000"/>
                <w:kern w:val="0"/>
                <w:sz w:val="24"/>
              </w:rPr>
              <w:t>1</w:t>
            </w:r>
          </w:p>
        </w:tc>
        <w:tc>
          <w:tcPr>
            <w:tcW w:w="1843" w:type="dxa"/>
            <w:vAlign w:val="center"/>
          </w:tcPr>
          <w:p w:rsidR="007C52CE" w:rsidRDefault="00E15F09">
            <w:pPr>
              <w:jc w:val="center"/>
            </w:pPr>
            <w:r>
              <w:rPr>
                <w:color w:val="000000"/>
                <w:kern w:val="0"/>
                <w:sz w:val="24"/>
              </w:rPr>
              <w:t>20240227-20240227</w:t>
            </w:r>
          </w:p>
        </w:tc>
        <w:tc>
          <w:tcPr>
            <w:tcW w:w="851" w:type="dxa"/>
            <w:vAlign w:val="center"/>
          </w:tcPr>
          <w:p w:rsidR="007C52CE" w:rsidRDefault="00E15F09">
            <w:pPr>
              <w:jc w:val="center"/>
            </w:pPr>
            <w:r>
              <w:rPr>
                <w:color w:val="000000"/>
                <w:kern w:val="0"/>
                <w:sz w:val="24"/>
              </w:rPr>
              <w:t>31,176,400.00</w:t>
            </w:r>
          </w:p>
        </w:tc>
        <w:tc>
          <w:tcPr>
            <w:tcW w:w="850" w:type="dxa"/>
            <w:vAlign w:val="center"/>
          </w:tcPr>
          <w:p w:rsidR="007C52CE" w:rsidRDefault="00E15F09">
            <w:pPr>
              <w:jc w:val="center"/>
            </w:pPr>
            <w:r>
              <w:rPr>
                <w:color w:val="000000"/>
                <w:kern w:val="0"/>
                <w:sz w:val="24"/>
              </w:rPr>
              <w:t>201,253,300.00</w:t>
            </w:r>
          </w:p>
        </w:tc>
        <w:tc>
          <w:tcPr>
            <w:tcW w:w="1134" w:type="dxa"/>
            <w:vAlign w:val="center"/>
          </w:tcPr>
          <w:p w:rsidR="007C52CE" w:rsidRDefault="00E15F09">
            <w:pPr>
              <w:jc w:val="center"/>
            </w:pPr>
            <w:r>
              <w:rPr>
                <w:color w:val="000000"/>
                <w:kern w:val="0"/>
                <w:sz w:val="24"/>
              </w:rPr>
              <w:t>193,873,500.00</w:t>
            </w:r>
          </w:p>
        </w:tc>
        <w:tc>
          <w:tcPr>
            <w:tcW w:w="1419" w:type="dxa"/>
            <w:vAlign w:val="center"/>
          </w:tcPr>
          <w:p w:rsidR="007C52CE" w:rsidRDefault="00E15F09">
            <w:pPr>
              <w:jc w:val="center"/>
            </w:pPr>
            <w:r>
              <w:rPr>
                <w:color w:val="000000"/>
                <w:kern w:val="0"/>
                <w:sz w:val="24"/>
              </w:rPr>
              <w:t>38,556,200.00</w:t>
            </w:r>
          </w:p>
        </w:tc>
        <w:tc>
          <w:tcPr>
            <w:tcW w:w="1130" w:type="dxa"/>
            <w:vAlign w:val="center"/>
          </w:tcPr>
          <w:p w:rsidR="007C52CE" w:rsidRDefault="00E15F09">
            <w:pPr>
              <w:jc w:val="center"/>
            </w:pPr>
            <w:r>
              <w:rPr>
                <w:color w:val="000000"/>
                <w:kern w:val="0"/>
                <w:sz w:val="24"/>
              </w:rPr>
              <w:t>13.57%</w:t>
            </w:r>
          </w:p>
        </w:tc>
      </w:tr>
      <w:tr w:rsidR="007C52CE">
        <w:tc>
          <w:tcPr>
            <w:tcW w:w="993" w:type="dxa"/>
            <w:vMerge/>
          </w:tcPr>
          <w:p w:rsidR="007C52CE" w:rsidRDefault="007C52CE"/>
        </w:tc>
        <w:tc>
          <w:tcPr>
            <w:tcW w:w="992" w:type="dxa"/>
            <w:vAlign w:val="center"/>
          </w:tcPr>
          <w:p w:rsidR="007C52CE" w:rsidRDefault="00E15F09">
            <w:pPr>
              <w:jc w:val="center"/>
            </w:pPr>
            <w:r>
              <w:rPr>
                <w:color w:val="000000"/>
                <w:kern w:val="0"/>
                <w:sz w:val="24"/>
              </w:rPr>
              <w:t>2</w:t>
            </w:r>
          </w:p>
        </w:tc>
        <w:tc>
          <w:tcPr>
            <w:tcW w:w="1843" w:type="dxa"/>
            <w:vAlign w:val="center"/>
          </w:tcPr>
          <w:p w:rsidR="007C52CE" w:rsidRDefault="00E15F09">
            <w:pPr>
              <w:jc w:val="center"/>
            </w:pPr>
            <w:r>
              <w:rPr>
                <w:color w:val="000000"/>
                <w:kern w:val="0"/>
                <w:sz w:val="24"/>
              </w:rPr>
              <w:t>20240229-20240229</w:t>
            </w:r>
          </w:p>
        </w:tc>
        <w:tc>
          <w:tcPr>
            <w:tcW w:w="851" w:type="dxa"/>
            <w:vAlign w:val="center"/>
          </w:tcPr>
          <w:p w:rsidR="007C52CE" w:rsidRDefault="00E15F09">
            <w:pPr>
              <w:jc w:val="center"/>
            </w:pPr>
            <w:r>
              <w:rPr>
                <w:color w:val="000000"/>
                <w:kern w:val="0"/>
                <w:sz w:val="24"/>
              </w:rPr>
              <w:t>31,176,400.00</w:t>
            </w:r>
          </w:p>
        </w:tc>
        <w:tc>
          <w:tcPr>
            <w:tcW w:w="850" w:type="dxa"/>
            <w:vAlign w:val="center"/>
          </w:tcPr>
          <w:p w:rsidR="007C52CE" w:rsidRDefault="00E15F09">
            <w:pPr>
              <w:jc w:val="center"/>
            </w:pPr>
            <w:r>
              <w:rPr>
                <w:color w:val="000000"/>
                <w:kern w:val="0"/>
                <w:sz w:val="24"/>
              </w:rPr>
              <w:t>201,253,300.00</w:t>
            </w:r>
          </w:p>
        </w:tc>
        <w:tc>
          <w:tcPr>
            <w:tcW w:w="1134" w:type="dxa"/>
            <w:vAlign w:val="center"/>
          </w:tcPr>
          <w:p w:rsidR="007C52CE" w:rsidRDefault="00E15F09">
            <w:pPr>
              <w:jc w:val="center"/>
            </w:pPr>
            <w:r>
              <w:rPr>
                <w:color w:val="000000"/>
                <w:kern w:val="0"/>
                <w:sz w:val="24"/>
              </w:rPr>
              <w:t>193,873,500.00</w:t>
            </w:r>
          </w:p>
        </w:tc>
        <w:tc>
          <w:tcPr>
            <w:tcW w:w="1419" w:type="dxa"/>
            <w:vAlign w:val="center"/>
          </w:tcPr>
          <w:p w:rsidR="007C52CE" w:rsidRDefault="00E15F09">
            <w:pPr>
              <w:jc w:val="center"/>
            </w:pPr>
            <w:r>
              <w:rPr>
                <w:color w:val="000000"/>
                <w:kern w:val="0"/>
                <w:sz w:val="24"/>
              </w:rPr>
              <w:t>38,556,200.00</w:t>
            </w:r>
          </w:p>
        </w:tc>
        <w:tc>
          <w:tcPr>
            <w:tcW w:w="1130" w:type="dxa"/>
            <w:vAlign w:val="center"/>
          </w:tcPr>
          <w:p w:rsidR="007C52CE" w:rsidRDefault="00E15F09">
            <w:pPr>
              <w:jc w:val="center"/>
            </w:pPr>
            <w:r>
              <w:rPr>
                <w:color w:val="000000"/>
                <w:kern w:val="0"/>
                <w:sz w:val="24"/>
              </w:rPr>
              <w:t>13.57%</w:t>
            </w:r>
          </w:p>
        </w:tc>
      </w:tr>
      <w:tr w:rsidR="007C52CE">
        <w:tc>
          <w:tcPr>
            <w:tcW w:w="993" w:type="dxa"/>
            <w:vMerge/>
          </w:tcPr>
          <w:p w:rsidR="007C52CE" w:rsidRDefault="007C52CE"/>
        </w:tc>
        <w:tc>
          <w:tcPr>
            <w:tcW w:w="992" w:type="dxa"/>
            <w:vAlign w:val="center"/>
          </w:tcPr>
          <w:p w:rsidR="007C52CE" w:rsidRDefault="00E15F09">
            <w:pPr>
              <w:jc w:val="center"/>
            </w:pPr>
            <w:r>
              <w:rPr>
                <w:color w:val="000000"/>
                <w:kern w:val="0"/>
                <w:sz w:val="24"/>
              </w:rPr>
              <w:t>3</w:t>
            </w:r>
          </w:p>
        </w:tc>
        <w:tc>
          <w:tcPr>
            <w:tcW w:w="1843" w:type="dxa"/>
            <w:vAlign w:val="center"/>
          </w:tcPr>
          <w:p w:rsidR="007C52CE" w:rsidRDefault="00E15F09">
            <w:pPr>
              <w:jc w:val="center"/>
            </w:pPr>
            <w:r>
              <w:rPr>
                <w:color w:val="000000"/>
                <w:kern w:val="0"/>
                <w:sz w:val="24"/>
              </w:rPr>
              <w:t>20240306-20240311</w:t>
            </w:r>
          </w:p>
        </w:tc>
        <w:tc>
          <w:tcPr>
            <w:tcW w:w="851" w:type="dxa"/>
            <w:vAlign w:val="center"/>
          </w:tcPr>
          <w:p w:rsidR="007C52CE" w:rsidRDefault="00E15F09">
            <w:pPr>
              <w:jc w:val="center"/>
            </w:pPr>
            <w:r>
              <w:rPr>
                <w:color w:val="000000"/>
                <w:kern w:val="0"/>
                <w:sz w:val="24"/>
              </w:rPr>
              <w:t>31,176,400.00</w:t>
            </w:r>
          </w:p>
        </w:tc>
        <w:tc>
          <w:tcPr>
            <w:tcW w:w="850" w:type="dxa"/>
            <w:vAlign w:val="center"/>
          </w:tcPr>
          <w:p w:rsidR="007C52CE" w:rsidRDefault="00E15F09">
            <w:pPr>
              <w:jc w:val="center"/>
            </w:pPr>
            <w:r>
              <w:rPr>
                <w:color w:val="000000"/>
                <w:kern w:val="0"/>
                <w:sz w:val="24"/>
              </w:rPr>
              <w:t>201,253,300.00</w:t>
            </w:r>
          </w:p>
        </w:tc>
        <w:tc>
          <w:tcPr>
            <w:tcW w:w="1134" w:type="dxa"/>
            <w:vAlign w:val="center"/>
          </w:tcPr>
          <w:p w:rsidR="007C52CE" w:rsidRDefault="00E15F09">
            <w:pPr>
              <w:jc w:val="center"/>
            </w:pPr>
            <w:r>
              <w:rPr>
                <w:color w:val="000000"/>
                <w:kern w:val="0"/>
                <w:sz w:val="24"/>
              </w:rPr>
              <w:t>193,873,500.00</w:t>
            </w:r>
          </w:p>
        </w:tc>
        <w:tc>
          <w:tcPr>
            <w:tcW w:w="1419" w:type="dxa"/>
            <w:vAlign w:val="center"/>
          </w:tcPr>
          <w:p w:rsidR="007C52CE" w:rsidRDefault="00E15F09">
            <w:pPr>
              <w:jc w:val="center"/>
            </w:pPr>
            <w:r>
              <w:rPr>
                <w:color w:val="000000"/>
                <w:kern w:val="0"/>
                <w:sz w:val="24"/>
              </w:rPr>
              <w:t>38,556,200.00</w:t>
            </w:r>
          </w:p>
        </w:tc>
        <w:tc>
          <w:tcPr>
            <w:tcW w:w="1130" w:type="dxa"/>
            <w:vAlign w:val="center"/>
          </w:tcPr>
          <w:p w:rsidR="007C52CE" w:rsidRDefault="00E15F09">
            <w:pPr>
              <w:jc w:val="center"/>
            </w:pPr>
            <w:r>
              <w:rPr>
                <w:color w:val="000000"/>
                <w:kern w:val="0"/>
                <w:sz w:val="24"/>
              </w:rPr>
              <w:t>13.57%</w:t>
            </w:r>
          </w:p>
        </w:tc>
      </w:tr>
      <w:tr w:rsidR="007C52CE">
        <w:tc>
          <w:tcPr>
            <w:tcW w:w="993" w:type="dxa"/>
            <w:vMerge/>
          </w:tcPr>
          <w:p w:rsidR="007C52CE" w:rsidRDefault="007C52CE"/>
        </w:tc>
        <w:tc>
          <w:tcPr>
            <w:tcW w:w="992" w:type="dxa"/>
            <w:vAlign w:val="center"/>
          </w:tcPr>
          <w:p w:rsidR="007C52CE" w:rsidRDefault="00E15F09">
            <w:pPr>
              <w:jc w:val="center"/>
            </w:pPr>
            <w:r>
              <w:rPr>
                <w:color w:val="000000"/>
                <w:kern w:val="0"/>
                <w:sz w:val="24"/>
              </w:rPr>
              <w:t>4</w:t>
            </w:r>
          </w:p>
        </w:tc>
        <w:tc>
          <w:tcPr>
            <w:tcW w:w="1843" w:type="dxa"/>
            <w:vAlign w:val="center"/>
          </w:tcPr>
          <w:p w:rsidR="007C52CE" w:rsidRDefault="00E15F09">
            <w:pPr>
              <w:jc w:val="center"/>
            </w:pPr>
            <w:r>
              <w:rPr>
                <w:color w:val="000000"/>
                <w:kern w:val="0"/>
                <w:sz w:val="24"/>
              </w:rPr>
              <w:t>20240101-20240114</w:t>
            </w:r>
          </w:p>
        </w:tc>
        <w:tc>
          <w:tcPr>
            <w:tcW w:w="851" w:type="dxa"/>
            <w:vAlign w:val="center"/>
          </w:tcPr>
          <w:p w:rsidR="007C52CE" w:rsidRDefault="00E15F09">
            <w:pPr>
              <w:jc w:val="center"/>
            </w:pPr>
            <w:r>
              <w:rPr>
                <w:color w:val="000000"/>
                <w:kern w:val="0"/>
                <w:sz w:val="24"/>
              </w:rPr>
              <w:t>200,000,000.00</w:t>
            </w:r>
          </w:p>
        </w:tc>
        <w:tc>
          <w:tcPr>
            <w:tcW w:w="850" w:type="dxa"/>
            <w:vAlign w:val="center"/>
          </w:tcPr>
          <w:p w:rsidR="007C52CE" w:rsidRDefault="00E15F09">
            <w:pPr>
              <w:jc w:val="center"/>
            </w:pPr>
            <w:r>
              <w:rPr>
                <w:color w:val="000000"/>
                <w:kern w:val="0"/>
                <w:sz w:val="24"/>
              </w:rPr>
              <w:t>0.00</w:t>
            </w:r>
          </w:p>
        </w:tc>
        <w:tc>
          <w:tcPr>
            <w:tcW w:w="1134" w:type="dxa"/>
            <w:vAlign w:val="center"/>
          </w:tcPr>
          <w:p w:rsidR="007C52CE" w:rsidRDefault="00E15F09">
            <w:pPr>
              <w:jc w:val="center"/>
            </w:pPr>
            <w:r>
              <w:rPr>
                <w:color w:val="000000"/>
                <w:kern w:val="0"/>
                <w:sz w:val="24"/>
              </w:rPr>
              <w:t>200,000,000.00</w:t>
            </w:r>
          </w:p>
        </w:tc>
        <w:tc>
          <w:tcPr>
            <w:tcW w:w="1419" w:type="dxa"/>
            <w:vAlign w:val="center"/>
          </w:tcPr>
          <w:p w:rsidR="007C52CE" w:rsidRDefault="00E15F09">
            <w:pPr>
              <w:jc w:val="center"/>
            </w:pPr>
            <w:r>
              <w:rPr>
                <w:color w:val="000000"/>
                <w:kern w:val="0"/>
                <w:sz w:val="24"/>
              </w:rPr>
              <w:t>0.00</w:t>
            </w:r>
          </w:p>
        </w:tc>
        <w:tc>
          <w:tcPr>
            <w:tcW w:w="1130" w:type="dxa"/>
            <w:vAlign w:val="center"/>
          </w:tcPr>
          <w:p w:rsidR="007C52CE" w:rsidRDefault="00E15F09">
            <w:pPr>
              <w:jc w:val="center"/>
            </w:pPr>
            <w:r>
              <w:rPr>
                <w:color w:val="000000"/>
                <w:kern w:val="0"/>
                <w:sz w:val="24"/>
              </w:rPr>
              <w:t>0.00%</w:t>
            </w:r>
          </w:p>
        </w:tc>
      </w:tr>
      <w:tr w:rsidR="007C52CE">
        <w:tc>
          <w:tcPr>
            <w:tcW w:w="993" w:type="dxa"/>
            <w:vMerge/>
          </w:tcPr>
          <w:p w:rsidR="007C52CE" w:rsidRDefault="007C52CE"/>
        </w:tc>
        <w:tc>
          <w:tcPr>
            <w:tcW w:w="992" w:type="dxa"/>
            <w:vAlign w:val="center"/>
          </w:tcPr>
          <w:p w:rsidR="007C52CE" w:rsidRDefault="00E15F09">
            <w:pPr>
              <w:jc w:val="center"/>
            </w:pPr>
            <w:r>
              <w:rPr>
                <w:color w:val="000000"/>
                <w:kern w:val="0"/>
                <w:sz w:val="24"/>
              </w:rPr>
              <w:t>5</w:t>
            </w:r>
          </w:p>
        </w:tc>
        <w:tc>
          <w:tcPr>
            <w:tcW w:w="1843" w:type="dxa"/>
            <w:vAlign w:val="center"/>
          </w:tcPr>
          <w:p w:rsidR="007C52CE" w:rsidRDefault="00E15F09">
            <w:pPr>
              <w:jc w:val="center"/>
            </w:pPr>
            <w:r>
              <w:rPr>
                <w:color w:val="000000"/>
                <w:kern w:val="0"/>
                <w:sz w:val="24"/>
              </w:rPr>
              <w:t>20240116-20240116</w:t>
            </w:r>
          </w:p>
        </w:tc>
        <w:tc>
          <w:tcPr>
            <w:tcW w:w="851" w:type="dxa"/>
            <w:vAlign w:val="center"/>
          </w:tcPr>
          <w:p w:rsidR="007C52CE" w:rsidRDefault="00E15F09">
            <w:pPr>
              <w:jc w:val="center"/>
            </w:pPr>
            <w:r>
              <w:rPr>
                <w:color w:val="000000"/>
                <w:kern w:val="0"/>
                <w:sz w:val="24"/>
              </w:rPr>
              <w:t>200,000,000.00</w:t>
            </w:r>
          </w:p>
        </w:tc>
        <w:tc>
          <w:tcPr>
            <w:tcW w:w="850" w:type="dxa"/>
            <w:vAlign w:val="center"/>
          </w:tcPr>
          <w:p w:rsidR="007C52CE" w:rsidRDefault="00E15F09">
            <w:pPr>
              <w:jc w:val="center"/>
            </w:pPr>
            <w:r>
              <w:rPr>
                <w:color w:val="000000"/>
                <w:kern w:val="0"/>
                <w:sz w:val="24"/>
              </w:rPr>
              <w:t>0.00</w:t>
            </w:r>
          </w:p>
        </w:tc>
        <w:tc>
          <w:tcPr>
            <w:tcW w:w="1134" w:type="dxa"/>
            <w:vAlign w:val="center"/>
          </w:tcPr>
          <w:p w:rsidR="007C52CE" w:rsidRDefault="00E15F09">
            <w:pPr>
              <w:jc w:val="center"/>
            </w:pPr>
            <w:r>
              <w:rPr>
                <w:color w:val="000000"/>
                <w:kern w:val="0"/>
                <w:sz w:val="24"/>
              </w:rPr>
              <w:t>200,000,000.00</w:t>
            </w:r>
          </w:p>
        </w:tc>
        <w:tc>
          <w:tcPr>
            <w:tcW w:w="1419" w:type="dxa"/>
            <w:vAlign w:val="center"/>
          </w:tcPr>
          <w:p w:rsidR="007C52CE" w:rsidRDefault="00E15F09">
            <w:pPr>
              <w:jc w:val="center"/>
            </w:pPr>
            <w:r>
              <w:rPr>
                <w:color w:val="000000"/>
                <w:kern w:val="0"/>
                <w:sz w:val="24"/>
              </w:rPr>
              <w:t>0.00</w:t>
            </w:r>
          </w:p>
        </w:tc>
        <w:tc>
          <w:tcPr>
            <w:tcW w:w="1130" w:type="dxa"/>
            <w:vAlign w:val="center"/>
          </w:tcPr>
          <w:p w:rsidR="007C52CE" w:rsidRDefault="00E15F09">
            <w:pPr>
              <w:jc w:val="center"/>
            </w:pPr>
            <w:r>
              <w:rPr>
                <w:color w:val="000000"/>
                <w:kern w:val="0"/>
                <w:sz w:val="24"/>
              </w:rPr>
              <w:t>0.00%</w:t>
            </w:r>
          </w:p>
        </w:tc>
      </w:tr>
      <w:tr w:rsidR="009E33E6" w:rsidRPr="00C74EFF" w:rsidTr="0038354C">
        <w:tc>
          <w:tcPr>
            <w:tcW w:w="9212" w:type="dxa"/>
            <w:gridSpan w:val="8"/>
            <w:vAlign w:val="center"/>
          </w:tcPr>
          <w:p w:rsidR="009E33E6" w:rsidRPr="00C74EFF" w:rsidRDefault="009E33E6" w:rsidP="0038354C">
            <w:pPr>
              <w:autoSpaceDE w:val="0"/>
              <w:autoSpaceDN w:val="0"/>
              <w:adjustRightInd w:val="0"/>
              <w:jc w:val="center"/>
              <w:rPr>
                <w:kern w:val="0"/>
                <w:sz w:val="24"/>
              </w:rPr>
            </w:pPr>
            <w:r w:rsidRPr="00C74EFF">
              <w:rPr>
                <w:color w:val="000000"/>
                <w:kern w:val="0"/>
                <w:sz w:val="24"/>
              </w:rPr>
              <w:t>产品特有风险</w:t>
            </w:r>
          </w:p>
        </w:tc>
      </w:tr>
      <w:tr w:rsidR="009E33E6" w:rsidRPr="00C74EFF" w:rsidTr="0038354C">
        <w:tc>
          <w:tcPr>
            <w:tcW w:w="9212" w:type="dxa"/>
            <w:gridSpan w:val="8"/>
            <w:vAlign w:val="center"/>
          </w:tcPr>
          <w:p w:rsidR="009E33E6" w:rsidRPr="00C74EFF" w:rsidRDefault="009E33E6" w:rsidP="0038354C">
            <w:pPr>
              <w:autoSpaceDE w:val="0"/>
              <w:autoSpaceDN w:val="0"/>
              <w:adjustRightInd w:val="0"/>
              <w:jc w:val="left"/>
              <w:rPr>
                <w:kern w:val="0"/>
                <w:sz w:val="24"/>
              </w:rPr>
            </w:pPr>
            <w:r w:rsidRPr="00C74EFF">
              <w:rPr>
                <w:kern w:val="0"/>
                <w:sz w:val="24"/>
              </w:rPr>
              <w:t>本基金的集中度风险主要体现在有单一投资者持有基金份额比例达到或者超过</w:t>
            </w:r>
            <w:r w:rsidRPr="00C74EFF">
              <w:rPr>
                <w:kern w:val="0"/>
                <w:sz w:val="24"/>
              </w:rPr>
              <w:t>20%</w:t>
            </w:r>
            <w:r w:rsidRPr="00C74EFF">
              <w:rPr>
                <w:kern w:val="0"/>
                <w:sz w:val="24"/>
              </w:rPr>
              <w:t>，如果投资者发生大额赎回，可能出现基金可变现资产无法满足投资者赎回需要以及因为资产变现成本过高导致投资者的利益受到损害的风险。</w:t>
            </w:r>
          </w:p>
        </w:tc>
      </w:tr>
    </w:tbl>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w:t>
      </w:r>
      <w:r w:rsidR="005A7449" w:rsidRPr="00C74EFF">
        <w:rPr>
          <w:rFonts w:eastAsiaTheme="minorEastAsia"/>
          <w:color w:val="000000" w:themeColor="text1"/>
          <w:kern w:val="0"/>
          <w:sz w:val="24"/>
          <w:szCs w:val="24"/>
        </w:rPr>
        <w:t>9</w:t>
      </w:r>
      <w:r w:rsidR="00B82D3B" w:rsidRPr="00C74EFF">
        <w:rPr>
          <w:rFonts w:eastAsiaTheme="minorEastAsia"/>
          <w:color w:val="000000" w:themeColor="text1"/>
          <w:kern w:val="0"/>
          <w:sz w:val="24"/>
          <w:szCs w:val="24"/>
        </w:rPr>
        <w:t xml:space="preserve">  </w:t>
      </w:r>
      <w:r w:rsidRPr="00C74EFF">
        <w:rPr>
          <w:rFonts w:eastAsiaTheme="minorEastAsia"/>
          <w:color w:val="000000" w:themeColor="text1"/>
          <w:kern w:val="0"/>
          <w:sz w:val="24"/>
          <w:szCs w:val="24"/>
        </w:rPr>
        <w:t>备查文件目录</w:t>
      </w:r>
    </w:p>
    <w:p w:rsidR="0076518F" w:rsidRPr="00C74EFF" w:rsidRDefault="005A7449" w:rsidP="00CF2C2A">
      <w:pPr>
        <w:spacing w:line="360" w:lineRule="auto"/>
        <w:rPr>
          <w:rFonts w:eastAsiaTheme="minorEastAsia"/>
          <w:b/>
          <w:color w:val="000000" w:themeColor="text1"/>
          <w:sz w:val="24"/>
        </w:rPr>
      </w:pPr>
      <w:r w:rsidRPr="00C74EFF">
        <w:rPr>
          <w:rFonts w:eastAsiaTheme="minorEastAsia"/>
          <w:b/>
          <w:color w:val="000000" w:themeColor="text1"/>
          <w:sz w:val="24"/>
        </w:rPr>
        <w:t>9</w:t>
      </w:r>
      <w:r w:rsidR="0076518F" w:rsidRPr="00C74EFF">
        <w:rPr>
          <w:rFonts w:eastAsiaTheme="minorEastAsia"/>
          <w:b/>
          <w:color w:val="000000" w:themeColor="text1"/>
          <w:sz w:val="24"/>
        </w:rPr>
        <w:t>.</w:t>
      </w:r>
      <w:r w:rsidR="00057A02" w:rsidRPr="00C74EFF">
        <w:rPr>
          <w:rFonts w:eastAsiaTheme="minorEastAsia"/>
          <w:b/>
          <w:color w:val="000000" w:themeColor="text1"/>
          <w:sz w:val="24"/>
        </w:rPr>
        <w:t>1</w:t>
      </w:r>
      <w:r w:rsidR="0076518F" w:rsidRPr="00C74EFF">
        <w:rPr>
          <w:rFonts w:eastAsiaTheme="minorEastAsia"/>
          <w:b/>
          <w:color w:val="000000" w:themeColor="text1"/>
          <w:sz w:val="24"/>
        </w:rPr>
        <w:t xml:space="preserve"> </w:t>
      </w:r>
      <w:r w:rsidR="0076518F" w:rsidRPr="00C74EFF">
        <w:rPr>
          <w:rFonts w:eastAsiaTheme="minorEastAsia"/>
          <w:b/>
          <w:color w:val="000000" w:themeColor="text1"/>
          <w:sz w:val="24"/>
        </w:rPr>
        <w:t>备查文件目录</w:t>
      </w:r>
    </w:p>
    <w:p w:rsidR="007C52CE" w:rsidRDefault="00E15F09">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一</w:t>
      </w:r>
      <w:r>
        <w:rPr>
          <w:rFonts w:eastAsiaTheme="minorEastAsia"/>
          <w:color w:val="000000" w:themeColor="text1"/>
          <w:sz w:val="24"/>
        </w:rPr>
        <w:t>)</w:t>
      </w:r>
      <w:r>
        <w:rPr>
          <w:rFonts w:eastAsiaTheme="minorEastAsia"/>
          <w:color w:val="000000" w:themeColor="text1"/>
          <w:sz w:val="24"/>
        </w:rPr>
        <w:t>中国证监会准予本基金募集注册的文件</w:t>
      </w:r>
    </w:p>
    <w:p w:rsidR="007C52CE" w:rsidRDefault="00E15F09">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二</w:t>
      </w:r>
      <w:r>
        <w:rPr>
          <w:rFonts w:eastAsiaTheme="minorEastAsia"/>
          <w:color w:val="000000" w:themeColor="text1"/>
          <w:sz w:val="24"/>
        </w:rPr>
        <w:t>)</w:t>
      </w:r>
      <w:r>
        <w:rPr>
          <w:rFonts w:eastAsiaTheme="minorEastAsia"/>
          <w:color w:val="000000" w:themeColor="text1"/>
          <w:sz w:val="24"/>
        </w:rPr>
        <w:t>摩根恒生科技交易型开放式指数证券投资基金</w:t>
      </w:r>
      <w:r>
        <w:rPr>
          <w:rFonts w:eastAsiaTheme="minorEastAsia"/>
          <w:color w:val="000000" w:themeColor="text1"/>
          <w:sz w:val="24"/>
        </w:rPr>
        <w:t>(QDII)</w:t>
      </w:r>
      <w:r>
        <w:rPr>
          <w:rFonts w:eastAsiaTheme="minorEastAsia"/>
          <w:color w:val="000000" w:themeColor="text1"/>
          <w:sz w:val="24"/>
        </w:rPr>
        <w:t>基金合同</w:t>
      </w:r>
    </w:p>
    <w:p w:rsidR="007C52CE" w:rsidRDefault="00E15F09">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三</w:t>
      </w:r>
      <w:r>
        <w:rPr>
          <w:rFonts w:eastAsiaTheme="minorEastAsia"/>
          <w:color w:val="000000" w:themeColor="text1"/>
          <w:sz w:val="24"/>
        </w:rPr>
        <w:t>)</w:t>
      </w:r>
      <w:r>
        <w:rPr>
          <w:rFonts w:eastAsiaTheme="minorEastAsia"/>
          <w:color w:val="000000" w:themeColor="text1"/>
          <w:sz w:val="24"/>
        </w:rPr>
        <w:t>摩根恒生科技交易型开放式指数证券投资基金</w:t>
      </w:r>
      <w:r>
        <w:rPr>
          <w:rFonts w:eastAsiaTheme="minorEastAsia"/>
          <w:color w:val="000000" w:themeColor="text1"/>
          <w:sz w:val="24"/>
        </w:rPr>
        <w:t>(QDII)</w:t>
      </w:r>
      <w:r>
        <w:rPr>
          <w:rFonts w:eastAsiaTheme="minorEastAsia"/>
          <w:color w:val="000000" w:themeColor="text1"/>
          <w:sz w:val="24"/>
        </w:rPr>
        <w:t>托管协议</w:t>
      </w:r>
    </w:p>
    <w:p w:rsidR="007C52CE" w:rsidRDefault="00E15F09">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四</w:t>
      </w:r>
      <w:r>
        <w:rPr>
          <w:rFonts w:eastAsiaTheme="minorEastAsia"/>
          <w:color w:val="000000" w:themeColor="text1"/>
          <w:sz w:val="24"/>
        </w:rPr>
        <w:t>)</w:t>
      </w:r>
      <w:r>
        <w:rPr>
          <w:rFonts w:eastAsiaTheme="minorEastAsia"/>
          <w:color w:val="000000" w:themeColor="text1"/>
          <w:sz w:val="24"/>
        </w:rPr>
        <w:t>法律意见书</w:t>
      </w:r>
    </w:p>
    <w:p w:rsidR="007C52CE" w:rsidRDefault="00E15F09">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五</w:t>
      </w:r>
      <w:r>
        <w:rPr>
          <w:rFonts w:eastAsiaTheme="minorEastAsia"/>
          <w:color w:val="000000" w:themeColor="text1"/>
          <w:sz w:val="24"/>
        </w:rPr>
        <w:t>)</w:t>
      </w:r>
      <w:r>
        <w:rPr>
          <w:rFonts w:eastAsiaTheme="minorEastAsia"/>
          <w:color w:val="000000" w:themeColor="text1"/>
          <w:sz w:val="24"/>
        </w:rPr>
        <w:t>基金管理人业务资格批件、营业执照</w:t>
      </w:r>
    </w:p>
    <w:p w:rsidR="007C52CE" w:rsidRDefault="00E15F09">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六</w:t>
      </w:r>
      <w:r>
        <w:rPr>
          <w:rFonts w:eastAsiaTheme="minorEastAsia"/>
          <w:color w:val="000000" w:themeColor="text1"/>
          <w:sz w:val="24"/>
        </w:rPr>
        <w:t>)</w:t>
      </w:r>
      <w:r>
        <w:rPr>
          <w:rFonts w:eastAsiaTheme="minorEastAsia"/>
          <w:color w:val="000000" w:themeColor="text1"/>
          <w:sz w:val="24"/>
        </w:rPr>
        <w:t>基金托管人业务资格批件、营业执照</w:t>
      </w:r>
    </w:p>
    <w:p w:rsidR="0076518F" w:rsidRPr="00C74EFF" w:rsidRDefault="00385AB9" w:rsidP="00CF2C2A">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w:t>
      </w:r>
      <w:r w:rsidRPr="00C74EFF">
        <w:rPr>
          <w:rFonts w:eastAsiaTheme="minorEastAsia"/>
          <w:color w:val="000000" w:themeColor="text1"/>
          <w:sz w:val="24"/>
        </w:rPr>
        <w:t>七</w:t>
      </w:r>
      <w:r w:rsidRPr="00C74EFF">
        <w:rPr>
          <w:rFonts w:eastAsiaTheme="minorEastAsia"/>
          <w:color w:val="000000" w:themeColor="text1"/>
          <w:sz w:val="24"/>
        </w:rPr>
        <w:t>)</w:t>
      </w:r>
      <w:r w:rsidRPr="00C74EFF">
        <w:rPr>
          <w:rFonts w:eastAsiaTheme="minorEastAsia"/>
          <w:color w:val="000000" w:themeColor="text1"/>
          <w:sz w:val="24"/>
        </w:rPr>
        <w:t>中国证监会要求的其他文件</w:t>
      </w:r>
    </w:p>
    <w:p w:rsidR="0076518F" w:rsidRPr="00C74EFF" w:rsidRDefault="0076518F" w:rsidP="00CF2C2A">
      <w:pPr>
        <w:spacing w:line="360" w:lineRule="auto"/>
        <w:ind w:firstLineChars="200" w:firstLine="480"/>
        <w:rPr>
          <w:rFonts w:eastAsiaTheme="minorEastAsia"/>
          <w:color w:val="000000" w:themeColor="text1"/>
          <w:sz w:val="24"/>
        </w:rPr>
      </w:pPr>
    </w:p>
    <w:p w:rsidR="0076518F" w:rsidRPr="00C74EFF" w:rsidRDefault="005A7449" w:rsidP="00CF2C2A">
      <w:pPr>
        <w:spacing w:line="360" w:lineRule="auto"/>
        <w:rPr>
          <w:rFonts w:eastAsiaTheme="minorEastAsia"/>
          <w:b/>
          <w:color w:val="000000" w:themeColor="text1"/>
          <w:sz w:val="24"/>
        </w:rPr>
      </w:pPr>
      <w:r w:rsidRPr="00C74EFF">
        <w:rPr>
          <w:rFonts w:eastAsiaTheme="minorEastAsia"/>
          <w:b/>
          <w:color w:val="000000" w:themeColor="text1"/>
          <w:sz w:val="24"/>
        </w:rPr>
        <w:t>9</w:t>
      </w:r>
      <w:r w:rsidR="0076518F" w:rsidRPr="00C74EFF">
        <w:rPr>
          <w:rFonts w:eastAsiaTheme="minorEastAsia"/>
          <w:b/>
          <w:color w:val="000000" w:themeColor="text1"/>
          <w:sz w:val="24"/>
        </w:rPr>
        <w:t>.</w:t>
      </w:r>
      <w:r w:rsidR="00057A02" w:rsidRPr="00C74EFF">
        <w:rPr>
          <w:rFonts w:eastAsiaTheme="minorEastAsia"/>
          <w:b/>
          <w:color w:val="000000" w:themeColor="text1"/>
          <w:sz w:val="24"/>
        </w:rPr>
        <w:t>2</w:t>
      </w:r>
      <w:r w:rsidR="0076518F" w:rsidRPr="00C74EFF">
        <w:rPr>
          <w:rFonts w:eastAsiaTheme="minorEastAsia"/>
          <w:b/>
          <w:color w:val="000000" w:themeColor="text1"/>
          <w:sz w:val="24"/>
        </w:rPr>
        <w:t xml:space="preserve"> </w:t>
      </w:r>
      <w:r w:rsidR="0076518F" w:rsidRPr="00C74EFF">
        <w:rPr>
          <w:rFonts w:eastAsiaTheme="minorEastAsia"/>
          <w:b/>
          <w:color w:val="000000" w:themeColor="text1"/>
          <w:sz w:val="24"/>
        </w:rPr>
        <w:t>存放地点</w:t>
      </w:r>
    </w:p>
    <w:p w:rsidR="0076518F" w:rsidRPr="00C74EFF" w:rsidRDefault="00385AB9" w:rsidP="00CF2C2A">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基金管理人或基金托管人处。</w:t>
      </w:r>
    </w:p>
    <w:p w:rsidR="0076518F" w:rsidRPr="00C74EFF" w:rsidRDefault="0076518F" w:rsidP="00CF2C2A">
      <w:pPr>
        <w:spacing w:line="360" w:lineRule="auto"/>
        <w:ind w:firstLineChars="200" w:firstLine="480"/>
        <w:rPr>
          <w:rFonts w:eastAsiaTheme="minorEastAsia"/>
          <w:color w:val="000000" w:themeColor="text1"/>
          <w:sz w:val="24"/>
        </w:rPr>
      </w:pPr>
    </w:p>
    <w:p w:rsidR="0076518F" w:rsidRPr="00C74EFF" w:rsidRDefault="005A7449" w:rsidP="00CF2C2A">
      <w:pPr>
        <w:spacing w:line="360" w:lineRule="auto"/>
        <w:rPr>
          <w:rFonts w:eastAsiaTheme="minorEastAsia"/>
          <w:b/>
          <w:color w:val="000000" w:themeColor="text1"/>
          <w:sz w:val="24"/>
        </w:rPr>
      </w:pPr>
      <w:r w:rsidRPr="00C74EFF">
        <w:rPr>
          <w:rFonts w:eastAsiaTheme="minorEastAsia"/>
          <w:b/>
          <w:color w:val="000000" w:themeColor="text1"/>
          <w:sz w:val="24"/>
        </w:rPr>
        <w:t>9</w:t>
      </w:r>
      <w:r w:rsidR="0076518F" w:rsidRPr="00C74EFF">
        <w:rPr>
          <w:rFonts w:eastAsiaTheme="minorEastAsia"/>
          <w:b/>
          <w:color w:val="000000" w:themeColor="text1"/>
          <w:sz w:val="24"/>
        </w:rPr>
        <w:t>.</w:t>
      </w:r>
      <w:r w:rsidR="00057A02" w:rsidRPr="00C74EFF">
        <w:rPr>
          <w:rFonts w:eastAsiaTheme="minorEastAsia"/>
          <w:b/>
          <w:color w:val="000000" w:themeColor="text1"/>
          <w:sz w:val="24"/>
        </w:rPr>
        <w:t>3</w:t>
      </w:r>
      <w:r w:rsidR="0076518F" w:rsidRPr="00C74EFF">
        <w:rPr>
          <w:rFonts w:eastAsiaTheme="minorEastAsia"/>
          <w:b/>
          <w:color w:val="000000" w:themeColor="text1"/>
          <w:sz w:val="24"/>
        </w:rPr>
        <w:t xml:space="preserve"> </w:t>
      </w:r>
      <w:r w:rsidR="0076518F" w:rsidRPr="00C74EFF">
        <w:rPr>
          <w:rFonts w:eastAsiaTheme="minorEastAsia"/>
          <w:b/>
          <w:color w:val="000000" w:themeColor="text1"/>
          <w:sz w:val="24"/>
        </w:rPr>
        <w:t>查阅方式</w:t>
      </w:r>
    </w:p>
    <w:p w:rsidR="0076518F" w:rsidRPr="00C74EFF" w:rsidRDefault="00385AB9" w:rsidP="00CF2C2A">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投资者可在营业时间免费查阅，也可按工本费购买复印件。</w:t>
      </w:r>
    </w:p>
    <w:p w:rsidR="0076518F" w:rsidRPr="00C74EFF" w:rsidRDefault="0076518F" w:rsidP="008B6A4A">
      <w:pPr>
        <w:spacing w:line="360" w:lineRule="auto"/>
        <w:ind w:firstLineChars="200" w:firstLine="480"/>
        <w:rPr>
          <w:rFonts w:eastAsiaTheme="minorEastAsia"/>
          <w:color w:val="000000" w:themeColor="text1"/>
          <w:sz w:val="24"/>
        </w:rPr>
      </w:pPr>
    </w:p>
    <w:p w:rsidR="0076518F" w:rsidRPr="00C74EFF" w:rsidRDefault="0076518F" w:rsidP="008B6A4A">
      <w:pPr>
        <w:spacing w:line="360" w:lineRule="auto"/>
        <w:ind w:firstLineChars="200" w:firstLine="480"/>
        <w:rPr>
          <w:rFonts w:eastAsiaTheme="minorEastAsia"/>
          <w:color w:val="000000" w:themeColor="text1"/>
          <w:sz w:val="24"/>
        </w:rPr>
      </w:pPr>
    </w:p>
    <w:p w:rsidR="00CF2C2A" w:rsidRPr="00C74EFF" w:rsidRDefault="00CF2C2A" w:rsidP="008B6A4A">
      <w:pPr>
        <w:spacing w:line="360" w:lineRule="auto"/>
        <w:ind w:firstLineChars="200" w:firstLine="480"/>
        <w:rPr>
          <w:rFonts w:eastAsiaTheme="minorEastAsia"/>
          <w:color w:val="000000" w:themeColor="text1"/>
          <w:sz w:val="24"/>
        </w:rPr>
      </w:pPr>
    </w:p>
    <w:p w:rsidR="00CF2C2A" w:rsidRPr="00C74EFF" w:rsidRDefault="00CF2C2A" w:rsidP="008B6A4A">
      <w:pPr>
        <w:spacing w:line="360" w:lineRule="auto"/>
        <w:ind w:firstLineChars="200" w:firstLine="480"/>
        <w:rPr>
          <w:rFonts w:eastAsiaTheme="minorEastAsia"/>
          <w:color w:val="000000" w:themeColor="text1"/>
          <w:sz w:val="24"/>
        </w:rPr>
      </w:pPr>
    </w:p>
    <w:p w:rsidR="00CF2C2A" w:rsidRPr="00C74EFF" w:rsidRDefault="00CF2C2A" w:rsidP="008B6A4A">
      <w:pPr>
        <w:spacing w:line="360" w:lineRule="auto"/>
        <w:ind w:firstLineChars="200" w:firstLine="480"/>
        <w:rPr>
          <w:rFonts w:eastAsiaTheme="minorEastAsia"/>
          <w:color w:val="000000" w:themeColor="text1"/>
          <w:sz w:val="24"/>
        </w:rPr>
      </w:pPr>
    </w:p>
    <w:p w:rsidR="00CF2C2A" w:rsidRPr="00C74EFF" w:rsidRDefault="00CF2C2A" w:rsidP="008B6A4A">
      <w:pPr>
        <w:spacing w:line="360" w:lineRule="auto"/>
        <w:ind w:firstLineChars="200" w:firstLine="480"/>
        <w:rPr>
          <w:rFonts w:eastAsiaTheme="minorEastAsia"/>
          <w:color w:val="000000" w:themeColor="text1"/>
          <w:sz w:val="24"/>
        </w:rPr>
      </w:pPr>
    </w:p>
    <w:p w:rsidR="00CF2C2A" w:rsidRPr="00C74EFF" w:rsidRDefault="00CF2C2A" w:rsidP="00CF2C2A">
      <w:pPr>
        <w:spacing w:line="360" w:lineRule="auto"/>
        <w:ind w:firstLineChars="200" w:firstLine="480"/>
        <w:rPr>
          <w:rFonts w:eastAsiaTheme="minorEastAsia"/>
          <w:color w:val="000000" w:themeColor="text1"/>
          <w:sz w:val="24"/>
        </w:rPr>
      </w:pPr>
    </w:p>
    <w:p w:rsidR="00385AB9" w:rsidRPr="00C74EFF" w:rsidRDefault="00385AB9" w:rsidP="00CF2C2A">
      <w:pPr>
        <w:spacing w:line="360" w:lineRule="auto"/>
        <w:jc w:val="right"/>
        <w:rPr>
          <w:rFonts w:eastAsiaTheme="minorEastAsia"/>
          <w:b/>
          <w:bCs/>
          <w:color w:val="000000" w:themeColor="text1"/>
          <w:sz w:val="24"/>
        </w:rPr>
      </w:pPr>
      <w:r w:rsidRPr="00C74EFF">
        <w:rPr>
          <w:rFonts w:eastAsiaTheme="minorEastAsia"/>
          <w:b/>
          <w:bCs/>
          <w:color w:val="000000" w:themeColor="text1"/>
          <w:sz w:val="24"/>
        </w:rPr>
        <w:t>摩根基金管理（中国）有限公司</w:t>
      </w:r>
    </w:p>
    <w:p w:rsidR="0076518F" w:rsidRPr="00C74EFF" w:rsidRDefault="00B814D9" w:rsidP="00CF2C2A">
      <w:pPr>
        <w:spacing w:line="360" w:lineRule="auto"/>
        <w:jc w:val="right"/>
        <w:rPr>
          <w:rFonts w:eastAsiaTheme="minorEastAsia"/>
          <w:b/>
          <w:bCs/>
          <w:color w:val="000000" w:themeColor="text1"/>
          <w:sz w:val="24"/>
        </w:rPr>
      </w:pPr>
      <w:r w:rsidRPr="00C74EFF">
        <w:rPr>
          <w:rFonts w:eastAsiaTheme="minorEastAsia"/>
          <w:b/>
          <w:bCs/>
          <w:color w:val="000000" w:themeColor="text1"/>
          <w:sz w:val="24"/>
        </w:rPr>
        <w:t>二〇二四年四月二十二日</w:t>
      </w:r>
    </w:p>
    <w:sectPr w:rsidR="0076518F" w:rsidRPr="00C74EFF"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FB5" w:rsidRDefault="00277FB5">
      <w:r>
        <w:separator/>
      </w:r>
    </w:p>
  </w:endnote>
  <w:endnote w:type="continuationSeparator" w:id="0">
    <w:p w:rsidR="00277FB5" w:rsidRDefault="0027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Pr="001D0DB0" w:rsidRDefault="00CA3C4F" w:rsidP="00D6226F">
    <w:pPr>
      <w:pStyle w:val="a7"/>
      <w:jc w:val="center"/>
    </w:pPr>
    <w:r>
      <w:rPr>
        <w:rFonts w:hint="eastAsia"/>
        <w:kern w:val="0"/>
        <w:szCs w:val="21"/>
      </w:rPr>
      <w:t>第</w:t>
    </w:r>
    <w:r w:rsidR="00283B37">
      <w:rPr>
        <w:kern w:val="0"/>
        <w:szCs w:val="21"/>
      </w:rPr>
      <w:fldChar w:fldCharType="begin"/>
    </w:r>
    <w:r>
      <w:rPr>
        <w:kern w:val="0"/>
        <w:szCs w:val="21"/>
      </w:rPr>
      <w:instrText xml:space="preserve"> PAGE </w:instrText>
    </w:r>
    <w:r w:rsidR="00283B37">
      <w:rPr>
        <w:kern w:val="0"/>
        <w:szCs w:val="21"/>
      </w:rPr>
      <w:fldChar w:fldCharType="separate"/>
    </w:r>
    <w:r w:rsidR="003511DF">
      <w:rPr>
        <w:noProof/>
        <w:kern w:val="0"/>
        <w:szCs w:val="21"/>
      </w:rPr>
      <w:t>1</w:t>
    </w:r>
    <w:r w:rsidR="00283B37">
      <w:rPr>
        <w:kern w:val="0"/>
        <w:szCs w:val="21"/>
      </w:rPr>
      <w:fldChar w:fldCharType="end"/>
    </w:r>
    <w:r>
      <w:rPr>
        <w:rFonts w:hint="eastAsia"/>
        <w:kern w:val="0"/>
        <w:szCs w:val="21"/>
      </w:rPr>
      <w:t>页共</w:t>
    </w:r>
    <w:r w:rsidR="00283B37">
      <w:rPr>
        <w:kern w:val="0"/>
        <w:szCs w:val="21"/>
      </w:rPr>
      <w:fldChar w:fldCharType="begin"/>
    </w:r>
    <w:r>
      <w:rPr>
        <w:kern w:val="0"/>
        <w:szCs w:val="21"/>
      </w:rPr>
      <w:instrText xml:space="preserve"> NUMPAGES </w:instrText>
    </w:r>
    <w:r w:rsidR="00283B37">
      <w:rPr>
        <w:kern w:val="0"/>
        <w:szCs w:val="21"/>
      </w:rPr>
      <w:fldChar w:fldCharType="separate"/>
    </w:r>
    <w:r w:rsidR="003511DF">
      <w:rPr>
        <w:noProof/>
        <w:kern w:val="0"/>
        <w:szCs w:val="21"/>
      </w:rPr>
      <w:t>16</w:t>
    </w:r>
    <w:r w:rsidR="00283B37">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Default="00283B37">
    <w:pPr>
      <w:pStyle w:val="a7"/>
      <w:framePr w:wrap="around" w:vAnchor="text" w:hAnchor="margin" w:xAlign="center" w:y="1"/>
      <w:rPr>
        <w:rStyle w:val="a8"/>
      </w:rPr>
    </w:pPr>
    <w:r>
      <w:rPr>
        <w:rStyle w:val="a8"/>
      </w:rPr>
      <w:fldChar w:fldCharType="begin"/>
    </w:r>
    <w:r w:rsidR="00CA3C4F">
      <w:rPr>
        <w:rStyle w:val="a8"/>
      </w:rPr>
      <w:instrText xml:space="preserve">PAGE  </w:instrText>
    </w:r>
    <w:r>
      <w:rPr>
        <w:rStyle w:val="a8"/>
      </w:rPr>
      <w:fldChar w:fldCharType="end"/>
    </w:r>
  </w:p>
  <w:p w:rsidR="00CA3C4F" w:rsidRDefault="00CA3C4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Default="00283B37">
    <w:pPr>
      <w:pStyle w:val="a7"/>
      <w:framePr w:wrap="around" w:vAnchor="text" w:hAnchor="margin" w:xAlign="center" w:y="1"/>
      <w:rPr>
        <w:rStyle w:val="a8"/>
      </w:rPr>
    </w:pPr>
    <w:r>
      <w:rPr>
        <w:rStyle w:val="a8"/>
      </w:rPr>
      <w:fldChar w:fldCharType="begin"/>
    </w:r>
    <w:r w:rsidR="00CA3C4F">
      <w:rPr>
        <w:rStyle w:val="a8"/>
      </w:rPr>
      <w:instrText xml:space="preserve">PAGE  </w:instrText>
    </w:r>
    <w:r>
      <w:rPr>
        <w:rStyle w:val="a8"/>
      </w:rPr>
      <w:fldChar w:fldCharType="separate"/>
    </w:r>
    <w:r w:rsidR="003511DF">
      <w:rPr>
        <w:rStyle w:val="a8"/>
        <w:noProof/>
      </w:rPr>
      <w:t>12</w:t>
    </w:r>
    <w:r>
      <w:rPr>
        <w:rStyle w:val="a8"/>
      </w:rPr>
      <w:fldChar w:fldCharType="end"/>
    </w:r>
  </w:p>
  <w:p w:rsidR="00CA3C4F" w:rsidRDefault="00CA3C4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Default="00CA3C4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FB5" w:rsidRDefault="00277FB5">
      <w:r>
        <w:separator/>
      </w:r>
    </w:p>
  </w:footnote>
  <w:footnote w:type="continuationSeparator" w:id="0">
    <w:p w:rsidR="00277FB5" w:rsidRDefault="00277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0FB" w:rsidRDefault="004E30FB" w:rsidP="004E30FB">
    <w:pPr>
      <w:pStyle w:val="aa"/>
      <w:pBdr>
        <w:bottom w:val="single" w:sz="6" w:space="0" w:color="auto"/>
      </w:pBdr>
      <w:jc w:val="right"/>
    </w:pPr>
    <w:r>
      <w:rPr>
        <w:sz w:val="21"/>
        <w:szCs w:val="21"/>
      </w:rPr>
      <w:t>摩根恒生科技交易型开放式指数证券投资基金</w:t>
    </w:r>
    <w:r>
      <w:rPr>
        <w:sz w:val="21"/>
        <w:szCs w:val="21"/>
      </w:rPr>
      <w:t>(QDII)2024</w:t>
    </w:r>
    <w:r>
      <w:rPr>
        <w:sz w:val="21"/>
        <w:szCs w:val="21"/>
      </w:rPr>
      <w:t>年第</w:t>
    </w:r>
    <w:r>
      <w:rPr>
        <w:sz w:val="21"/>
        <w:szCs w:val="21"/>
      </w:rPr>
      <w:t>1</w:t>
    </w:r>
    <w:r>
      <w:rPr>
        <w:sz w:val="21"/>
        <w:szCs w:val="21"/>
      </w:rPr>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Default="00CA3C4F">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4F" w:rsidRDefault="00CA3C4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403B"/>
    <w:rsid w:val="00005911"/>
    <w:rsid w:val="00010A83"/>
    <w:rsid w:val="00010A8E"/>
    <w:rsid w:val="00010AC3"/>
    <w:rsid w:val="00011EB5"/>
    <w:rsid w:val="00015F91"/>
    <w:rsid w:val="00017581"/>
    <w:rsid w:val="00020583"/>
    <w:rsid w:val="00021DD4"/>
    <w:rsid w:val="00023BE7"/>
    <w:rsid w:val="0003337A"/>
    <w:rsid w:val="00037FCF"/>
    <w:rsid w:val="00041AB5"/>
    <w:rsid w:val="000421B8"/>
    <w:rsid w:val="00043ABF"/>
    <w:rsid w:val="000445E4"/>
    <w:rsid w:val="00045AE7"/>
    <w:rsid w:val="000510AB"/>
    <w:rsid w:val="00052312"/>
    <w:rsid w:val="00055AF1"/>
    <w:rsid w:val="00055B0F"/>
    <w:rsid w:val="00057A02"/>
    <w:rsid w:val="00062875"/>
    <w:rsid w:val="00062E6C"/>
    <w:rsid w:val="00063A8D"/>
    <w:rsid w:val="00064AE3"/>
    <w:rsid w:val="00066524"/>
    <w:rsid w:val="00067332"/>
    <w:rsid w:val="00070CD1"/>
    <w:rsid w:val="0007171B"/>
    <w:rsid w:val="000719BB"/>
    <w:rsid w:val="000741EF"/>
    <w:rsid w:val="00081D05"/>
    <w:rsid w:val="00087CF7"/>
    <w:rsid w:val="00094876"/>
    <w:rsid w:val="00094F45"/>
    <w:rsid w:val="00095912"/>
    <w:rsid w:val="00095CE0"/>
    <w:rsid w:val="00096933"/>
    <w:rsid w:val="00097230"/>
    <w:rsid w:val="000A457E"/>
    <w:rsid w:val="000A549A"/>
    <w:rsid w:val="000A72F2"/>
    <w:rsid w:val="000B0C56"/>
    <w:rsid w:val="000B22B8"/>
    <w:rsid w:val="000B3274"/>
    <w:rsid w:val="000B3E43"/>
    <w:rsid w:val="000B69EF"/>
    <w:rsid w:val="000C1723"/>
    <w:rsid w:val="000C1B20"/>
    <w:rsid w:val="000C1B73"/>
    <w:rsid w:val="000C21D1"/>
    <w:rsid w:val="000C4107"/>
    <w:rsid w:val="000C4586"/>
    <w:rsid w:val="000C45E7"/>
    <w:rsid w:val="000C4E2D"/>
    <w:rsid w:val="000C5D03"/>
    <w:rsid w:val="000C6C23"/>
    <w:rsid w:val="000D01F4"/>
    <w:rsid w:val="000D0BF3"/>
    <w:rsid w:val="000D121F"/>
    <w:rsid w:val="000D1519"/>
    <w:rsid w:val="000E002D"/>
    <w:rsid w:val="000E237B"/>
    <w:rsid w:val="000E4456"/>
    <w:rsid w:val="000E5D28"/>
    <w:rsid w:val="000F175F"/>
    <w:rsid w:val="000F17D1"/>
    <w:rsid w:val="000F268E"/>
    <w:rsid w:val="000F5F24"/>
    <w:rsid w:val="000F60FF"/>
    <w:rsid w:val="000F635F"/>
    <w:rsid w:val="000F6C61"/>
    <w:rsid w:val="000F6EE9"/>
    <w:rsid w:val="00100C12"/>
    <w:rsid w:val="00100C16"/>
    <w:rsid w:val="001045AA"/>
    <w:rsid w:val="001049B6"/>
    <w:rsid w:val="001051C6"/>
    <w:rsid w:val="0010694D"/>
    <w:rsid w:val="0011177A"/>
    <w:rsid w:val="001120D4"/>
    <w:rsid w:val="00112E27"/>
    <w:rsid w:val="00114B31"/>
    <w:rsid w:val="00116E31"/>
    <w:rsid w:val="00120B9A"/>
    <w:rsid w:val="0012150F"/>
    <w:rsid w:val="0012304E"/>
    <w:rsid w:val="00123B10"/>
    <w:rsid w:val="001248EF"/>
    <w:rsid w:val="001257C7"/>
    <w:rsid w:val="001265C5"/>
    <w:rsid w:val="00126DDF"/>
    <w:rsid w:val="001270BF"/>
    <w:rsid w:val="00127BAC"/>
    <w:rsid w:val="00132AAE"/>
    <w:rsid w:val="00140E80"/>
    <w:rsid w:val="00142A56"/>
    <w:rsid w:val="00143B45"/>
    <w:rsid w:val="00144DF5"/>
    <w:rsid w:val="00145630"/>
    <w:rsid w:val="00145A97"/>
    <w:rsid w:val="00146485"/>
    <w:rsid w:val="00150AD6"/>
    <w:rsid w:val="001522EE"/>
    <w:rsid w:val="00154ADA"/>
    <w:rsid w:val="0015531A"/>
    <w:rsid w:val="0016041C"/>
    <w:rsid w:val="00163B27"/>
    <w:rsid w:val="00165317"/>
    <w:rsid w:val="0017043B"/>
    <w:rsid w:val="00171BAD"/>
    <w:rsid w:val="00172B84"/>
    <w:rsid w:val="0017526D"/>
    <w:rsid w:val="001756A1"/>
    <w:rsid w:val="001761EE"/>
    <w:rsid w:val="00176EAA"/>
    <w:rsid w:val="0017725A"/>
    <w:rsid w:val="00177C4B"/>
    <w:rsid w:val="0018154C"/>
    <w:rsid w:val="0018325A"/>
    <w:rsid w:val="00186199"/>
    <w:rsid w:val="001866BE"/>
    <w:rsid w:val="00187CF9"/>
    <w:rsid w:val="001928F7"/>
    <w:rsid w:val="00193ABD"/>
    <w:rsid w:val="00194537"/>
    <w:rsid w:val="00194F40"/>
    <w:rsid w:val="001A149A"/>
    <w:rsid w:val="001A21A9"/>
    <w:rsid w:val="001A59D8"/>
    <w:rsid w:val="001A5DA4"/>
    <w:rsid w:val="001A5FA6"/>
    <w:rsid w:val="001B2F0C"/>
    <w:rsid w:val="001B47FF"/>
    <w:rsid w:val="001B63AB"/>
    <w:rsid w:val="001B7820"/>
    <w:rsid w:val="001B7E94"/>
    <w:rsid w:val="001C37F6"/>
    <w:rsid w:val="001C6288"/>
    <w:rsid w:val="001C7614"/>
    <w:rsid w:val="001D0F6A"/>
    <w:rsid w:val="001D161E"/>
    <w:rsid w:val="001D21BC"/>
    <w:rsid w:val="001D2FA5"/>
    <w:rsid w:val="001D35E0"/>
    <w:rsid w:val="001D5045"/>
    <w:rsid w:val="001D5A44"/>
    <w:rsid w:val="001D724B"/>
    <w:rsid w:val="001D7693"/>
    <w:rsid w:val="001D79D5"/>
    <w:rsid w:val="001D7D48"/>
    <w:rsid w:val="001E04A5"/>
    <w:rsid w:val="001E11D3"/>
    <w:rsid w:val="001E2A6A"/>
    <w:rsid w:val="001E3DC2"/>
    <w:rsid w:val="001E52F8"/>
    <w:rsid w:val="001E56FF"/>
    <w:rsid w:val="001E5C6B"/>
    <w:rsid w:val="001F03E1"/>
    <w:rsid w:val="001F3CC6"/>
    <w:rsid w:val="001F4530"/>
    <w:rsid w:val="002010DE"/>
    <w:rsid w:val="00202968"/>
    <w:rsid w:val="00202C32"/>
    <w:rsid w:val="00203AEF"/>
    <w:rsid w:val="00211A26"/>
    <w:rsid w:val="002125F7"/>
    <w:rsid w:val="00214463"/>
    <w:rsid w:val="00214756"/>
    <w:rsid w:val="00215CF2"/>
    <w:rsid w:val="00221174"/>
    <w:rsid w:val="0022167B"/>
    <w:rsid w:val="002328FE"/>
    <w:rsid w:val="002359EB"/>
    <w:rsid w:val="002363AB"/>
    <w:rsid w:val="0024260D"/>
    <w:rsid w:val="00245012"/>
    <w:rsid w:val="0024504E"/>
    <w:rsid w:val="0024651F"/>
    <w:rsid w:val="0025007C"/>
    <w:rsid w:val="0025158D"/>
    <w:rsid w:val="0025281A"/>
    <w:rsid w:val="00253D3C"/>
    <w:rsid w:val="00254F37"/>
    <w:rsid w:val="00255292"/>
    <w:rsid w:val="00256097"/>
    <w:rsid w:val="00257D2B"/>
    <w:rsid w:val="00260200"/>
    <w:rsid w:val="00263405"/>
    <w:rsid w:val="002648D8"/>
    <w:rsid w:val="00265865"/>
    <w:rsid w:val="00273C7E"/>
    <w:rsid w:val="00273F86"/>
    <w:rsid w:val="0027678D"/>
    <w:rsid w:val="002774F0"/>
    <w:rsid w:val="00277FB5"/>
    <w:rsid w:val="00283B37"/>
    <w:rsid w:val="0028459B"/>
    <w:rsid w:val="00284C5F"/>
    <w:rsid w:val="002873F0"/>
    <w:rsid w:val="002964F9"/>
    <w:rsid w:val="0029671E"/>
    <w:rsid w:val="00297B13"/>
    <w:rsid w:val="002A1F14"/>
    <w:rsid w:val="002A2678"/>
    <w:rsid w:val="002A2E01"/>
    <w:rsid w:val="002A398F"/>
    <w:rsid w:val="002A530F"/>
    <w:rsid w:val="002A5C6B"/>
    <w:rsid w:val="002A5D31"/>
    <w:rsid w:val="002A714F"/>
    <w:rsid w:val="002B1851"/>
    <w:rsid w:val="002B27FF"/>
    <w:rsid w:val="002B4320"/>
    <w:rsid w:val="002B61C3"/>
    <w:rsid w:val="002B6793"/>
    <w:rsid w:val="002C1726"/>
    <w:rsid w:val="002C21A6"/>
    <w:rsid w:val="002C26D5"/>
    <w:rsid w:val="002C5367"/>
    <w:rsid w:val="002C5777"/>
    <w:rsid w:val="002D31BB"/>
    <w:rsid w:val="002D32E3"/>
    <w:rsid w:val="002E0FEB"/>
    <w:rsid w:val="002E26F5"/>
    <w:rsid w:val="002E5FE7"/>
    <w:rsid w:val="002F0F79"/>
    <w:rsid w:val="002F17D6"/>
    <w:rsid w:val="002F2234"/>
    <w:rsid w:val="002F2713"/>
    <w:rsid w:val="002F280E"/>
    <w:rsid w:val="002F3709"/>
    <w:rsid w:val="002F3A6C"/>
    <w:rsid w:val="002F4296"/>
    <w:rsid w:val="00300951"/>
    <w:rsid w:val="00300E97"/>
    <w:rsid w:val="003019A8"/>
    <w:rsid w:val="00302CA8"/>
    <w:rsid w:val="00302DE9"/>
    <w:rsid w:val="0030439E"/>
    <w:rsid w:val="00305084"/>
    <w:rsid w:val="00311094"/>
    <w:rsid w:val="0031598C"/>
    <w:rsid w:val="003204E9"/>
    <w:rsid w:val="00321E8C"/>
    <w:rsid w:val="00322A86"/>
    <w:rsid w:val="00323AE8"/>
    <w:rsid w:val="00324548"/>
    <w:rsid w:val="0032500D"/>
    <w:rsid w:val="003251F4"/>
    <w:rsid w:val="003303E3"/>
    <w:rsid w:val="003329EA"/>
    <w:rsid w:val="003370F8"/>
    <w:rsid w:val="00340499"/>
    <w:rsid w:val="003407A5"/>
    <w:rsid w:val="00341188"/>
    <w:rsid w:val="0034147B"/>
    <w:rsid w:val="00350238"/>
    <w:rsid w:val="0035109C"/>
    <w:rsid w:val="003511DF"/>
    <w:rsid w:val="00351F0A"/>
    <w:rsid w:val="0035432B"/>
    <w:rsid w:val="0035691D"/>
    <w:rsid w:val="00361E7E"/>
    <w:rsid w:val="00367057"/>
    <w:rsid w:val="00370AA4"/>
    <w:rsid w:val="00371FF4"/>
    <w:rsid w:val="003745DA"/>
    <w:rsid w:val="00377520"/>
    <w:rsid w:val="00380D36"/>
    <w:rsid w:val="003812A5"/>
    <w:rsid w:val="003822D3"/>
    <w:rsid w:val="00385AB9"/>
    <w:rsid w:val="00385E16"/>
    <w:rsid w:val="00386630"/>
    <w:rsid w:val="00390B25"/>
    <w:rsid w:val="00397156"/>
    <w:rsid w:val="00397616"/>
    <w:rsid w:val="00397960"/>
    <w:rsid w:val="003A152F"/>
    <w:rsid w:val="003A3BC4"/>
    <w:rsid w:val="003A458A"/>
    <w:rsid w:val="003B2F13"/>
    <w:rsid w:val="003B405E"/>
    <w:rsid w:val="003B57D3"/>
    <w:rsid w:val="003C09A4"/>
    <w:rsid w:val="003C1F58"/>
    <w:rsid w:val="003C49AA"/>
    <w:rsid w:val="003C6DC5"/>
    <w:rsid w:val="003C792F"/>
    <w:rsid w:val="003D124B"/>
    <w:rsid w:val="003D18F3"/>
    <w:rsid w:val="003D2093"/>
    <w:rsid w:val="003D51F6"/>
    <w:rsid w:val="003D78B5"/>
    <w:rsid w:val="003E0588"/>
    <w:rsid w:val="003E244F"/>
    <w:rsid w:val="003E379B"/>
    <w:rsid w:val="003E6203"/>
    <w:rsid w:val="003E62A6"/>
    <w:rsid w:val="003E695F"/>
    <w:rsid w:val="003E6C9B"/>
    <w:rsid w:val="003E709C"/>
    <w:rsid w:val="003E7B89"/>
    <w:rsid w:val="003F0275"/>
    <w:rsid w:val="003F4241"/>
    <w:rsid w:val="003F7C45"/>
    <w:rsid w:val="00400946"/>
    <w:rsid w:val="004009A4"/>
    <w:rsid w:val="0040132C"/>
    <w:rsid w:val="00403886"/>
    <w:rsid w:val="00405085"/>
    <w:rsid w:val="004066FC"/>
    <w:rsid w:val="00407C10"/>
    <w:rsid w:val="004113B4"/>
    <w:rsid w:val="00414827"/>
    <w:rsid w:val="00416C10"/>
    <w:rsid w:val="00424EF3"/>
    <w:rsid w:val="004268BB"/>
    <w:rsid w:val="00431047"/>
    <w:rsid w:val="00431B86"/>
    <w:rsid w:val="004408EC"/>
    <w:rsid w:val="00440DC0"/>
    <w:rsid w:val="00441E6A"/>
    <w:rsid w:val="00443C8F"/>
    <w:rsid w:val="00452481"/>
    <w:rsid w:val="004553AF"/>
    <w:rsid w:val="004567C5"/>
    <w:rsid w:val="00457804"/>
    <w:rsid w:val="00462B61"/>
    <w:rsid w:val="00464283"/>
    <w:rsid w:val="004646BF"/>
    <w:rsid w:val="00464744"/>
    <w:rsid w:val="004665E3"/>
    <w:rsid w:val="004674EB"/>
    <w:rsid w:val="00467BA5"/>
    <w:rsid w:val="004710DD"/>
    <w:rsid w:val="004731F1"/>
    <w:rsid w:val="00477724"/>
    <w:rsid w:val="0047798A"/>
    <w:rsid w:val="00480BC8"/>
    <w:rsid w:val="00481265"/>
    <w:rsid w:val="004814BF"/>
    <w:rsid w:val="00482956"/>
    <w:rsid w:val="0048587E"/>
    <w:rsid w:val="00486D15"/>
    <w:rsid w:val="00487C2B"/>
    <w:rsid w:val="0049297D"/>
    <w:rsid w:val="004929F2"/>
    <w:rsid w:val="00493023"/>
    <w:rsid w:val="00493D46"/>
    <w:rsid w:val="00495A03"/>
    <w:rsid w:val="004968E3"/>
    <w:rsid w:val="00497079"/>
    <w:rsid w:val="004A1BBA"/>
    <w:rsid w:val="004A270C"/>
    <w:rsid w:val="004A3039"/>
    <w:rsid w:val="004A355B"/>
    <w:rsid w:val="004A3625"/>
    <w:rsid w:val="004A3E3C"/>
    <w:rsid w:val="004A791A"/>
    <w:rsid w:val="004B0E6D"/>
    <w:rsid w:val="004B16E8"/>
    <w:rsid w:val="004B6250"/>
    <w:rsid w:val="004B76B1"/>
    <w:rsid w:val="004C0057"/>
    <w:rsid w:val="004C0541"/>
    <w:rsid w:val="004C2C46"/>
    <w:rsid w:val="004C52A1"/>
    <w:rsid w:val="004C7235"/>
    <w:rsid w:val="004C7955"/>
    <w:rsid w:val="004D047F"/>
    <w:rsid w:val="004D3971"/>
    <w:rsid w:val="004D3D96"/>
    <w:rsid w:val="004D486D"/>
    <w:rsid w:val="004D650F"/>
    <w:rsid w:val="004D6D54"/>
    <w:rsid w:val="004E2133"/>
    <w:rsid w:val="004E30FB"/>
    <w:rsid w:val="004E60FB"/>
    <w:rsid w:val="004E7AF6"/>
    <w:rsid w:val="004F4B2A"/>
    <w:rsid w:val="004F779C"/>
    <w:rsid w:val="004F7846"/>
    <w:rsid w:val="005000D4"/>
    <w:rsid w:val="00500A6E"/>
    <w:rsid w:val="00510CAF"/>
    <w:rsid w:val="00511AC1"/>
    <w:rsid w:val="005128C5"/>
    <w:rsid w:val="0051478B"/>
    <w:rsid w:val="0051566A"/>
    <w:rsid w:val="00515D7B"/>
    <w:rsid w:val="005166E9"/>
    <w:rsid w:val="0052009E"/>
    <w:rsid w:val="00525E59"/>
    <w:rsid w:val="005318CC"/>
    <w:rsid w:val="00534484"/>
    <w:rsid w:val="005346F1"/>
    <w:rsid w:val="005349B1"/>
    <w:rsid w:val="005374BC"/>
    <w:rsid w:val="00540D79"/>
    <w:rsid w:val="00543367"/>
    <w:rsid w:val="00543BFA"/>
    <w:rsid w:val="00547D9C"/>
    <w:rsid w:val="00547DA1"/>
    <w:rsid w:val="0055513C"/>
    <w:rsid w:val="00560C94"/>
    <w:rsid w:val="0056291C"/>
    <w:rsid w:val="00564EB5"/>
    <w:rsid w:val="00565A63"/>
    <w:rsid w:val="00566588"/>
    <w:rsid w:val="00567F6D"/>
    <w:rsid w:val="00571CD9"/>
    <w:rsid w:val="0057275D"/>
    <w:rsid w:val="005800A9"/>
    <w:rsid w:val="00580488"/>
    <w:rsid w:val="0058074D"/>
    <w:rsid w:val="00582FAD"/>
    <w:rsid w:val="00583489"/>
    <w:rsid w:val="0058589A"/>
    <w:rsid w:val="00590FE4"/>
    <w:rsid w:val="00591D9C"/>
    <w:rsid w:val="00592483"/>
    <w:rsid w:val="00596191"/>
    <w:rsid w:val="00597057"/>
    <w:rsid w:val="00597D8B"/>
    <w:rsid w:val="005A1C30"/>
    <w:rsid w:val="005A2757"/>
    <w:rsid w:val="005A3295"/>
    <w:rsid w:val="005A422F"/>
    <w:rsid w:val="005A4302"/>
    <w:rsid w:val="005A46FF"/>
    <w:rsid w:val="005A704A"/>
    <w:rsid w:val="005A7449"/>
    <w:rsid w:val="005B011E"/>
    <w:rsid w:val="005B2E84"/>
    <w:rsid w:val="005B3103"/>
    <w:rsid w:val="005B4D29"/>
    <w:rsid w:val="005B6CA6"/>
    <w:rsid w:val="005B700A"/>
    <w:rsid w:val="005B7B0E"/>
    <w:rsid w:val="005C07DC"/>
    <w:rsid w:val="005C25C8"/>
    <w:rsid w:val="005C5409"/>
    <w:rsid w:val="005C69AC"/>
    <w:rsid w:val="005C722E"/>
    <w:rsid w:val="005D01A4"/>
    <w:rsid w:val="005D29D4"/>
    <w:rsid w:val="005D4452"/>
    <w:rsid w:val="005D45B3"/>
    <w:rsid w:val="005D4CEB"/>
    <w:rsid w:val="005E2501"/>
    <w:rsid w:val="005E5B01"/>
    <w:rsid w:val="005E5CC1"/>
    <w:rsid w:val="005E7793"/>
    <w:rsid w:val="005F04E6"/>
    <w:rsid w:val="005F43B9"/>
    <w:rsid w:val="005F68CB"/>
    <w:rsid w:val="005F7085"/>
    <w:rsid w:val="006033E3"/>
    <w:rsid w:val="00605748"/>
    <w:rsid w:val="00610C82"/>
    <w:rsid w:val="0061321C"/>
    <w:rsid w:val="00615063"/>
    <w:rsid w:val="0061761F"/>
    <w:rsid w:val="0062145B"/>
    <w:rsid w:val="0062386E"/>
    <w:rsid w:val="00623F01"/>
    <w:rsid w:val="006258FD"/>
    <w:rsid w:val="00625D5F"/>
    <w:rsid w:val="00626E2D"/>
    <w:rsid w:val="00627D94"/>
    <w:rsid w:val="00630B42"/>
    <w:rsid w:val="00631425"/>
    <w:rsid w:val="00642072"/>
    <w:rsid w:val="006440ED"/>
    <w:rsid w:val="00645293"/>
    <w:rsid w:val="00651B78"/>
    <w:rsid w:val="00652263"/>
    <w:rsid w:val="00652881"/>
    <w:rsid w:val="0065588D"/>
    <w:rsid w:val="00655B94"/>
    <w:rsid w:val="006563E4"/>
    <w:rsid w:val="00661974"/>
    <w:rsid w:val="006636D6"/>
    <w:rsid w:val="00664551"/>
    <w:rsid w:val="006676A0"/>
    <w:rsid w:val="00670857"/>
    <w:rsid w:val="00671124"/>
    <w:rsid w:val="006727B0"/>
    <w:rsid w:val="0067307E"/>
    <w:rsid w:val="006746C7"/>
    <w:rsid w:val="006829BB"/>
    <w:rsid w:val="00687AD5"/>
    <w:rsid w:val="00691153"/>
    <w:rsid w:val="006950A3"/>
    <w:rsid w:val="00695251"/>
    <w:rsid w:val="00695ADE"/>
    <w:rsid w:val="00695C0D"/>
    <w:rsid w:val="00696356"/>
    <w:rsid w:val="006A68A4"/>
    <w:rsid w:val="006A72C6"/>
    <w:rsid w:val="006B02DA"/>
    <w:rsid w:val="006B1FD1"/>
    <w:rsid w:val="006B2065"/>
    <w:rsid w:val="006B2F2B"/>
    <w:rsid w:val="006B3940"/>
    <w:rsid w:val="006B699C"/>
    <w:rsid w:val="006C099C"/>
    <w:rsid w:val="006C168D"/>
    <w:rsid w:val="006C1F15"/>
    <w:rsid w:val="006C5E36"/>
    <w:rsid w:val="006C642C"/>
    <w:rsid w:val="006C6FC6"/>
    <w:rsid w:val="006D00D5"/>
    <w:rsid w:val="006D11D3"/>
    <w:rsid w:val="006D1F49"/>
    <w:rsid w:val="006D5BA5"/>
    <w:rsid w:val="006D775F"/>
    <w:rsid w:val="006E34B7"/>
    <w:rsid w:val="006E5BB0"/>
    <w:rsid w:val="006F01CF"/>
    <w:rsid w:val="006F115E"/>
    <w:rsid w:val="006F2AA6"/>
    <w:rsid w:val="006F39B6"/>
    <w:rsid w:val="006F4CD8"/>
    <w:rsid w:val="006F5BE1"/>
    <w:rsid w:val="006F763F"/>
    <w:rsid w:val="00701F44"/>
    <w:rsid w:val="00703E8A"/>
    <w:rsid w:val="00710335"/>
    <w:rsid w:val="00711522"/>
    <w:rsid w:val="007124FE"/>
    <w:rsid w:val="00713186"/>
    <w:rsid w:val="00713757"/>
    <w:rsid w:val="00717772"/>
    <w:rsid w:val="00721231"/>
    <w:rsid w:val="00721AF1"/>
    <w:rsid w:val="0072280F"/>
    <w:rsid w:val="00722B5E"/>
    <w:rsid w:val="0072708F"/>
    <w:rsid w:val="00732D1D"/>
    <w:rsid w:val="0073413C"/>
    <w:rsid w:val="00736034"/>
    <w:rsid w:val="0073681C"/>
    <w:rsid w:val="00741EBE"/>
    <w:rsid w:val="00741F94"/>
    <w:rsid w:val="00742911"/>
    <w:rsid w:val="00746130"/>
    <w:rsid w:val="00746554"/>
    <w:rsid w:val="00746A40"/>
    <w:rsid w:val="00747125"/>
    <w:rsid w:val="00750358"/>
    <w:rsid w:val="007513AC"/>
    <w:rsid w:val="00751D15"/>
    <w:rsid w:val="007537F4"/>
    <w:rsid w:val="00755CDF"/>
    <w:rsid w:val="00757A4C"/>
    <w:rsid w:val="00763A8D"/>
    <w:rsid w:val="00764A94"/>
    <w:rsid w:val="0076518F"/>
    <w:rsid w:val="007651E5"/>
    <w:rsid w:val="007670DC"/>
    <w:rsid w:val="0077111A"/>
    <w:rsid w:val="00772721"/>
    <w:rsid w:val="007756ED"/>
    <w:rsid w:val="00780C47"/>
    <w:rsid w:val="00781847"/>
    <w:rsid w:val="00786CFC"/>
    <w:rsid w:val="007870FC"/>
    <w:rsid w:val="00787919"/>
    <w:rsid w:val="00787CD0"/>
    <w:rsid w:val="00791053"/>
    <w:rsid w:val="00791A3A"/>
    <w:rsid w:val="00791BB9"/>
    <w:rsid w:val="00794196"/>
    <w:rsid w:val="00796EC9"/>
    <w:rsid w:val="00797637"/>
    <w:rsid w:val="007A2630"/>
    <w:rsid w:val="007A3680"/>
    <w:rsid w:val="007A59B8"/>
    <w:rsid w:val="007A75F5"/>
    <w:rsid w:val="007B2862"/>
    <w:rsid w:val="007B51EE"/>
    <w:rsid w:val="007B662A"/>
    <w:rsid w:val="007C1771"/>
    <w:rsid w:val="007C52CE"/>
    <w:rsid w:val="007D0E9D"/>
    <w:rsid w:val="007D28C9"/>
    <w:rsid w:val="007D3CC8"/>
    <w:rsid w:val="007D62F9"/>
    <w:rsid w:val="007D63A4"/>
    <w:rsid w:val="007D6458"/>
    <w:rsid w:val="007E0B0A"/>
    <w:rsid w:val="007E1AA2"/>
    <w:rsid w:val="007E303C"/>
    <w:rsid w:val="007E3CF7"/>
    <w:rsid w:val="007E4C1F"/>
    <w:rsid w:val="007E4DEE"/>
    <w:rsid w:val="007F0759"/>
    <w:rsid w:val="007F25C0"/>
    <w:rsid w:val="007F26D5"/>
    <w:rsid w:val="007F5F52"/>
    <w:rsid w:val="007F77C6"/>
    <w:rsid w:val="008003A1"/>
    <w:rsid w:val="008006B7"/>
    <w:rsid w:val="00800FDB"/>
    <w:rsid w:val="00802081"/>
    <w:rsid w:val="00806461"/>
    <w:rsid w:val="00807CB0"/>
    <w:rsid w:val="0081096D"/>
    <w:rsid w:val="00810EAD"/>
    <w:rsid w:val="00811833"/>
    <w:rsid w:val="00816670"/>
    <w:rsid w:val="008174D4"/>
    <w:rsid w:val="00820253"/>
    <w:rsid w:val="00820FE6"/>
    <w:rsid w:val="00821A66"/>
    <w:rsid w:val="00822476"/>
    <w:rsid w:val="00822882"/>
    <w:rsid w:val="008232BB"/>
    <w:rsid w:val="008257F3"/>
    <w:rsid w:val="00825F68"/>
    <w:rsid w:val="00835408"/>
    <w:rsid w:val="0083666F"/>
    <w:rsid w:val="00837CEF"/>
    <w:rsid w:val="00840035"/>
    <w:rsid w:val="008428A9"/>
    <w:rsid w:val="00844112"/>
    <w:rsid w:val="008456C9"/>
    <w:rsid w:val="0084611D"/>
    <w:rsid w:val="0084669C"/>
    <w:rsid w:val="00847CA0"/>
    <w:rsid w:val="00850C62"/>
    <w:rsid w:val="008573E5"/>
    <w:rsid w:val="00863011"/>
    <w:rsid w:val="00865075"/>
    <w:rsid w:val="0086534A"/>
    <w:rsid w:val="00866B03"/>
    <w:rsid w:val="008673EE"/>
    <w:rsid w:val="0086748F"/>
    <w:rsid w:val="008712A3"/>
    <w:rsid w:val="00872CE4"/>
    <w:rsid w:val="00877B62"/>
    <w:rsid w:val="00881015"/>
    <w:rsid w:val="008810B0"/>
    <w:rsid w:val="008819B6"/>
    <w:rsid w:val="00881AAC"/>
    <w:rsid w:val="008836B7"/>
    <w:rsid w:val="008841D3"/>
    <w:rsid w:val="00887DE6"/>
    <w:rsid w:val="00890172"/>
    <w:rsid w:val="00893048"/>
    <w:rsid w:val="00894C2A"/>
    <w:rsid w:val="00896AAD"/>
    <w:rsid w:val="00897708"/>
    <w:rsid w:val="00897D88"/>
    <w:rsid w:val="008A2F16"/>
    <w:rsid w:val="008A6D69"/>
    <w:rsid w:val="008B1823"/>
    <w:rsid w:val="008B6A4A"/>
    <w:rsid w:val="008B6B12"/>
    <w:rsid w:val="008B6E16"/>
    <w:rsid w:val="008B7110"/>
    <w:rsid w:val="008C2029"/>
    <w:rsid w:val="008C61D6"/>
    <w:rsid w:val="008C64F1"/>
    <w:rsid w:val="008C6AC9"/>
    <w:rsid w:val="008D1BB0"/>
    <w:rsid w:val="008D20FF"/>
    <w:rsid w:val="008D3D3D"/>
    <w:rsid w:val="008D3DE6"/>
    <w:rsid w:val="008D4223"/>
    <w:rsid w:val="008D44CC"/>
    <w:rsid w:val="008D46E3"/>
    <w:rsid w:val="008D6709"/>
    <w:rsid w:val="008E083A"/>
    <w:rsid w:val="008E2450"/>
    <w:rsid w:val="008E7896"/>
    <w:rsid w:val="008E78A4"/>
    <w:rsid w:val="008F2477"/>
    <w:rsid w:val="008F444A"/>
    <w:rsid w:val="008F4AFC"/>
    <w:rsid w:val="008F65AF"/>
    <w:rsid w:val="008F7815"/>
    <w:rsid w:val="008F7EA4"/>
    <w:rsid w:val="009010F0"/>
    <w:rsid w:val="00901162"/>
    <w:rsid w:val="00901240"/>
    <w:rsid w:val="00901469"/>
    <w:rsid w:val="0090159D"/>
    <w:rsid w:val="0090223A"/>
    <w:rsid w:val="009028E2"/>
    <w:rsid w:val="0090450C"/>
    <w:rsid w:val="009050E8"/>
    <w:rsid w:val="009102E4"/>
    <w:rsid w:val="00914EAB"/>
    <w:rsid w:val="00922D49"/>
    <w:rsid w:val="009239C7"/>
    <w:rsid w:val="0092502E"/>
    <w:rsid w:val="00925E37"/>
    <w:rsid w:val="00925EDD"/>
    <w:rsid w:val="00927D0E"/>
    <w:rsid w:val="009309DA"/>
    <w:rsid w:val="0093260B"/>
    <w:rsid w:val="00936688"/>
    <w:rsid w:val="00937CFA"/>
    <w:rsid w:val="009406B3"/>
    <w:rsid w:val="00943A0D"/>
    <w:rsid w:val="00943C27"/>
    <w:rsid w:val="00945CF5"/>
    <w:rsid w:val="009467E9"/>
    <w:rsid w:val="009500A1"/>
    <w:rsid w:val="0095037E"/>
    <w:rsid w:val="00952AAD"/>
    <w:rsid w:val="00954567"/>
    <w:rsid w:val="00955D4E"/>
    <w:rsid w:val="00957466"/>
    <w:rsid w:val="0096260B"/>
    <w:rsid w:val="00962E87"/>
    <w:rsid w:val="009664D5"/>
    <w:rsid w:val="00966865"/>
    <w:rsid w:val="00967903"/>
    <w:rsid w:val="00970C69"/>
    <w:rsid w:val="00971F1C"/>
    <w:rsid w:val="0097211D"/>
    <w:rsid w:val="00972E10"/>
    <w:rsid w:val="009746CA"/>
    <w:rsid w:val="009760F0"/>
    <w:rsid w:val="00981963"/>
    <w:rsid w:val="00983B7F"/>
    <w:rsid w:val="00983C82"/>
    <w:rsid w:val="00984520"/>
    <w:rsid w:val="0098545C"/>
    <w:rsid w:val="00986D1E"/>
    <w:rsid w:val="00990071"/>
    <w:rsid w:val="00991EA9"/>
    <w:rsid w:val="00992B2A"/>
    <w:rsid w:val="00992BA2"/>
    <w:rsid w:val="00992F83"/>
    <w:rsid w:val="0099508A"/>
    <w:rsid w:val="009974EB"/>
    <w:rsid w:val="009A06E4"/>
    <w:rsid w:val="009A1126"/>
    <w:rsid w:val="009A2020"/>
    <w:rsid w:val="009B1584"/>
    <w:rsid w:val="009B1DFD"/>
    <w:rsid w:val="009B21CA"/>
    <w:rsid w:val="009B2648"/>
    <w:rsid w:val="009C03E5"/>
    <w:rsid w:val="009C3730"/>
    <w:rsid w:val="009C37BD"/>
    <w:rsid w:val="009C3AAC"/>
    <w:rsid w:val="009C4721"/>
    <w:rsid w:val="009C4D19"/>
    <w:rsid w:val="009C5FDB"/>
    <w:rsid w:val="009C693E"/>
    <w:rsid w:val="009C6C40"/>
    <w:rsid w:val="009C70CB"/>
    <w:rsid w:val="009D1EA4"/>
    <w:rsid w:val="009D27AA"/>
    <w:rsid w:val="009D4991"/>
    <w:rsid w:val="009D5544"/>
    <w:rsid w:val="009D5BB5"/>
    <w:rsid w:val="009D696D"/>
    <w:rsid w:val="009D6ED2"/>
    <w:rsid w:val="009D7505"/>
    <w:rsid w:val="009D7A3C"/>
    <w:rsid w:val="009E0F1A"/>
    <w:rsid w:val="009E140D"/>
    <w:rsid w:val="009E1E55"/>
    <w:rsid w:val="009E33E6"/>
    <w:rsid w:val="009E4465"/>
    <w:rsid w:val="009E6401"/>
    <w:rsid w:val="009E6C54"/>
    <w:rsid w:val="009F0FCF"/>
    <w:rsid w:val="009F2A25"/>
    <w:rsid w:val="009F43CC"/>
    <w:rsid w:val="009F5235"/>
    <w:rsid w:val="009F531A"/>
    <w:rsid w:val="009F6550"/>
    <w:rsid w:val="009F786E"/>
    <w:rsid w:val="00A00902"/>
    <w:rsid w:val="00A02D83"/>
    <w:rsid w:val="00A039FF"/>
    <w:rsid w:val="00A05ACE"/>
    <w:rsid w:val="00A1385E"/>
    <w:rsid w:val="00A14AE3"/>
    <w:rsid w:val="00A1520A"/>
    <w:rsid w:val="00A16675"/>
    <w:rsid w:val="00A22CD6"/>
    <w:rsid w:val="00A234EC"/>
    <w:rsid w:val="00A2417A"/>
    <w:rsid w:val="00A27804"/>
    <w:rsid w:val="00A30E56"/>
    <w:rsid w:val="00A33DF2"/>
    <w:rsid w:val="00A36AB5"/>
    <w:rsid w:val="00A37123"/>
    <w:rsid w:val="00A37398"/>
    <w:rsid w:val="00A37DDA"/>
    <w:rsid w:val="00A411D1"/>
    <w:rsid w:val="00A43389"/>
    <w:rsid w:val="00A43E71"/>
    <w:rsid w:val="00A45753"/>
    <w:rsid w:val="00A47B15"/>
    <w:rsid w:val="00A52F84"/>
    <w:rsid w:val="00A56AA4"/>
    <w:rsid w:val="00A56B05"/>
    <w:rsid w:val="00A57678"/>
    <w:rsid w:val="00A60E2F"/>
    <w:rsid w:val="00A62536"/>
    <w:rsid w:val="00A63284"/>
    <w:rsid w:val="00A64CB8"/>
    <w:rsid w:val="00A67018"/>
    <w:rsid w:val="00A672F3"/>
    <w:rsid w:val="00A673DC"/>
    <w:rsid w:val="00A7076E"/>
    <w:rsid w:val="00A709BE"/>
    <w:rsid w:val="00A7162E"/>
    <w:rsid w:val="00A726E0"/>
    <w:rsid w:val="00A72D71"/>
    <w:rsid w:val="00A75705"/>
    <w:rsid w:val="00A77C69"/>
    <w:rsid w:val="00A83201"/>
    <w:rsid w:val="00A83953"/>
    <w:rsid w:val="00A840C5"/>
    <w:rsid w:val="00A86B47"/>
    <w:rsid w:val="00A903B6"/>
    <w:rsid w:val="00A90F4F"/>
    <w:rsid w:val="00A947AA"/>
    <w:rsid w:val="00A95C1D"/>
    <w:rsid w:val="00AA1B53"/>
    <w:rsid w:val="00AA3556"/>
    <w:rsid w:val="00AA35FD"/>
    <w:rsid w:val="00AA3DB7"/>
    <w:rsid w:val="00AB0EFF"/>
    <w:rsid w:val="00AB1CE3"/>
    <w:rsid w:val="00AB3012"/>
    <w:rsid w:val="00AB321C"/>
    <w:rsid w:val="00AB42E2"/>
    <w:rsid w:val="00AB688F"/>
    <w:rsid w:val="00AB75EA"/>
    <w:rsid w:val="00AB7AA2"/>
    <w:rsid w:val="00AC0AF1"/>
    <w:rsid w:val="00AC4BC1"/>
    <w:rsid w:val="00AC703D"/>
    <w:rsid w:val="00AD04BD"/>
    <w:rsid w:val="00AD708F"/>
    <w:rsid w:val="00AD7214"/>
    <w:rsid w:val="00AD7540"/>
    <w:rsid w:val="00AE1066"/>
    <w:rsid w:val="00AE19D8"/>
    <w:rsid w:val="00AE4518"/>
    <w:rsid w:val="00AE5D7F"/>
    <w:rsid w:val="00AE79F0"/>
    <w:rsid w:val="00AF0C1A"/>
    <w:rsid w:val="00AF41C5"/>
    <w:rsid w:val="00AF6EC1"/>
    <w:rsid w:val="00AF7CF5"/>
    <w:rsid w:val="00B00331"/>
    <w:rsid w:val="00B01A80"/>
    <w:rsid w:val="00B02A7F"/>
    <w:rsid w:val="00B07C27"/>
    <w:rsid w:val="00B10DE1"/>
    <w:rsid w:val="00B10FF8"/>
    <w:rsid w:val="00B11CC5"/>
    <w:rsid w:val="00B203C4"/>
    <w:rsid w:val="00B22E81"/>
    <w:rsid w:val="00B23996"/>
    <w:rsid w:val="00B23CB2"/>
    <w:rsid w:val="00B2561A"/>
    <w:rsid w:val="00B25A64"/>
    <w:rsid w:val="00B27C3C"/>
    <w:rsid w:val="00B27CE6"/>
    <w:rsid w:val="00B32AB3"/>
    <w:rsid w:val="00B34E7C"/>
    <w:rsid w:val="00B368EA"/>
    <w:rsid w:val="00B37EEF"/>
    <w:rsid w:val="00B47485"/>
    <w:rsid w:val="00B47850"/>
    <w:rsid w:val="00B50B28"/>
    <w:rsid w:val="00B518C3"/>
    <w:rsid w:val="00B52166"/>
    <w:rsid w:val="00B524CA"/>
    <w:rsid w:val="00B55185"/>
    <w:rsid w:val="00B56C5B"/>
    <w:rsid w:val="00B61923"/>
    <w:rsid w:val="00B621D6"/>
    <w:rsid w:val="00B65D6F"/>
    <w:rsid w:val="00B67552"/>
    <w:rsid w:val="00B67C23"/>
    <w:rsid w:val="00B74161"/>
    <w:rsid w:val="00B75735"/>
    <w:rsid w:val="00B77142"/>
    <w:rsid w:val="00B801C4"/>
    <w:rsid w:val="00B80A2C"/>
    <w:rsid w:val="00B814D9"/>
    <w:rsid w:val="00B81F60"/>
    <w:rsid w:val="00B82D3B"/>
    <w:rsid w:val="00B841AC"/>
    <w:rsid w:val="00B8572D"/>
    <w:rsid w:val="00B8605B"/>
    <w:rsid w:val="00B865B0"/>
    <w:rsid w:val="00B90780"/>
    <w:rsid w:val="00B9240D"/>
    <w:rsid w:val="00B94BB8"/>
    <w:rsid w:val="00B9644D"/>
    <w:rsid w:val="00B97278"/>
    <w:rsid w:val="00BA22A8"/>
    <w:rsid w:val="00BA3E48"/>
    <w:rsid w:val="00BB1EB3"/>
    <w:rsid w:val="00BB2678"/>
    <w:rsid w:val="00BB4071"/>
    <w:rsid w:val="00BC2343"/>
    <w:rsid w:val="00BC74DE"/>
    <w:rsid w:val="00BD2DC7"/>
    <w:rsid w:val="00BD30C8"/>
    <w:rsid w:val="00BD3EB4"/>
    <w:rsid w:val="00BD5C65"/>
    <w:rsid w:val="00BE01CA"/>
    <w:rsid w:val="00BE08F5"/>
    <w:rsid w:val="00BE6018"/>
    <w:rsid w:val="00BF1F57"/>
    <w:rsid w:val="00BF2383"/>
    <w:rsid w:val="00BF2DDD"/>
    <w:rsid w:val="00BF4086"/>
    <w:rsid w:val="00BF426C"/>
    <w:rsid w:val="00BF4E28"/>
    <w:rsid w:val="00BF58D0"/>
    <w:rsid w:val="00BF5FC5"/>
    <w:rsid w:val="00BF70AE"/>
    <w:rsid w:val="00BF7505"/>
    <w:rsid w:val="00BF7D6A"/>
    <w:rsid w:val="00C013E1"/>
    <w:rsid w:val="00C01611"/>
    <w:rsid w:val="00C02C6D"/>
    <w:rsid w:val="00C02D59"/>
    <w:rsid w:val="00C030B6"/>
    <w:rsid w:val="00C03284"/>
    <w:rsid w:val="00C04855"/>
    <w:rsid w:val="00C050D7"/>
    <w:rsid w:val="00C05B5F"/>
    <w:rsid w:val="00C104CC"/>
    <w:rsid w:val="00C152FE"/>
    <w:rsid w:val="00C16739"/>
    <w:rsid w:val="00C22CCE"/>
    <w:rsid w:val="00C23BA2"/>
    <w:rsid w:val="00C24CA0"/>
    <w:rsid w:val="00C32AF2"/>
    <w:rsid w:val="00C33204"/>
    <w:rsid w:val="00C338EB"/>
    <w:rsid w:val="00C3465D"/>
    <w:rsid w:val="00C379E9"/>
    <w:rsid w:val="00C40F7A"/>
    <w:rsid w:val="00C439FB"/>
    <w:rsid w:val="00C43F23"/>
    <w:rsid w:val="00C50011"/>
    <w:rsid w:val="00C56DA4"/>
    <w:rsid w:val="00C645E6"/>
    <w:rsid w:val="00C64D82"/>
    <w:rsid w:val="00C64FBC"/>
    <w:rsid w:val="00C65A83"/>
    <w:rsid w:val="00C737EE"/>
    <w:rsid w:val="00C74EFF"/>
    <w:rsid w:val="00C80F23"/>
    <w:rsid w:val="00C81151"/>
    <w:rsid w:val="00C828B6"/>
    <w:rsid w:val="00C82CC6"/>
    <w:rsid w:val="00C850A3"/>
    <w:rsid w:val="00C85C32"/>
    <w:rsid w:val="00C87568"/>
    <w:rsid w:val="00C9072B"/>
    <w:rsid w:val="00C90DB6"/>
    <w:rsid w:val="00C9394F"/>
    <w:rsid w:val="00C93B1A"/>
    <w:rsid w:val="00C96F5F"/>
    <w:rsid w:val="00CA3C4F"/>
    <w:rsid w:val="00CA5927"/>
    <w:rsid w:val="00CA79EC"/>
    <w:rsid w:val="00CB09F0"/>
    <w:rsid w:val="00CB2D37"/>
    <w:rsid w:val="00CB39C2"/>
    <w:rsid w:val="00CB40DA"/>
    <w:rsid w:val="00CB4C8C"/>
    <w:rsid w:val="00CB6782"/>
    <w:rsid w:val="00CC080A"/>
    <w:rsid w:val="00CC1D4D"/>
    <w:rsid w:val="00CC3C04"/>
    <w:rsid w:val="00CD151F"/>
    <w:rsid w:val="00CE26E5"/>
    <w:rsid w:val="00CE46DB"/>
    <w:rsid w:val="00CE49E2"/>
    <w:rsid w:val="00CE5277"/>
    <w:rsid w:val="00CE6358"/>
    <w:rsid w:val="00CF0C6C"/>
    <w:rsid w:val="00CF2C2A"/>
    <w:rsid w:val="00CF2D54"/>
    <w:rsid w:val="00D01324"/>
    <w:rsid w:val="00D02BA5"/>
    <w:rsid w:val="00D03538"/>
    <w:rsid w:val="00D049B8"/>
    <w:rsid w:val="00D04C0E"/>
    <w:rsid w:val="00D0516C"/>
    <w:rsid w:val="00D05EE7"/>
    <w:rsid w:val="00D068D0"/>
    <w:rsid w:val="00D0722C"/>
    <w:rsid w:val="00D078D1"/>
    <w:rsid w:val="00D129A8"/>
    <w:rsid w:val="00D12FB9"/>
    <w:rsid w:val="00D200BD"/>
    <w:rsid w:val="00D22399"/>
    <w:rsid w:val="00D33751"/>
    <w:rsid w:val="00D36F6E"/>
    <w:rsid w:val="00D37343"/>
    <w:rsid w:val="00D40397"/>
    <w:rsid w:val="00D4205E"/>
    <w:rsid w:val="00D43CCE"/>
    <w:rsid w:val="00D51F57"/>
    <w:rsid w:val="00D52744"/>
    <w:rsid w:val="00D52DC6"/>
    <w:rsid w:val="00D565EC"/>
    <w:rsid w:val="00D61982"/>
    <w:rsid w:val="00D6226F"/>
    <w:rsid w:val="00D6267A"/>
    <w:rsid w:val="00D63405"/>
    <w:rsid w:val="00D6596A"/>
    <w:rsid w:val="00D674CF"/>
    <w:rsid w:val="00D67A47"/>
    <w:rsid w:val="00D67D12"/>
    <w:rsid w:val="00D67E63"/>
    <w:rsid w:val="00D70923"/>
    <w:rsid w:val="00D74F09"/>
    <w:rsid w:val="00D7585A"/>
    <w:rsid w:val="00D77C49"/>
    <w:rsid w:val="00D80618"/>
    <w:rsid w:val="00D82494"/>
    <w:rsid w:val="00D83CF5"/>
    <w:rsid w:val="00D84A4B"/>
    <w:rsid w:val="00D92168"/>
    <w:rsid w:val="00D940B5"/>
    <w:rsid w:val="00D95CB0"/>
    <w:rsid w:val="00D95E12"/>
    <w:rsid w:val="00D977C0"/>
    <w:rsid w:val="00DA00A3"/>
    <w:rsid w:val="00DA13F3"/>
    <w:rsid w:val="00DA2DE3"/>
    <w:rsid w:val="00DA716A"/>
    <w:rsid w:val="00DB1841"/>
    <w:rsid w:val="00DB1F4F"/>
    <w:rsid w:val="00DB37EE"/>
    <w:rsid w:val="00DB413D"/>
    <w:rsid w:val="00DB4450"/>
    <w:rsid w:val="00DB7B69"/>
    <w:rsid w:val="00DC234A"/>
    <w:rsid w:val="00DC34E9"/>
    <w:rsid w:val="00DC41E4"/>
    <w:rsid w:val="00DC66A8"/>
    <w:rsid w:val="00DC7C77"/>
    <w:rsid w:val="00DD7EA2"/>
    <w:rsid w:val="00DE00F2"/>
    <w:rsid w:val="00DE117F"/>
    <w:rsid w:val="00DE144D"/>
    <w:rsid w:val="00DE401C"/>
    <w:rsid w:val="00DE4304"/>
    <w:rsid w:val="00DF0726"/>
    <w:rsid w:val="00DF63FA"/>
    <w:rsid w:val="00E012CC"/>
    <w:rsid w:val="00E02B71"/>
    <w:rsid w:val="00E02DEB"/>
    <w:rsid w:val="00E032BE"/>
    <w:rsid w:val="00E042A1"/>
    <w:rsid w:val="00E05F9D"/>
    <w:rsid w:val="00E104FA"/>
    <w:rsid w:val="00E1082A"/>
    <w:rsid w:val="00E11166"/>
    <w:rsid w:val="00E13182"/>
    <w:rsid w:val="00E15383"/>
    <w:rsid w:val="00E15F09"/>
    <w:rsid w:val="00E1738C"/>
    <w:rsid w:val="00E22D28"/>
    <w:rsid w:val="00E22DA2"/>
    <w:rsid w:val="00E230E3"/>
    <w:rsid w:val="00E230ED"/>
    <w:rsid w:val="00E30EDF"/>
    <w:rsid w:val="00E31FBA"/>
    <w:rsid w:val="00E36AAE"/>
    <w:rsid w:val="00E41773"/>
    <w:rsid w:val="00E41CF1"/>
    <w:rsid w:val="00E513F6"/>
    <w:rsid w:val="00E52F3B"/>
    <w:rsid w:val="00E538AB"/>
    <w:rsid w:val="00E53D94"/>
    <w:rsid w:val="00E53DEA"/>
    <w:rsid w:val="00E55986"/>
    <w:rsid w:val="00E57F40"/>
    <w:rsid w:val="00E615EB"/>
    <w:rsid w:val="00E616DB"/>
    <w:rsid w:val="00E618DD"/>
    <w:rsid w:val="00E627A4"/>
    <w:rsid w:val="00E630ED"/>
    <w:rsid w:val="00E7357D"/>
    <w:rsid w:val="00E74EC5"/>
    <w:rsid w:val="00E76B86"/>
    <w:rsid w:val="00E80A21"/>
    <w:rsid w:val="00E80E16"/>
    <w:rsid w:val="00E8342F"/>
    <w:rsid w:val="00E847A7"/>
    <w:rsid w:val="00E85415"/>
    <w:rsid w:val="00E86783"/>
    <w:rsid w:val="00E906B4"/>
    <w:rsid w:val="00E9095B"/>
    <w:rsid w:val="00E92EE0"/>
    <w:rsid w:val="00E9399B"/>
    <w:rsid w:val="00E94008"/>
    <w:rsid w:val="00E94762"/>
    <w:rsid w:val="00E96B52"/>
    <w:rsid w:val="00EA2244"/>
    <w:rsid w:val="00EA6FA7"/>
    <w:rsid w:val="00EB067F"/>
    <w:rsid w:val="00EB1F02"/>
    <w:rsid w:val="00EB5BC5"/>
    <w:rsid w:val="00EB66E3"/>
    <w:rsid w:val="00EC086C"/>
    <w:rsid w:val="00EC42D0"/>
    <w:rsid w:val="00EC638F"/>
    <w:rsid w:val="00ED2713"/>
    <w:rsid w:val="00ED5D6F"/>
    <w:rsid w:val="00EE2ACE"/>
    <w:rsid w:val="00EE4874"/>
    <w:rsid w:val="00EE5829"/>
    <w:rsid w:val="00EE79A6"/>
    <w:rsid w:val="00EF0A05"/>
    <w:rsid w:val="00EF0D86"/>
    <w:rsid w:val="00F005A0"/>
    <w:rsid w:val="00F106D2"/>
    <w:rsid w:val="00F11352"/>
    <w:rsid w:val="00F1498D"/>
    <w:rsid w:val="00F14DDF"/>
    <w:rsid w:val="00F152AD"/>
    <w:rsid w:val="00F20BE9"/>
    <w:rsid w:val="00F2285F"/>
    <w:rsid w:val="00F23155"/>
    <w:rsid w:val="00F24E0E"/>
    <w:rsid w:val="00F2526E"/>
    <w:rsid w:val="00F26693"/>
    <w:rsid w:val="00F36130"/>
    <w:rsid w:val="00F36A6E"/>
    <w:rsid w:val="00F36FE3"/>
    <w:rsid w:val="00F40444"/>
    <w:rsid w:val="00F4087A"/>
    <w:rsid w:val="00F41E36"/>
    <w:rsid w:val="00F423BD"/>
    <w:rsid w:val="00F432FF"/>
    <w:rsid w:val="00F46A39"/>
    <w:rsid w:val="00F46F26"/>
    <w:rsid w:val="00F4715C"/>
    <w:rsid w:val="00F54869"/>
    <w:rsid w:val="00F556B2"/>
    <w:rsid w:val="00F57187"/>
    <w:rsid w:val="00F574E5"/>
    <w:rsid w:val="00F5754B"/>
    <w:rsid w:val="00F576DE"/>
    <w:rsid w:val="00F63BF7"/>
    <w:rsid w:val="00F65617"/>
    <w:rsid w:val="00F710BE"/>
    <w:rsid w:val="00F718C1"/>
    <w:rsid w:val="00F736D2"/>
    <w:rsid w:val="00F7564C"/>
    <w:rsid w:val="00F76220"/>
    <w:rsid w:val="00F769BE"/>
    <w:rsid w:val="00F77D7A"/>
    <w:rsid w:val="00F82E6B"/>
    <w:rsid w:val="00F87CA3"/>
    <w:rsid w:val="00F97B71"/>
    <w:rsid w:val="00FA1925"/>
    <w:rsid w:val="00FA2DDA"/>
    <w:rsid w:val="00FA34CA"/>
    <w:rsid w:val="00FA3CC8"/>
    <w:rsid w:val="00FA4A55"/>
    <w:rsid w:val="00FA4D4F"/>
    <w:rsid w:val="00FA54E8"/>
    <w:rsid w:val="00FB2D17"/>
    <w:rsid w:val="00FB2F69"/>
    <w:rsid w:val="00FB3BCA"/>
    <w:rsid w:val="00FB45FF"/>
    <w:rsid w:val="00FB47E0"/>
    <w:rsid w:val="00FB5D97"/>
    <w:rsid w:val="00FC1991"/>
    <w:rsid w:val="00FC1CA5"/>
    <w:rsid w:val="00FC2979"/>
    <w:rsid w:val="00FC45F4"/>
    <w:rsid w:val="00FC5E83"/>
    <w:rsid w:val="00FD1C3C"/>
    <w:rsid w:val="00FD38A8"/>
    <w:rsid w:val="00FD3B9A"/>
    <w:rsid w:val="00FD6AC8"/>
    <w:rsid w:val="00FD7153"/>
    <w:rsid w:val="00FD7298"/>
    <w:rsid w:val="00FE308B"/>
    <w:rsid w:val="00FE3230"/>
    <w:rsid w:val="00FE3EA1"/>
    <w:rsid w:val="00FE4818"/>
    <w:rsid w:val="00FE5D80"/>
    <w:rsid w:val="00FE6979"/>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4:docId w14:val="4BCF0E5E"/>
  <w15:docId w15:val="{7F304DED-1E57-4DCB-A00D-DC301845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5D4452"/>
    <w:pPr>
      <w:keepNext/>
      <w:keepLines/>
      <w:spacing w:before="340" w:after="330" w:line="578" w:lineRule="auto"/>
      <w:outlineLvl w:val="0"/>
    </w:pPr>
    <w:rPr>
      <w:b/>
      <w:bCs/>
      <w:kern w:val="44"/>
      <w:sz w:val="44"/>
      <w:szCs w:val="44"/>
    </w:rPr>
  </w:style>
  <w:style w:type="paragraph" w:styleId="2">
    <w:name w:val="heading 2"/>
    <w:basedOn w:val="a"/>
    <w:next w:val="a0"/>
    <w:qFormat/>
    <w:rsid w:val="001B63AB"/>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B63AB"/>
    <w:pPr>
      <w:ind w:firstLineChars="200" w:firstLine="420"/>
    </w:pPr>
  </w:style>
  <w:style w:type="paragraph" w:styleId="a4">
    <w:name w:val="Body Text Indent"/>
    <w:basedOn w:val="a"/>
    <w:rsid w:val="001B63AB"/>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uiPriority w:val="99"/>
    <w:rsid w:val="001B63AB"/>
    <w:rPr>
      <w:rFonts w:ascii="宋体" w:hAnsi="Courier New"/>
      <w:szCs w:val="21"/>
    </w:rPr>
  </w:style>
  <w:style w:type="paragraph" w:styleId="20">
    <w:name w:val="Body Text Indent 2"/>
    <w:basedOn w:val="a"/>
    <w:rsid w:val="001B63AB"/>
    <w:pPr>
      <w:spacing w:line="560" w:lineRule="exact"/>
      <w:ind w:firstLineChars="200" w:firstLine="480"/>
    </w:pPr>
    <w:rPr>
      <w:rFonts w:ascii="宋体" w:hAnsi="宋体"/>
      <w:color w:val="FF0000"/>
      <w:sz w:val="24"/>
    </w:rPr>
  </w:style>
  <w:style w:type="paragraph" w:styleId="a7">
    <w:name w:val="footer"/>
    <w:basedOn w:val="a"/>
    <w:rsid w:val="001B63AB"/>
    <w:pPr>
      <w:tabs>
        <w:tab w:val="center" w:pos="4153"/>
        <w:tab w:val="right" w:pos="8306"/>
      </w:tabs>
      <w:snapToGrid w:val="0"/>
      <w:jc w:val="left"/>
    </w:pPr>
    <w:rPr>
      <w:sz w:val="18"/>
      <w:szCs w:val="18"/>
    </w:rPr>
  </w:style>
  <w:style w:type="character" w:styleId="a8">
    <w:name w:val="page number"/>
    <w:basedOn w:val="a1"/>
    <w:rsid w:val="001B63AB"/>
  </w:style>
  <w:style w:type="character" w:styleId="a9">
    <w:name w:val="Hyperlink"/>
    <w:basedOn w:val="a1"/>
    <w:rsid w:val="001B63AB"/>
    <w:rPr>
      <w:color w:val="0000FF"/>
      <w:u w:val="single"/>
    </w:rPr>
  </w:style>
  <w:style w:type="paragraph" w:styleId="3">
    <w:name w:val="Body Text Indent 3"/>
    <w:basedOn w:val="a"/>
    <w:rsid w:val="001B63AB"/>
    <w:pPr>
      <w:spacing w:line="560" w:lineRule="exact"/>
      <w:ind w:firstLineChars="200" w:firstLine="420"/>
    </w:pPr>
    <w:rPr>
      <w:rFonts w:ascii="Arial" w:hAnsi="Arial" w:cs="Arial"/>
      <w:color w:val="FF0000"/>
    </w:rPr>
  </w:style>
  <w:style w:type="paragraph" w:styleId="aa">
    <w:name w:val="header"/>
    <w:basedOn w:val="a"/>
    <w:link w:val="ab"/>
    <w:uiPriority w:val="99"/>
    <w:rsid w:val="001B63AB"/>
    <w:pPr>
      <w:pBdr>
        <w:bottom w:val="single" w:sz="6" w:space="1" w:color="auto"/>
      </w:pBdr>
      <w:tabs>
        <w:tab w:val="center" w:pos="4153"/>
        <w:tab w:val="right" w:pos="8306"/>
      </w:tabs>
      <w:snapToGrid w:val="0"/>
      <w:jc w:val="center"/>
    </w:pPr>
    <w:rPr>
      <w:sz w:val="18"/>
      <w:szCs w:val="18"/>
    </w:rPr>
  </w:style>
  <w:style w:type="character" w:styleId="ac">
    <w:name w:val="FollowedHyperlink"/>
    <w:basedOn w:val="a1"/>
    <w:rsid w:val="001B63AB"/>
    <w:rPr>
      <w:color w:val="800080"/>
      <w:u w:val="single"/>
    </w:rPr>
  </w:style>
  <w:style w:type="paragraph" w:styleId="ad">
    <w:name w:val="List"/>
    <w:basedOn w:val="ae"/>
    <w:rsid w:val="001B63AB"/>
    <w:pPr>
      <w:spacing w:after="220" w:line="220" w:lineRule="atLeast"/>
      <w:ind w:left="1440" w:hanging="360"/>
    </w:pPr>
    <w:rPr>
      <w:szCs w:val="20"/>
    </w:rPr>
  </w:style>
  <w:style w:type="paragraph" w:styleId="ae">
    <w:name w:val="Body Text"/>
    <w:basedOn w:val="a"/>
    <w:rsid w:val="001B63AB"/>
    <w:pPr>
      <w:spacing w:after="120"/>
    </w:pPr>
  </w:style>
  <w:style w:type="paragraph" w:styleId="af">
    <w:name w:val="Date"/>
    <w:basedOn w:val="a"/>
    <w:next w:val="a"/>
    <w:link w:val="af0"/>
    <w:uiPriority w:val="99"/>
    <w:rsid w:val="001B63AB"/>
    <w:rPr>
      <w:sz w:val="24"/>
      <w:szCs w:val="20"/>
    </w:rPr>
  </w:style>
  <w:style w:type="character" w:customStyle="1" w:styleId="c1">
    <w:name w:val="c1"/>
    <w:basedOn w:val="a1"/>
    <w:rsid w:val="001B63AB"/>
    <w:rPr>
      <w:color w:val="000000"/>
      <w:sz w:val="18"/>
      <w:szCs w:val="18"/>
    </w:rPr>
  </w:style>
  <w:style w:type="paragraph" w:styleId="11">
    <w:name w:val="index 1"/>
    <w:basedOn w:val="a"/>
    <w:next w:val="a"/>
    <w:autoRedefine/>
    <w:semiHidden/>
    <w:rsid w:val="001B63AB"/>
    <w:pPr>
      <w:jc w:val="right"/>
    </w:pPr>
    <w:rPr>
      <w:color w:val="008000"/>
    </w:rPr>
  </w:style>
  <w:style w:type="paragraph" w:customStyle="1" w:styleId="font5">
    <w:name w:val="font5"/>
    <w:basedOn w:val="a"/>
    <w:rsid w:val="001B63AB"/>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B63AB"/>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B63A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B63A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B63A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B63A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B63A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B63A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1B63AB"/>
    <w:rPr>
      <w:sz w:val="18"/>
      <w:szCs w:val="18"/>
    </w:rPr>
  </w:style>
  <w:style w:type="character" w:styleId="af2">
    <w:name w:val="annotation reference"/>
    <w:basedOn w:val="a1"/>
    <w:semiHidden/>
    <w:rsid w:val="001B63AB"/>
    <w:rPr>
      <w:sz w:val="21"/>
      <w:szCs w:val="21"/>
    </w:rPr>
  </w:style>
  <w:style w:type="paragraph" w:styleId="af3">
    <w:name w:val="annotation text"/>
    <w:basedOn w:val="a"/>
    <w:semiHidden/>
    <w:rsid w:val="001B63AB"/>
    <w:pPr>
      <w:jc w:val="left"/>
    </w:pPr>
  </w:style>
  <w:style w:type="paragraph" w:styleId="af4">
    <w:name w:val="annotation subject"/>
    <w:basedOn w:val="af3"/>
    <w:next w:val="af3"/>
    <w:semiHidden/>
    <w:rsid w:val="001B63AB"/>
    <w:rPr>
      <w:b/>
      <w:bCs/>
    </w:rPr>
  </w:style>
  <w:style w:type="paragraph" w:customStyle="1" w:styleId="Char">
    <w:name w:val="Char"/>
    <w:basedOn w:val="a"/>
    <w:rsid w:val="001B63AB"/>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basedOn w:val="a1"/>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726E0"/>
    <w:rPr>
      <w:rFonts w:ascii="宋体" w:hAnsi="Courier New"/>
      <w:kern w:val="2"/>
      <w:sz w:val="21"/>
      <w:szCs w:val="21"/>
    </w:rPr>
  </w:style>
  <w:style w:type="character" w:customStyle="1" w:styleId="ab">
    <w:name w:val="页眉 字符"/>
    <w:basedOn w:val="a1"/>
    <w:link w:val="aa"/>
    <w:uiPriority w:val="99"/>
    <w:rsid w:val="004E30FB"/>
    <w:rPr>
      <w:kern w:val="2"/>
      <w:sz w:val="18"/>
      <w:szCs w:val="18"/>
    </w:rPr>
  </w:style>
  <w:style w:type="character" w:customStyle="1" w:styleId="10">
    <w:name w:val="标题 1 字符"/>
    <w:basedOn w:val="a1"/>
    <w:link w:val="1"/>
    <w:rsid w:val="005D4452"/>
    <w:rPr>
      <w:b/>
      <w:bCs/>
      <w:kern w:val="44"/>
      <w:sz w:val="44"/>
      <w:szCs w:val="44"/>
    </w:rPr>
  </w:style>
  <w:style w:type="character" w:customStyle="1" w:styleId="af0">
    <w:name w:val="日期 字符"/>
    <w:basedOn w:val="a1"/>
    <w:link w:val="af"/>
    <w:uiPriority w:val="99"/>
    <w:rsid w:val="005E5CC1"/>
    <w:rPr>
      <w:kern w:val="2"/>
      <w:sz w:val="24"/>
    </w:rPr>
  </w:style>
  <w:style w:type="character" w:customStyle="1" w:styleId="t1">
    <w:name w:val="t1"/>
    <w:basedOn w:val="a1"/>
    <w:rsid w:val="00C40F7A"/>
    <w:rPr>
      <w:color w:val="990000"/>
    </w:rPr>
  </w:style>
  <w:style w:type="character" w:styleId="afb">
    <w:name w:val="Strong"/>
    <w:basedOn w:val="a1"/>
    <w:uiPriority w:val="22"/>
    <w:qFormat/>
    <w:rsid w:val="003D51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175875008">
      <w:bodyDiv w:val="1"/>
      <w:marLeft w:val="0"/>
      <w:marRight w:val="0"/>
      <w:marTop w:val="0"/>
      <w:marBottom w:val="0"/>
      <w:divBdr>
        <w:top w:val="none" w:sz="0" w:space="0" w:color="auto"/>
        <w:left w:val="none" w:sz="0" w:space="0" w:color="auto"/>
        <w:bottom w:val="none" w:sz="0" w:space="0" w:color="auto"/>
        <w:right w:val="none" w:sz="0" w:space="0" w:color="auto"/>
      </w:divBdr>
    </w:div>
    <w:div w:id="1323436634">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01293798">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519731434">
      <w:bodyDiv w:val="1"/>
      <w:marLeft w:val="0"/>
      <w:marRight w:val="0"/>
      <w:marTop w:val="0"/>
      <w:marBottom w:val="0"/>
      <w:divBdr>
        <w:top w:val="none" w:sz="0" w:space="0" w:color="auto"/>
        <w:left w:val="none" w:sz="0" w:space="0" w:color="auto"/>
        <w:bottom w:val="none" w:sz="0" w:space="0" w:color="auto"/>
        <w:right w:val="none" w:sz="0" w:space="0" w:color="auto"/>
      </w:divBdr>
    </w:div>
    <w:div w:id="165618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16</Pages>
  <Words>1217</Words>
  <Characters>6940</Characters>
  <Application>Microsoft Office Word</Application>
  <DocSecurity>0</DocSecurity>
  <Lines>57</Lines>
  <Paragraphs>16</Paragraphs>
  <ScaleCrop>false</ScaleCrop>
  <Company>TRT. Ltd. Co.</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116</cp:revision>
  <cp:lastPrinted>2007-07-19T00:46:00Z</cp:lastPrinted>
  <dcterms:created xsi:type="dcterms:W3CDTF">2013-06-21T07:03:00Z</dcterms:created>
  <dcterms:modified xsi:type="dcterms:W3CDTF">2024-04-19T03:32:00Z</dcterms:modified>
</cp:coreProperties>
</file>