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年第</w:t>
      </w:r>
      <w:r w:rsidRPr="00C74EFF">
        <w:rPr>
          <w:rFonts w:eastAsiaTheme="minorEastAsia"/>
          <w:b/>
          <w:color w:val="000000" w:themeColor="text1"/>
          <w:sz w:val="36"/>
          <w:szCs w:val="36"/>
        </w:rPr>
        <w:t>2</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w:t>
      </w:r>
      <w:r w:rsidRPr="00C74EFF">
        <w:rPr>
          <w:rFonts w:eastAsiaTheme="minorEastAsia"/>
          <w:b/>
          <w:color w:val="000000" w:themeColor="text1"/>
          <w:sz w:val="36"/>
          <w:szCs w:val="36"/>
        </w:rPr>
        <w:t>6</w:t>
      </w:r>
      <w:r w:rsidRPr="00C74EFF">
        <w:rPr>
          <w:rFonts w:eastAsiaTheme="minorEastAsia"/>
          <w:b/>
          <w:color w:val="000000" w:themeColor="text1"/>
          <w:sz w:val="36"/>
          <w:szCs w:val="36"/>
        </w:rPr>
        <w:t>月</w:t>
      </w:r>
      <w:r w:rsidRPr="00C74EFF">
        <w:rPr>
          <w:rFonts w:eastAsiaTheme="minorEastAsia"/>
          <w:b/>
          <w:color w:val="000000" w:themeColor="text1"/>
          <w:sz w:val="36"/>
          <w:szCs w:val="36"/>
        </w:rPr>
        <w:t>30</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二〇二四年七月十九日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18</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2024</w:t>
      </w:r>
      <w:r w:rsidRPr="00C74EFF">
        <w:rPr>
          <w:rFonts w:eastAsiaTheme="minorEastAsia"/>
          <w:color w:val="000000" w:themeColor="text1"/>
          <w:sz w:val="24"/>
        </w:rPr>
        <w:t>年</w:t>
      </w:r>
      <w:r w:rsidRPr="00C74EFF">
        <w:rPr>
          <w:rFonts w:eastAsiaTheme="minorEastAsia"/>
          <w:color w:val="000000" w:themeColor="text1"/>
          <w:sz w:val="24"/>
        </w:rPr>
        <w:t>4</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6</w:t>
      </w:r>
      <w:r w:rsidRPr="00C74EFF">
        <w:rPr>
          <w:rFonts w:eastAsiaTheme="minorEastAsia"/>
          <w:color w:val="000000" w:themeColor="text1"/>
          <w:sz w:val="24"/>
        </w:rPr>
        <w:t>月</w:t>
      </w:r>
      <w:r w:rsidRPr="00C74EFF">
        <w:rPr>
          <w:rFonts w:eastAsiaTheme="minorEastAsia"/>
          <w:color w:val="000000" w:themeColor="text1"/>
          <w:sz w:val="24"/>
        </w:rPr>
        <w:t>30</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243,128,000.00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5F1A73" w:rsidRDefault="00781EFB">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81EFB" w:rsidRPr="00C74EFF" w:rsidTr="00781EFB">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4</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6</w:t>
            </w:r>
            <w:r w:rsidRPr="00C74EFF">
              <w:rPr>
                <w:rFonts w:eastAsiaTheme="minorEastAsia"/>
                <w:color w:val="000000" w:themeColor="text1"/>
                <w:kern w:val="0"/>
                <w:sz w:val="24"/>
              </w:rPr>
              <w:t>月</w:t>
            </w:r>
            <w:r w:rsidRPr="00C74EFF">
              <w:rPr>
                <w:rFonts w:eastAsiaTheme="minorEastAsia"/>
                <w:color w:val="000000" w:themeColor="text1"/>
                <w:kern w:val="0"/>
                <w:sz w:val="24"/>
              </w:rPr>
              <w:t>30</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781EFB" w:rsidRPr="00C74EFF" w:rsidTr="00781EF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-7,774,857.46</w:t>
            </w:r>
          </w:p>
        </w:tc>
      </w:tr>
      <w:tr w:rsidR="00781EFB" w:rsidRPr="00C74EFF" w:rsidTr="00781EF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6,173,081.94</w:t>
            </w:r>
          </w:p>
        </w:tc>
      </w:tr>
      <w:tr w:rsidR="00781EFB" w:rsidRPr="00C74EFF" w:rsidTr="00781EF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0.0263</w:t>
            </w:r>
          </w:p>
        </w:tc>
      </w:tr>
      <w:tr w:rsidR="00781EFB" w:rsidRPr="00C74EFF" w:rsidTr="00781EFB">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173,261,809.59</w:t>
            </w:r>
          </w:p>
        </w:tc>
      </w:tr>
      <w:tr w:rsidR="00781EFB" w:rsidRPr="00C74EFF" w:rsidTr="00781EFB">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0.7126</w:t>
            </w:r>
          </w:p>
        </w:tc>
      </w:tr>
    </w:tbl>
    <w:p w:rsidR="005F1A73" w:rsidRDefault="00781EF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5F1A73">
        <w:tc>
          <w:tcPr>
            <w:tcW w:w="1395" w:type="dxa"/>
            <w:vAlign w:val="center"/>
          </w:tcPr>
          <w:p w:rsidR="005F1A73" w:rsidRDefault="00781EFB">
            <w:pPr>
              <w:jc w:val="left"/>
            </w:pPr>
            <w:r>
              <w:rPr>
                <w:rFonts w:eastAsiaTheme="minorEastAsia"/>
                <w:color w:val="000000" w:themeColor="text1"/>
                <w:sz w:val="24"/>
              </w:rPr>
              <w:t>过去三个月</w:t>
            </w:r>
          </w:p>
        </w:tc>
        <w:tc>
          <w:tcPr>
            <w:tcW w:w="1092" w:type="dxa"/>
            <w:vAlign w:val="center"/>
          </w:tcPr>
          <w:p w:rsidR="005F1A73" w:rsidRDefault="00781EFB">
            <w:pPr>
              <w:jc w:val="center"/>
            </w:pPr>
            <w:r>
              <w:rPr>
                <w:rFonts w:eastAsiaTheme="minorEastAsia"/>
                <w:color w:val="000000" w:themeColor="text1"/>
                <w:sz w:val="24"/>
              </w:rPr>
              <w:t>2.86%</w:t>
            </w:r>
          </w:p>
        </w:tc>
        <w:tc>
          <w:tcPr>
            <w:tcW w:w="1161" w:type="dxa"/>
            <w:vAlign w:val="center"/>
          </w:tcPr>
          <w:p w:rsidR="005F1A73" w:rsidRDefault="00781EFB">
            <w:pPr>
              <w:jc w:val="center"/>
            </w:pPr>
            <w:r>
              <w:rPr>
                <w:rFonts w:eastAsiaTheme="minorEastAsia"/>
                <w:color w:val="000000" w:themeColor="text1"/>
                <w:sz w:val="24"/>
              </w:rPr>
              <w:t>2.03%</w:t>
            </w:r>
          </w:p>
        </w:tc>
        <w:tc>
          <w:tcPr>
            <w:tcW w:w="1181" w:type="dxa"/>
            <w:vAlign w:val="center"/>
          </w:tcPr>
          <w:p w:rsidR="005F1A73" w:rsidRDefault="00781EFB">
            <w:pPr>
              <w:jc w:val="center"/>
            </w:pPr>
            <w:r>
              <w:rPr>
                <w:rFonts w:eastAsiaTheme="minorEastAsia"/>
                <w:color w:val="000000" w:themeColor="text1"/>
                <w:sz w:val="24"/>
              </w:rPr>
              <w:t>2.90%</w:t>
            </w:r>
          </w:p>
        </w:tc>
        <w:tc>
          <w:tcPr>
            <w:tcW w:w="1188" w:type="dxa"/>
            <w:vAlign w:val="center"/>
          </w:tcPr>
          <w:p w:rsidR="005F1A73" w:rsidRDefault="00781EFB">
            <w:pPr>
              <w:jc w:val="center"/>
            </w:pPr>
            <w:r>
              <w:rPr>
                <w:rFonts w:eastAsiaTheme="minorEastAsia"/>
                <w:color w:val="000000" w:themeColor="text1"/>
                <w:sz w:val="24"/>
              </w:rPr>
              <w:t>2.10%</w:t>
            </w:r>
          </w:p>
        </w:tc>
        <w:tc>
          <w:tcPr>
            <w:tcW w:w="1199" w:type="dxa"/>
            <w:vAlign w:val="center"/>
          </w:tcPr>
          <w:p w:rsidR="005F1A73" w:rsidRDefault="00781EFB">
            <w:pPr>
              <w:jc w:val="center"/>
            </w:pPr>
            <w:r>
              <w:rPr>
                <w:rFonts w:eastAsiaTheme="minorEastAsia"/>
                <w:color w:val="000000" w:themeColor="text1"/>
                <w:sz w:val="24"/>
              </w:rPr>
              <w:t>-0.04%</w:t>
            </w:r>
          </w:p>
        </w:tc>
        <w:tc>
          <w:tcPr>
            <w:tcW w:w="1204" w:type="dxa"/>
            <w:vAlign w:val="center"/>
          </w:tcPr>
          <w:p w:rsidR="005F1A73" w:rsidRDefault="00781EFB">
            <w:pPr>
              <w:jc w:val="center"/>
            </w:pPr>
            <w:r>
              <w:rPr>
                <w:rFonts w:eastAsiaTheme="minorEastAsia"/>
                <w:color w:val="000000" w:themeColor="text1"/>
                <w:sz w:val="24"/>
              </w:rPr>
              <w:t>-0.07%</w:t>
            </w:r>
          </w:p>
        </w:tc>
      </w:tr>
      <w:tr w:rsidR="005F1A73">
        <w:tc>
          <w:tcPr>
            <w:tcW w:w="1395" w:type="dxa"/>
            <w:vAlign w:val="center"/>
          </w:tcPr>
          <w:p w:rsidR="005F1A73" w:rsidRDefault="00781EFB">
            <w:pPr>
              <w:jc w:val="left"/>
            </w:pPr>
            <w:r>
              <w:rPr>
                <w:rFonts w:eastAsiaTheme="minorEastAsia"/>
                <w:color w:val="000000" w:themeColor="text1"/>
                <w:sz w:val="24"/>
              </w:rPr>
              <w:t>过去六个月</w:t>
            </w:r>
          </w:p>
        </w:tc>
        <w:tc>
          <w:tcPr>
            <w:tcW w:w="1092" w:type="dxa"/>
            <w:vAlign w:val="center"/>
          </w:tcPr>
          <w:p w:rsidR="005F1A73" w:rsidRDefault="00781EFB">
            <w:pPr>
              <w:jc w:val="center"/>
            </w:pPr>
            <w:r>
              <w:rPr>
                <w:rFonts w:eastAsiaTheme="minorEastAsia"/>
                <w:color w:val="000000" w:themeColor="text1"/>
                <w:sz w:val="24"/>
              </w:rPr>
              <w:t>-4.08%</w:t>
            </w:r>
          </w:p>
        </w:tc>
        <w:tc>
          <w:tcPr>
            <w:tcW w:w="1161" w:type="dxa"/>
            <w:vAlign w:val="center"/>
          </w:tcPr>
          <w:p w:rsidR="005F1A73" w:rsidRDefault="00781EFB">
            <w:pPr>
              <w:jc w:val="center"/>
            </w:pPr>
            <w:r>
              <w:rPr>
                <w:rFonts w:eastAsiaTheme="minorEastAsia"/>
                <w:color w:val="000000" w:themeColor="text1"/>
                <w:sz w:val="24"/>
              </w:rPr>
              <w:t>2.10%</w:t>
            </w:r>
          </w:p>
        </w:tc>
        <w:tc>
          <w:tcPr>
            <w:tcW w:w="1181" w:type="dxa"/>
            <w:vAlign w:val="center"/>
          </w:tcPr>
          <w:p w:rsidR="005F1A73" w:rsidRDefault="00781EFB">
            <w:pPr>
              <w:jc w:val="center"/>
            </w:pPr>
            <w:r>
              <w:rPr>
                <w:rFonts w:eastAsiaTheme="minorEastAsia"/>
                <w:color w:val="000000" w:themeColor="text1"/>
                <w:sz w:val="24"/>
              </w:rPr>
              <w:t>-4.90%</w:t>
            </w:r>
          </w:p>
        </w:tc>
        <w:tc>
          <w:tcPr>
            <w:tcW w:w="1188" w:type="dxa"/>
            <w:vAlign w:val="center"/>
          </w:tcPr>
          <w:p w:rsidR="005F1A73" w:rsidRDefault="00781EFB">
            <w:pPr>
              <w:jc w:val="center"/>
            </w:pPr>
            <w:r>
              <w:rPr>
                <w:rFonts w:eastAsiaTheme="minorEastAsia"/>
                <w:color w:val="000000" w:themeColor="text1"/>
                <w:sz w:val="24"/>
              </w:rPr>
              <w:t>2.22%</w:t>
            </w:r>
          </w:p>
        </w:tc>
        <w:tc>
          <w:tcPr>
            <w:tcW w:w="1199" w:type="dxa"/>
            <w:vAlign w:val="center"/>
          </w:tcPr>
          <w:p w:rsidR="005F1A73" w:rsidRDefault="00781EFB">
            <w:pPr>
              <w:jc w:val="center"/>
            </w:pPr>
            <w:r>
              <w:rPr>
                <w:rFonts w:eastAsiaTheme="minorEastAsia"/>
                <w:color w:val="000000" w:themeColor="text1"/>
                <w:sz w:val="24"/>
              </w:rPr>
              <w:t>0.82%</w:t>
            </w:r>
          </w:p>
        </w:tc>
        <w:tc>
          <w:tcPr>
            <w:tcW w:w="1204" w:type="dxa"/>
            <w:vAlign w:val="center"/>
          </w:tcPr>
          <w:p w:rsidR="005F1A73" w:rsidRDefault="00781EFB">
            <w:pPr>
              <w:jc w:val="center"/>
            </w:pPr>
            <w:r>
              <w:rPr>
                <w:rFonts w:eastAsiaTheme="minorEastAsia"/>
                <w:color w:val="000000" w:themeColor="text1"/>
                <w:sz w:val="24"/>
              </w:rPr>
              <w:t>-0.12%</w:t>
            </w:r>
          </w:p>
        </w:tc>
      </w:tr>
      <w:tr w:rsidR="005F1A73">
        <w:tc>
          <w:tcPr>
            <w:tcW w:w="1395" w:type="dxa"/>
            <w:vAlign w:val="center"/>
          </w:tcPr>
          <w:p w:rsidR="005F1A73" w:rsidRDefault="00781EFB">
            <w:pPr>
              <w:jc w:val="left"/>
            </w:pPr>
            <w:r>
              <w:rPr>
                <w:rFonts w:eastAsiaTheme="minorEastAsia"/>
                <w:color w:val="000000" w:themeColor="text1"/>
                <w:sz w:val="24"/>
              </w:rPr>
              <w:t>过去一年</w:t>
            </w:r>
          </w:p>
        </w:tc>
        <w:tc>
          <w:tcPr>
            <w:tcW w:w="1092" w:type="dxa"/>
            <w:vAlign w:val="center"/>
          </w:tcPr>
          <w:p w:rsidR="005F1A73" w:rsidRDefault="00781EFB">
            <w:pPr>
              <w:jc w:val="center"/>
            </w:pPr>
            <w:r>
              <w:rPr>
                <w:rFonts w:eastAsiaTheme="minorEastAsia"/>
                <w:color w:val="000000" w:themeColor="text1"/>
                <w:sz w:val="24"/>
              </w:rPr>
              <w:t>-8.91%</w:t>
            </w:r>
          </w:p>
        </w:tc>
        <w:tc>
          <w:tcPr>
            <w:tcW w:w="1161" w:type="dxa"/>
            <w:vAlign w:val="center"/>
          </w:tcPr>
          <w:p w:rsidR="005F1A73" w:rsidRDefault="00781EFB">
            <w:pPr>
              <w:jc w:val="center"/>
            </w:pPr>
            <w:r>
              <w:rPr>
                <w:rFonts w:eastAsiaTheme="minorEastAsia"/>
                <w:color w:val="000000" w:themeColor="text1"/>
                <w:sz w:val="24"/>
              </w:rPr>
              <w:t>2.01%</w:t>
            </w:r>
          </w:p>
        </w:tc>
        <w:tc>
          <w:tcPr>
            <w:tcW w:w="1181" w:type="dxa"/>
            <w:vAlign w:val="center"/>
          </w:tcPr>
          <w:p w:rsidR="005F1A73" w:rsidRDefault="00781EFB">
            <w:pPr>
              <w:jc w:val="center"/>
            </w:pPr>
            <w:r>
              <w:rPr>
                <w:rFonts w:eastAsiaTheme="minorEastAsia"/>
                <w:color w:val="000000" w:themeColor="text1"/>
                <w:sz w:val="24"/>
              </w:rPr>
              <w:t>-10.04%</w:t>
            </w:r>
          </w:p>
        </w:tc>
        <w:tc>
          <w:tcPr>
            <w:tcW w:w="1188" w:type="dxa"/>
            <w:vAlign w:val="center"/>
          </w:tcPr>
          <w:p w:rsidR="005F1A73" w:rsidRDefault="00781EFB">
            <w:pPr>
              <w:jc w:val="center"/>
            </w:pPr>
            <w:r>
              <w:rPr>
                <w:rFonts w:eastAsiaTheme="minorEastAsia"/>
                <w:color w:val="000000" w:themeColor="text1"/>
                <w:sz w:val="24"/>
              </w:rPr>
              <w:t>2.11%</w:t>
            </w:r>
          </w:p>
        </w:tc>
        <w:tc>
          <w:tcPr>
            <w:tcW w:w="1199" w:type="dxa"/>
            <w:vAlign w:val="center"/>
          </w:tcPr>
          <w:p w:rsidR="005F1A73" w:rsidRDefault="00781EFB">
            <w:pPr>
              <w:jc w:val="center"/>
            </w:pPr>
            <w:r>
              <w:rPr>
                <w:rFonts w:eastAsiaTheme="minorEastAsia"/>
                <w:color w:val="000000" w:themeColor="text1"/>
                <w:sz w:val="24"/>
              </w:rPr>
              <w:t>1.13%</w:t>
            </w:r>
          </w:p>
        </w:tc>
        <w:tc>
          <w:tcPr>
            <w:tcW w:w="1204" w:type="dxa"/>
            <w:vAlign w:val="center"/>
          </w:tcPr>
          <w:p w:rsidR="005F1A73" w:rsidRDefault="00781EFB">
            <w:pPr>
              <w:jc w:val="center"/>
            </w:pPr>
            <w:r>
              <w:rPr>
                <w:rFonts w:eastAsiaTheme="minorEastAsia"/>
                <w:color w:val="000000" w:themeColor="text1"/>
                <w:sz w:val="24"/>
              </w:rPr>
              <w:t>-0.10%</w:t>
            </w:r>
          </w:p>
        </w:tc>
      </w:tr>
      <w:tr w:rsidR="005F1A73">
        <w:tc>
          <w:tcPr>
            <w:tcW w:w="1395" w:type="dxa"/>
            <w:vAlign w:val="center"/>
          </w:tcPr>
          <w:p w:rsidR="005F1A73" w:rsidRDefault="00781EFB">
            <w:pPr>
              <w:jc w:val="left"/>
            </w:pPr>
            <w:r>
              <w:rPr>
                <w:rFonts w:eastAsiaTheme="minorEastAsia"/>
                <w:color w:val="000000" w:themeColor="text1"/>
                <w:sz w:val="24"/>
              </w:rPr>
              <w:lastRenderedPageBreak/>
              <w:t>过去三年</w:t>
            </w:r>
          </w:p>
        </w:tc>
        <w:tc>
          <w:tcPr>
            <w:tcW w:w="1092" w:type="dxa"/>
            <w:vAlign w:val="center"/>
          </w:tcPr>
          <w:p w:rsidR="005F1A73" w:rsidRDefault="00781EFB">
            <w:pPr>
              <w:jc w:val="center"/>
            </w:pPr>
            <w:r>
              <w:rPr>
                <w:rFonts w:eastAsiaTheme="minorEastAsia"/>
                <w:color w:val="000000" w:themeColor="text1"/>
                <w:sz w:val="24"/>
              </w:rPr>
              <w:t>-</w:t>
            </w:r>
          </w:p>
        </w:tc>
        <w:tc>
          <w:tcPr>
            <w:tcW w:w="1161" w:type="dxa"/>
            <w:vAlign w:val="center"/>
          </w:tcPr>
          <w:p w:rsidR="005F1A73" w:rsidRDefault="00781EFB">
            <w:pPr>
              <w:jc w:val="center"/>
            </w:pPr>
            <w:r>
              <w:rPr>
                <w:rFonts w:eastAsiaTheme="minorEastAsia"/>
                <w:color w:val="000000" w:themeColor="text1"/>
                <w:sz w:val="24"/>
              </w:rPr>
              <w:t>-</w:t>
            </w:r>
          </w:p>
        </w:tc>
        <w:tc>
          <w:tcPr>
            <w:tcW w:w="1181" w:type="dxa"/>
            <w:vAlign w:val="center"/>
          </w:tcPr>
          <w:p w:rsidR="005F1A73" w:rsidRDefault="00781EFB">
            <w:pPr>
              <w:jc w:val="center"/>
            </w:pPr>
            <w:r>
              <w:rPr>
                <w:rFonts w:eastAsiaTheme="minorEastAsia"/>
                <w:color w:val="000000" w:themeColor="text1"/>
                <w:sz w:val="24"/>
              </w:rPr>
              <w:t>-</w:t>
            </w:r>
          </w:p>
        </w:tc>
        <w:tc>
          <w:tcPr>
            <w:tcW w:w="1188" w:type="dxa"/>
            <w:vAlign w:val="center"/>
          </w:tcPr>
          <w:p w:rsidR="005F1A73" w:rsidRDefault="00781EFB">
            <w:pPr>
              <w:jc w:val="center"/>
            </w:pPr>
            <w:r>
              <w:rPr>
                <w:rFonts w:eastAsiaTheme="minorEastAsia"/>
                <w:color w:val="000000" w:themeColor="text1"/>
                <w:sz w:val="24"/>
              </w:rPr>
              <w:t>-</w:t>
            </w:r>
          </w:p>
        </w:tc>
        <w:tc>
          <w:tcPr>
            <w:tcW w:w="1199" w:type="dxa"/>
            <w:vAlign w:val="center"/>
          </w:tcPr>
          <w:p w:rsidR="005F1A73" w:rsidRDefault="00781EFB">
            <w:pPr>
              <w:jc w:val="center"/>
            </w:pPr>
            <w:r>
              <w:rPr>
                <w:rFonts w:eastAsiaTheme="minorEastAsia"/>
                <w:color w:val="000000" w:themeColor="text1"/>
                <w:sz w:val="24"/>
              </w:rPr>
              <w:t>-</w:t>
            </w:r>
          </w:p>
        </w:tc>
        <w:tc>
          <w:tcPr>
            <w:tcW w:w="1204" w:type="dxa"/>
            <w:vAlign w:val="center"/>
          </w:tcPr>
          <w:p w:rsidR="005F1A73" w:rsidRDefault="00781EFB">
            <w:pPr>
              <w:jc w:val="center"/>
            </w:pPr>
            <w:r>
              <w:rPr>
                <w:rFonts w:eastAsiaTheme="minorEastAsia"/>
                <w:color w:val="000000" w:themeColor="text1"/>
                <w:sz w:val="24"/>
              </w:rPr>
              <w:t>-</w:t>
            </w:r>
          </w:p>
        </w:tc>
      </w:tr>
      <w:tr w:rsidR="005F1A73">
        <w:tc>
          <w:tcPr>
            <w:tcW w:w="1395" w:type="dxa"/>
            <w:vAlign w:val="center"/>
          </w:tcPr>
          <w:p w:rsidR="005F1A73" w:rsidRDefault="00781EFB">
            <w:pPr>
              <w:jc w:val="left"/>
            </w:pPr>
            <w:r>
              <w:rPr>
                <w:rFonts w:eastAsiaTheme="minorEastAsia"/>
                <w:color w:val="000000" w:themeColor="text1"/>
                <w:sz w:val="24"/>
              </w:rPr>
              <w:t>过去五年</w:t>
            </w:r>
          </w:p>
        </w:tc>
        <w:tc>
          <w:tcPr>
            <w:tcW w:w="1092" w:type="dxa"/>
            <w:vAlign w:val="center"/>
          </w:tcPr>
          <w:p w:rsidR="005F1A73" w:rsidRDefault="00781EFB">
            <w:pPr>
              <w:jc w:val="center"/>
            </w:pPr>
            <w:r>
              <w:rPr>
                <w:rFonts w:eastAsiaTheme="minorEastAsia"/>
                <w:color w:val="000000" w:themeColor="text1"/>
                <w:sz w:val="24"/>
              </w:rPr>
              <w:t>-</w:t>
            </w:r>
          </w:p>
        </w:tc>
        <w:tc>
          <w:tcPr>
            <w:tcW w:w="1161" w:type="dxa"/>
            <w:vAlign w:val="center"/>
          </w:tcPr>
          <w:p w:rsidR="005F1A73" w:rsidRDefault="00781EFB">
            <w:pPr>
              <w:jc w:val="center"/>
            </w:pPr>
            <w:r>
              <w:rPr>
                <w:rFonts w:eastAsiaTheme="minorEastAsia"/>
                <w:color w:val="000000" w:themeColor="text1"/>
                <w:sz w:val="24"/>
              </w:rPr>
              <w:t>-</w:t>
            </w:r>
          </w:p>
        </w:tc>
        <w:tc>
          <w:tcPr>
            <w:tcW w:w="1181" w:type="dxa"/>
            <w:vAlign w:val="center"/>
          </w:tcPr>
          <w:p w:rsidR="005F1A73" w:rsidRDefault="00781EFB">
            <w:pPr>
              <w:jc w:val="center"/>
            </w:pPr>
            <w:r>
              <w:rPr>
                <w:rFonts w:eastAsiaTheme="minorEastAsia"/>
                <w:color w:val="000000" w:themeColor="text1"/>
                <w:sz w:val="24"/>
              </w:rPr>
              <w:t>-</w:t>
            </w:r>
          </w:p>
        </w:tc>
        <w:tc>
          <w:tcPr>
            <w:tcW w:w="1188" w:type="dxa"/>
            <w:vAlign w:val="center"/>
          </w:tcPr>
          <w:p w:rsidR="005F1A73" w:rsidRDefault="00781EFB">
            <w:pPr>
              <w:jc w:val="center"/>
            </w:pPr>
            <w:r>
              <w:rPr>
                <w:rFonts w:eastAsiaTheme="minorEastAsia"/>
                <w:color w:val="000000" w:themeColor="text1"/>
                <w:sz w:val="24"/>
              </w:rPr>
              <w:t>-</w:t>
            </w:r>
          </w:p>
        </w:tc>
        <w:tc>
          <w:tcPr>
            <w:tcW w:w="1199" w:type="dxa"/>
            <w:vAlign w:val="center"/>
          </w:tcPr>
          <w:p w:rsidR="005F1A73" w:rsidRDefault="00781EFB">
            <w:pPr>
              <w:jc w:val="center"/>
            </w:pPr>
            <w:r>
              <w:rPr>
                <w:rFonts w:eastAsiaTheme="minorEastAsia"/>
                <w:color w:val="000000" w:themeColor="text1"/>
                <w:sz w:val="24"/>
              </w:rPr>
              <w:t>-</w:t>
            </w:r>
          </w:p>
        </w:tc>
        <w:tc>
          <w:tcPr>
            <w:tcW w:w="1204" w:type="dxa"/>
            <w:vAlign w:val="center"/>
          </w:tcPr>
          <w:p w:rsidR="005F1A73" w:rsidRDefault="00781EFB">
            <w:pPr>
              <w:jc w:val="center"/>
            </w:pPr>
            <w:r>
              <w:rPr>
                <w:rFonts w:eastAsiaTheme="minorEastAsia"/>
                <w:color w:val="000000" w:themeColor="text1"/>
                <w:sz w:val="24"/>
              </w:rPr>
              <w:t>-</w:t>
            </w:r>
          </w:p>
        </w:tc>
      </w:tr>
      <w:tr w:rsidR="005F1A73">
        <w:tc>
          <w:tcPr>
            <w:tcW w:w="1395" w:type="dxa"/>
            <w:vAlign w:val="center"/>
          </w:tcPr>
          <w:p w:rsidR="005F1A73" w:rsidRDefault="00781EFB">
            <w:pPr>
              <w:jc w:val="left"/>
            </w:pPr>
            <w:r>
              <w:rPr>
                <w:rFonts w:eastAsiaTheme="minorEastAsia"/>
                <w:color w:val="000000" w:themeColor="text1"/>
                <w:sz w:val="24"/>
              </w:rPr>
              <w:t>自基金合同生效起至今</w:t>
            </w:r>
          </w:p>
        </w:tc>
        <w:tc>
          <w:tcPr>
            <w:tcW w:w="1092" w:type="dxa"/>
            <w:vAlign w:val="center"/>
          </w:tcPr>
          <w:p w:rsidR="005F1A73" w:rsidRDefault="00781EFB">
            <w:pPr>
              <w:jc w:val="center"/>
            </w:pPr>
            <w:r>
              <w:rPr>
                <w:rFonts w:eastAsiaTheme="minorEastAsia"/>
                <w:color w:val="000000" w:themeColor="text1"/>
                <w:sz w:val="24"/>
              </w:rPr>
              <w:t>-28.74%</w:t>
            </w:r>
          </w:p>
        </w:tc>
        <w:tc>
          <w:tcPr>
            <w:tcW w:w="1161" w:type="dxa"/>
            <w:vAlign w:val="center"/>
          </w:tcPr>
          <w:p w:rsidR="005F1A73" w:rsidRDefault="00781EFB">
            <w:pPr>
              <w:jc w:val="center"/>
            </w:pPr>
            <w:r>
              <w:rPr>
                <w:rFonts w:eastAsiaTheme="minorEastAsia"/>
                <w:color w:val="000000" w:themeColor="text1"/>
                <w:sz w:val="24"/>
              </w:rPr>
              <w:t>2.52%</w:t>
            </w:r>
          </w:p>
        </w:tc>
        <w:tc>
          <w:tcPr>
            <w:tcW w:w="1181" w:type="dxa"/>
            <w:vAlign w:val="center"/>
          </w:tcPr>
          <w:p w:rsidR="005F1A73" w:rsidRDefault="00781EFB">
            <w:pPr>
              <w:jc w:val="center"/>
            </w:pPr>
            <w:r>
              <w:rPr>
                <w:rFonts w:eastAsiaTheme="minorEastAsia"/>
                <w:color w:val="000000" w:themeColor="text1"/>
                <w:sz w:val="24"/>
              </w:rPr>
              <w:t>-31.68%</w:t>
            </w:r>
          </w:p>
        </w:tc>
        <w:tc>
          <w:tcPr>
            <w:tcW w:w="1188" w:type="dxa"/>
            <w:vAlign w:val="center"/>
          </w:tcPr>
          <w:p w:rsidR="005F1A73" w:rsidRDefault="00781EFB">
            <w:pPr>
              <w:jc w:val="center"/>
            </w:pPr>
            <w:r>
              <w:rPr>
                <w:rFonts w:eastAsiaTheme="minorEastAsia"/>
                <w:color w:val="000000" w:themeColor="text1"/>
                <w:sz w:val="24"/>
              </w:rPr>
              <w:t>2.71%</w:t>
            </w:r>
          </w:p>
        </w:tc>
        <w:tc>
          <w:tcPr>
            <w:tcW w:w="1199" w:type="dxa"/>
            <w:vAlign w:val="center"/>
          </w:tcPr>
          <w:p w:rsidR="005F1A73" w:rsidRDefault="00781EFB">
            <w:pPr>
              <w:jc w:val="center"/>
            </w:pPr>
            <w:r>
              <w:rPr>
                <w:rFonts w:eastAsiaTheme="minorEastAsia"/>
                <w:color w:val="000000" w:themeColor="text1"/>
                <w:sz w:val="24"/>
              </w:rPr>
              <w:t>2.94%</w:t>
            </w:r>
          </w:p>
        </w:tc>
        <w:tc>
          <w:tcPr>
            <w:tcW w:w="1204" w:type="dxa"/>
            <w:vAlign w:val="center"/>
          </w:tcPr>
          <w:p w:rsidR="005F1A73" w:rsidRDefault="00781EFB">
            <w:pPr>
              <w:jc w:val="center"/>
            </w:pPr>
            <w:r>
              <w:rPr>
                <w:rFonts w:eastAsiaTheme="minorEastAsia"/>
                <w:color w:val="000000" w:themeColor="text1"/>
                <w:sz w:val="24"/>
              </w:rPr>
              <w:t>-0.19%</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2024</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6</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30</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5F1A73" w:rsidRDefault="00781EF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5F1A73">
        <w:tc>
          <w:tcPr>
            <w:tcW w:w="851" w:type="dxa"/>
            <w:vAlign w:val="center"/>
          </w:tcPr>
          <w:p w:rsidR="005F1A73" w:rsidRDefault="00781EFB">
            <w:pPr>
              <w:jc w:val="center"/>
            </w:pPr>
            <w:r>
              <w:rPr>
                <w:rFonts w:eastAsiaTheme="minorEastAsia"/>
                <w:color w:val="000000" w:themeColor="text1"/>
                <w:sz w:val="24"/>
              </w:rPr>
              <w:lastRenderedPageBreak/>
              <w:t>胡迪</w:t>
            </w:r>
          </w:p>
        </w:tc>
        <w:tc>
          <w:tcPr>
            <w:tcW w:w="850" w:type="dxa"/>
            <w:vAlign w:val="center"/>
          </w:tcPr>
          <w:p w:rsidR="005F1A73" w:rsidRDefault="00781EFB">
            <w:pPr>
              <w:jc w:val="center"/>
            </w:pPr>
            <w:r>
              <w:rPr>
                <w:rFonts w:eastAsiaTheme="minorEastAsia"/>
                <w:color w:val="000000" w:themeColor="text1"/>
                <w:sz w:val="24"/>
              </w:rPr>
              <w:t>本基金基金经理、指数及量化投资部总监</w:t>
            </w:r>
          </w:p>
        </w:tc>
        <w:tc>
          <w:tcPr>
            <w:tcW w:w="1560" w:type="dxa"/>
            <w:vAlign w:val="center"/>
          </w:tcPr>
          <w:p w:rsidR="005F1A73" w:rsidRDefault="00781EFB">
            <w:pPr>
              <w:jc w:val="center"/>
            </w:pPr>
            <w:r>
              <w:rPr>
                <w:rFonts w:eastAsiaTheme="minorEastAsia"/>
                <w:color w:val="000000" w:themeColor="text1"/>
                <w:sz w:val="24"/>
              </w:rPr>
              <w:t>2021-12-30</w:t>
            </w:r>
          </w:p>
        </w:tc>
        <w:tc>
          <w:tcPr>
            <w:tcW w:w="1559" w:type="dxa"/>
            <w:vAlign w:val="center"/>
          </w:tcPr>
          <w:p w:rsidR="005F1A73" w:rsidRDefault="00781EFB">
            <w:pPr>
              <w:jc w:val="center"/>
            </w:pPr>
            <w:r>
              <w:rPr>
                <w:rFonts w:eastAsiaTheme="minorEastAsia"/>
                <w:color w:val="000000" w:themeColor="text1"/>
                <w:sz w:val="24"/>
              </w:rPr>
              <w:t>-</w:t>
            </w:r>
          </w:p>
        </w:tc>
        <w:tc>
          <w:tcPr>
            <w:tcW w:w="1417" w:type="dxa"/>
            <w:vAlign w:val="center"/>
          </w:tcPr>
          <w:p w:rsidR="005F1A73" w:rsidRDefault="00781EFB">
            <w:pPr>
              <w:jc w:val="center"/>
            </w:pPr>
            <w:r>
              <w:rPr>
                <w:rFonts w:eastAsiaTheme="minorEastAsia"/>
                <w:color w:val="000000" w:themeColor="text1"/>
                <w:sz w:val="24"/>
              </w:rPr>
              <w:t>16</w:t>
            </w:r>
            <w:r>
              <w:rPr>
                <w:rFonts w:eastAsiaTheme="minorEastAsia"/>
                <w:color w:val="000000" w:themeColor="text1"/>
                <w:sz w:val="24"/>
              </w:rPr>
              <w:t>年</w:t>
            </w:r>
          </w:p>
        </w:tc>
        <w:tc>
          <w:tcPr>
            <w:tcW w:w="2694" w:type="dxa"/>
            <w:vAlign w:val="center"/>
          </w:tcPr>
          <w:p w:rsidR="005F1A73" w:rsidRDefault="00781EFB">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5F1A73">
        <w:tc>
          <w:tcPr>
            <w:tcW w:w="851" w:type="dxa"/>
            <w:vAlign w:val="center"/>
          </w:tcPr>
          <w:p w:rsidR="005F1A73" w:rsidRDefault="00781EFB">
            <w:pPr>
              <w:jc w:val="center"/>
            </w:pPr>
            <w:r>
              <w:rPr>
                <w:rFonts w:eastAsiaTheme="minorEastAsia"/>
                <w:color w:val="000000" w:themeColor="text1"/>
                <w:sz w:val="24"/>
              </w:rPr>
              <w:t>何智豪</w:t>
            </w:r>
          </w:p>
        </w:tc>
        <w:tc>
          <w:tcPr>
            <w:tcW w:w="850" w:type="dxa"/>
            <w:vAlign w:val="center"/>
          </w:tcPr>
          <w:p w:rsidR="005F1A73" w:rsidRDefault="00781EFB">
            <w:pPr>
              <w:jc w:val="center"/>
            </w:pPr>
            <w:r>
              <w:rPr>
                <w:rFonts w:eastAsiaTheme="minorEastAsia"/>
                <w:color w:val="000000" w:themeColor="text1"/>
                <w:sz w:val="24"/>
              </w:rPr>
              <w:t>本基金基金经理</w:t>
            </w:r>
          </w:p>
        </w:tc>
        <w:tc>
          <w:tcPr>
            <w:tcW w:w="1560" w:type="dxa"/>
            <w:vAlign w:val="center"/>
          </w:tcPr>
          <w:p w:rsidR="005F1A73" w:rsidRDefault="00781EFB">
            <w:pPr>
              <w:jc w:val="center"/>
            </w:pPr>
            <w:r>
              <w:rPr>
                <w:rFonts w:eastAsiaTheme="minorEastAsia"/>
                <w:color w:val="000000" w:themeColor="text1"/>
                <w:sz w:val="24"/>
              </w:rPr>
              <w:t>2021-12-30</w:t>
            </w:r>
          </w:p>
        </w:tc>
        <w:tc>
          <w:tcPr>
            <w:tcW w:w="1559" w:type="dxa"/>
            <w:vAlign w:val="center"/>
          </w:tcPr>
          <w:p w:rsidR="005F1A73" w:rsidRDefault="00781EFB">
            <w:pPr>
              <w:jc w:val="center"/>
            </w:pPr>
            <w:r>
              <w:rPr>
                <w:rFonts w:eastAsiaTheme="minorEastAsia"/>
                <w:color w:val="000000" w:themeColor="text1"/>
                <w:sz w:val="24"/>
              </w:rPr>
              <w:t>-</w:t>
            </w:r>
          </w:p>
        </w:tc>
        <w:tc>
          <w:tcPr>
            <w:tcW w:w="1417" w:type="dxa"/>
            <w:vAlign w:val="center"/>
          </w:tcPr>
          <w:p w:rsidR="005F1A73" w:rsidRDefault="00781EFB">
            <w:pPr>
              <w:jc w:val="center"/>
            </w:pPr>
            <w:r>
              <w:rPr>
                <w:rFonts w:eastAsiaTheme="minorEastAsia"/>
                <w:color w:val="000000" w:themeColor="text1"/>
                <w:sz w:val="24"/>
              </w:rPr>
              <w:t>10</w:t>
            </w:r>
            <w:r>
              <w:rPr>
                <w:rFonts w:eastAsiaTheme="minorEastAsia"/>
                <w:color w:val="000000" w:themeColor="text1"/>
                <w:sz w:val="24"/>
              </w:rPr>
              <w:t>年</w:t>
            </w:r>
          </w:p>
        </w:tc>
        <w:tc>
          <w:tcPr>
            <w:tcW w:w="2694" w:type="dxa"/>
            <w:vAlign w:val="center"/>
          </w:tcPr>
          <w:p w:rsidR="005F1A73" w:rsidRDefault="00781EFB">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rsidR="005F1A73" w:rsidRDefault="00781EF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w:t>
      </w:r>
      <w:r>
        <w:rPr>
          <w:rFonts w:eastAsiaTheme="minorEastAsia"/>
          <w:color w:val="000000" w:themeColor="text1"/>
          <w:sz w:val="24"/>
        </w:rPr>
        <w:lastRenderedPageBreak/>
        <w:t>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5F1A73" w:rsidRDefault="00781EFB">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回顾二季度，港股市场较为波动，经历了快速反弹和回调。</w:t>
      </w:r>
      <w:r>
        <w:rPr>
          <w:rFonts w:eastAsiaTheme="minorEastAsia"/>
          <w:color w:val="000000" w:themeColor="text1"/>
          <w:szCs w:val="21"/>
        </w:rPr>
        <w:t>4</w:t>
      </w:r>
      <w:r>
        <w:rPr>
          <w:rFonts w:eastAsiaTheme="minorEastAsia"/>
          <w:color w:val="000000" w:themeColor="text1"/>
          <w:szCs w:val="21"/>
        </w:rPr>
        <w:t>月中下旬以来，在基本面、政策面和资金面等多重因素的催化下，港股开启了一轮快速反弹。本轮反弹一方面来自出台的经济数据和政策的催化，如</w:t>
      </w:r>
      <w:r>
        <w:rPr>
          <w:rFonts w:eastAsiaTheme="minorEastAsia"/>
          <w:color w:val="000000" w:themeColor="text1"/>
          <w:szCs w:val="21"/>
        </w:rPr>
        <w:t>1</w:t>
      </w:r>
      <w:r>
        <w:rPr>
          <w:rFonts w:eastAsiaTheme="minorEastAsia"/>
          <w:color w:val="000000" w:themeColor="text1"/>
          <w:szCs w:val="21"/>
        </w:rPr>
        <w:t>季度</w:t>
      </w:r>
      <w:r>
        <w:rPr>
          <w:rFonts w:eastAsiaTheme="minorEastAsia"/>
          <w:color w:val="000000" w:themeColor="text1"/>
          <w:szCs w:val="21"/>
        </w:rPr>
        <w:t>GDP</w:t>
      </w:r>
      <w:r>
        <w:rPr>
          <w:rFonts w:eastAsiaTheme="minorEastAsia"/>
          <w:color w:val="000000" w:themeColor="text1"/>
          <w:szCs w:val="21"/>
        </w:rPr>
        <w:t>数据超预期、地产政策发力、新</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颁布、证监会出台对港合作</w:t>
      </w:r>
      <w:r>
        <w:rPr>
          <w:rFonts w:eastAsiaTheme="minorEastAsia"/>
          <w:color w:val="000000" w:themeColor="text1"/>
          <w:szCs w:val="21"/>
        </w:rPr>
        <w:t>5</w:t>
      </w:r>
      <w:r>
        <w:rPr>
          <w:rFonts w:eastAsiaTheme="minorEastAsia"/>
          <w:color w:val="000000" w:themeColor="text1"/>
          <w:szCs w:val="21"/>
        </w:rPr>
        <w:t>项措施；另一方，由于亚洲货币表现疲弱，港币联系美元具有避险属性，避险资金和再平衡资金加速流入港股。港股短期快速反弹后面临一定获利回吐压力，从</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日高点以来港股转为震荡回调阶段。报告期内，恒生指数上涨</w:t>
      </w:r>
      <w:r>
        <w:rPr>
          <w:rFonts w:eastAsiaTheme="minorEastAsia"/>
          <w:color w:val="000000" w:themeColor="text1"/>
          <w:szCs w:val="21"/>
        </w:rPr>
        <w:t>7.12%</w:t>
      </w:r>
      <w:r>
        <w:rPr>
          <w:rFonts w:eastAsiaTheme="minorEastAsia"/>
          <w:color w:val="000000" w:themeColor="text1"/>
          <w:szCs w:val="21"/>
        </w:rPr>
        <w:t>，恒生科技指数上涨</w:t>
      </w:r>
      <w:r>
        <w:rPr>
          <w:rFonts w:eastAsiaTheme="minorEastAsia"/>
          <w:color w:val="000000" w:themeColor="text1"/>
          <w:szCs w:val="21"/>
        </w:rPr>
        <w:t>2.21%</w:t>
      </w:r>
      <w:r>
        <w:rPr>
          <w:rFonts w:eastAsiaTheme="minorEastAsia"/>
          <w:color w:val="000000" w:themeColor="text1"/>
          <w:szCs w:val="21"/>
        </w:rPr>
        <w:t>。</w:t>
      </w:r>
    </w:p>
    <w:p w:rsidR="005F1A73" w:rsidRDefault="00781EFB">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港股市场估值低位，且港股互联网科技板块经过三年调整后，当前估值具有较高的配置性价比。展望未来，若企业盈利改善、政策持续发力、地缘政治风险改善、美联储利率下行都将有助于港股估值修复。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家最大的与科技主题高度相关的香港上市公司组成，以反映科技板块港股上市公司的整体表现。本基金继续采用完全复制的方法跟踪标的指数，争取跟踪误差保持在合理范围内。</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本报告期本基金份额净值增长率为</w:t>
      </w:r>
      <w:r w:rsidRPr="00C74EFF">
        <w:rPr>
          <w:rFonts w:eastAsiaTheme="minorEastAsia"/>
          <w:color w:val="000000" w:themeColor="text1"/>
          <w:szCs w:val="21"/>
        </w:rPr>
        <w:t>:2.86%</w:t>
      </w:r>
      <w:r w:rsidRPr="00C74EFF">
        <w:rPr>
          <w:rFonts w:eastAsiaTheme="minorEastAsia"/>
          <w:color w:val="000000" w:themeColor="text1"/>
          <w:szCs w:val="21"/>
        </w:rPr>
        <w:t>，同期业绩比较基准收益率为</w:t>
      </w:r>
      <w:r w:rsidRPr="00C74EFF">
        <w:rPr>
          <w:rFonts w:eastAsiaTheme="minorEastAsia"/>
          <w:color w:val="000000" w:themeColor="text1"/>
          <w:szCs w:val="21"/>
        </w:rPr>
        <w:t>:2.90%</w:t>
      </w:r>
      <w:r w:rsidRPr="00C74EFF">
        <w:rPr>
          <w:rFonts w:eastAsiaTheme="minorEastAsia"/>
          <w:color w:val="000000" w:themeColor="text1"/>
          <w:szCs w:val="21"/>
        </w:rPr>
        <w:t>。</w:t>
      </w:r>
    </w:p>
    <w:p w:rsidR="0032500D" w:rsidRPr="00C74EFF" w:rsidRDefault="0032500D" w:rsidP="0029671E">
      <w:pPr>
        <w:spacing w:line="360" w:lineRule="auto"/>
        <w:ind w:firstLineChars="200" w:firstLine="480"/>
        <w:rPr>
          <w:rFonts w:eastAsiaTheme="minorEastAsia"/>
          <w:color w:val="000000" w:themeColor="text1"/>
          <w:sz w:val="24"/>
        </w:rPr>
      </w:pP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168,612,040.57</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93.61</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168,612,040.57</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93.61</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w:t>
            </w:r>
            <w:r w:rsidRPr="00C74EFF">
              <w:rPr>
                <w:rFonts w:eastAsiaTheme="minorEastAsia"/>
                <w:color w:val="000000" w:themeColor="text1"/>
                <w:sz w:val="24"/>
              </w:rPr>
              <w:lastRenderedPageBreak/>
              <w:t>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lastRenderedPageBreak/>
              <w:t>11,208,872.34</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6.22</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294,135.12</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0.16</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180,115,048.03</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t>111,251,508.55</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64.21%</w:t>
      </w:r>
      <w:r w:rsidRPr="00C74EFF">
        <w:rPr>
          <w:rFonts w:eastAsiaTheme="minorEastAsia"/>
          <w:color w:val="000000" w:themeColor="text1"/>
          <w:sz w:val="24"/>
        </w:rPr>
        <w:t>。</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5F1A73">
        <w:trPr>
          <w:jc w:val="center"/>
        </w:trPr>
        <w:tc>
          <w:tcPr>
            <w:tcW w:w="2410" w:type="dxa"/>
            <w:vAlign w:val="center"/>
          </w:tcPr>
          <w:p w:rsidR="005F1A73" w:rsidRDefault="00781EFB">
            <w:pPr>
              <w:jc w:val="left"/>
            </w:pPr>
            <w:r>
              <w:rPr>
                <w:rFonts w:eastAsiaTheme="minorEastAsia"/>
                <w:color w:val="000000" w:themeColor="text1"/>
                <w:sz w:val="24"/>
              </w:rPr>
              <w:t>中国香港</w:t>
            </w:r>
          </w:p>
        </w:tc>
        <w:tc>
          <w:tcPr>
            <w:tcW w:w="3118" w:type="dxa"/>
            <w:vAlign w:val="center"/>
          </w:tcPr>
          <w:p w:rsidR="005F1A73" w:rsidRDefault="00781EFB">
            <w:pPr>
              <w:jc w:val="right"/>
            </w:pPr>
            <w:r>
              <w:rPr>
                <w:rFonts w:eastAsiaTheme="minorEastAsia"/>
                <w:color w:val="000000" w:themeColor="text1"/>
                <w:sz w:val="24"/>
              </w:rPr>
              <w:t>168,612,040.57</w:t>
            </w:r>
          </w:p>
        </w:tc>
        <w:tc>
          <w:tcPr>
            <w:tcW w:w="3076" w:type="dxa"/>
            <w:vAlign w:val="center"/>
          </w:tcPr>
          <w:p w:rsidR="005F1A73" w:rsidRDefault="00781EFB">
            <w:pPr>
              <w:jc w:val="right"/>
            </w:pPr>
            <w:r>
              <w:rPr>
                <w:rFonts w:eastAsiaTheme="minorEastAsia"/>
                <w:color w:val="000000" w:themeColor="text1"/>
                <w:sz w:val="24"/>
              </w:rPr>
              <w:t>97.32</w:t>
            </w:r>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168,612,040.57</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97.32</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5F1A73">
        <w:tc>
          <w:tcPr>
            <w:tcW w:w="2787" w:type="dxa"/>
            <w:vAlign w:val="center"/>
          </w:tcPr>
          <w:p w:rsidR="005F1A73" w:rsidRDefault="00781EFB">
            <w:pPr>
              <w:jc w:val="left"/>
            </w:pPr>
            <w:r>
              <w:rPr>
                <w:color w:val="000000" w:themeColor="text1"/>
                <w:sz w:val="24"/>
              </w:rPr>
              <w:t>消费者非必需品</w:t>
            </w:r>
          </w:p>
        </w:tc>
        <w:tc>
          <w:tcPr>
            <w:tcW w:w="2551" w:type="dxa"/>
            <w:vAlign w:val="center"/>
          </w:tcPr>
          <w:p w:rsidR="005F1A73" w:rsidRDefault="00781EFB">
            <w:pPr>
              <w:jc w:val="right"/>
            </w:pPr>
            <w:r>
              <w:rPr>
                <w:color w:val="000000" w:themeColor="text1"/>
                <w:sz w:val="24"/>
              </w:rPr>
              <w:t>70,126,934.47</w:t>
            </w:r>
          </w:p>
        </w:tc>
        <w:tc>
          <w:tcPr>
            <w:tcW w:w="3175" w:type="dxa"/>
            <w:vAlign w:val="center"/>
          </w:tcPr>
          <w:p w:rsidR="005F1A73" w:rsidRDefault="00781EFB">
            <w:pPr>
              <w:jc w:val="right"/>
            </w:pPr>
            <w:r>
              <w:rPr>
                <w:color w:val="000000" w:themeColor="text1"/>
                <w:sz w:val="24"/>
              </w:rPr>
              <w:t>40.47</w:t>
            </w:r>
          </w:p>
        </w:tc>
      </w:tr>
      <w:tr w:rsidR="005F1A73">
        <w:tc>
          <w:tcPr>
            <w:tcW w:w="2787" w:type="dxa"/>
            <w:vAlign w:val="center"/>
          </w:tcPr>
          <w:p w:rsidR="005F1A73" w:rsidRDefault="00781EFB">
            <w:pPr>
              <w:jc w:val="left"/>
            </w:pPr>
            <w:r>
              <w:rPr>
                <w:color w:val="000000" w:themeColor="text1"/>
                <w:sz w:val="24"/>
              </w:rPr>
              <w:t>电信服务</w:t>
            </w:r>
          </w:p>
        </w:tc>
        <w:tc>
          <w:tcPr>
            <w:tcW w:w="2551" w:type="dxa"/>
            <w:vAlign w:val="center"/>
          </w:tcPr>
          <w:p w:rsidR="005F1A73" w:rsidRDefault="00781EFB">
            <w:pPr>
              <w:jc w:val="right"/>
            </w:pPr>
            <w:r>
              <w:rPr>
                <w:color w:val="000000" w:themeColor="text1"/>
                <w:sz w:val="24"/>
              </w:rPr>
              <w:t>47,658,532.33</w:t>
            </w:r>
          </w:p>
        </w:tc>
        <w:tc>
          <w:tcPr>
            <w:tcW w:w="3175" w:type="dxa"/>
            <w:vAlign w:val="center"/>
          </w:tcPr>
          <w:p w:rsidR="005F1A73" w:rsidRDefault="00781EFB">
            <w:pPr>
              <w:jc w:val="right"/>
            </w:pPr>
            <w:r>
              <w:rPr>
                <w:color w:val="000000" w:themeColor="text1"/>
                <w:sz w:val="24"/>
              </w:rPr>
              <w:t>27.51</w:t>
            </w:r>
          </w:p>
        </w:tc>
      </w:tr>
      <w:tr w:rsidR="005F1A73">
        <w:tc>
          <w:tcPr>
            <w:tcW w:w="2787" w:type="dxa"/>
            <w:vAlign w:val="center"/>
          </w:tcPr>
          <w:p w:rsidR="005F1A73" w:rsidRDefault="00781EFB">
            <w:pPr>
              <w:jc w:val="left"/>
            </w:pPr>
            <w:r>
              <w:rPr>
                <w:color w:val="000000" w:themeColor="text1"/>
                <w:sz w:val="24"/>
              </w:rPr>
              <w:t>信息技术</w:t>
            </w:r>
          </w:p>
        </w:tc>
        <w:tc>
          <w:tcPr>
            <w:tcW w:w="2551" w:type="dxa"/>
            <w:vAlign w:val="center"/>
          </w:tcPr>
          <w:p w:rsidR="005F1A73" w:rsidRDefault="00781EFB">
            <w:pPr>
              <w:jc w:val="right"/>
            </w:pPr>
            <w:r>
              <w:rPr>
                <w:color w:val="000000" w:themeColor="text1"/>
                <w:sz w:val="24"/>
              </w:rPr>
              <w:t>44,678,730.72</w:t>
            </w:r>
          </w:p>
        </w:tc>
        <w:tc>
          <w:tcPr>
            <w:tcW w:w="3175" w:type="dxa"/>
            <w:vAlign w:val="center"/>
          </w:tcPr>
          <w:p w:rsidR="005F1A73" w:rsidRDefault="00781EFB">
            <w:pPr>
              <w:jc w:val="right"/>
            </w:pPr>
            <w:r>
              <w:rPr>
                <w:color w:val="000000" w:themeColor="text1"/>
                <w:sz w:val="24"/>
              </w:rPr>
              <w:t>25.79</w:t>
            </w:r>
          </w:p>
        </w:tc>
      </w:tr>
      <w:tr w:rsidR="005F1A73">
        <w:tc>
          <w:tcPr>
            <w:tcW w:w="2787" w:type="dxa"/>
            <w:vAlign w:val="center"/>
          </w:tcPr>
          <w:p w:rsidR="005F1A73" w:rsidRDefault="00781EFB">
            <w:pPr>
              <w:jc w:val="left"/>
            </w:pPr>
            <w:r>
              <w:rPr>
                <w:color w:val="000000" w:themeColor="text1"/>
                <w:sz w:val="24"/>
              </w:rPr>
              <w:t>消费者常用品</w:t>
            </w:r>
          </w:p>
        </w:tc>
        <w:tc>
          <w:tcPr>
            <w:tcW w:w="2551" w:type="dxa"/>
            <w:vAlign w:val="center"/>
          </w:tcPr>
          <w:p w:rsidR="005F1A73" w:rsidRDefault="00781EFB">
            <w:pPr>
              <w:jc w:val="right"/>
            </w:pPr>
            <w:r>
              <w:rPr>
                <w:color w:val="000000" w:themeColor="text1"/>
                <w:sz w:val="24"/>
              </w:rPr>
              <w:t>4,273,840.86</w:t>
            </w:r>
          </w:p>
        </w:tc>
        <w:tc>
          <w:tcPr>
            <w:tcW w:w="3175" w:type="dxa"/>
            <w:vAlign w:val="center"/>
          </w:tcPr>
          <w:p w:rsidR="005F1A73" w:rsidRDefault="00781EFB">
            <w:pPr>
              <w:jc w:val="right"/>
            </w:pPr>
            <w:r>
              <w:rPr>
                <w:color w:val="000000" w:themeColor="text1"/>
                <w:sz w:val="24"/>
              </w:rPr>
              <w:t>2.47</w:t>
            </w:r>
          </w:p>
        </w:tc>
      </w:tr>
      <w:tr w:rsidR="005F1A73">
        <w:tc>
          <w:tcPr>
            <w:tcW w:w="2787" w:type="dxa"/>
            <w:vAlign w:val="center"/>
          </w:tcPr>
          <w:p w:rsidR="005F1A73" w:rsidRDefault="00781EFB">
            <w:pPr>
              <w:jc w:val="left"/>
            </w:pPr>
            <w:r>
              <w:rPr>
                <w:color w:val="000000" w:themeColor="text1"/>
                <w:sz w:val="24"/>
              </w:rPr>
              <w:t>金融</w:t>
            </w:r>
          </w:p>
        </w:tc>
        <w:tc>
          <w:tcPr>
            <w:tcW w:w="2551" w:type="dxa"/>
            <w:vAlign w:val="center"/>
          </w:tcPr>
          <w:p w:rsidR="005F1A73" w:rsidRDefault="00781EFB">
            <w:pPr>
              <w:jc w:val="right"/>
            </w:pPr>
            <w:r>
              <w:rPr>
                <w:color w:val="000000" w:themeColor="text1"/>
                <w:sz w:val="24"/>
              </w:rPr>
              <w:t>1,165,054.27</w:t>
            </w:r>
          </w:p>
        </w:tc>
        <w:tc>
          <w:tcPr>
            <w:tcW w:w="3175" w:type="dxa"/>
            <w:vAlign w:val="center"/>
          </w:tcPr>
          <w:p w:rsidR="005F1A73" w:rsidRDefault="00781EFB">
            <w:pPr>
              <w:jc w:val="right"/>
            </w:pPr>
            <w:r>
              <w:rPr>
                <w:color w:val="000000" w:themeColor="text1"/>
                <w:sz w:val="24"/>
              </w:rPr>
              <w:t>0.67</w:t>
            </w:r>
          </w:p>
        </w:tc>
      </w:tr>
      <w:tr w:rsidR="005F1A73">
        <w:tc>
          <w:tcPr>
            <w:tcW w:w="2787" w:type="dxa"/>
            <w:vAlign w:val="center"/>
          </w:tcPr>
          <w:p w:rsidR="005F1A73" w:rsidRDefault="00781EFB">
            <w:pPr>
              <w:jc w:val="left"/>
            </w:pPr>
            <w:r>
              <w:rPr>
                <w:color w:val="000000" w:themeColor="text1"/>
                <w:sz w:val="24"/>
              </w:rPr>
              <w:t>医疗保健</w:t>
            </w:r>
          </w:p>
        </w:tc>
        <w:tc>
          <w:tcPr>
            <w:tcW w:w="2551" w:type="dxa"/>
            <w:vAlign w:val="center"/>
          </w:tcPr>
          <w:p w:rsidR="005F1A73" w:rsidRDefault="00781EFB">
            <w:pPr>
              <w:jc w:val="right"/>
            </w:pPr>
            <w:r>
              <w:rPr>
                <w:color w:val="000000" w:themeColor="text1"/>
                <w:sz w:val="24"/>
              </w:rPr>
              <w:t>708,947.92</w:t>
            </w:r>
          </w:p>
        </w:tc>
        <w:tc>
          <w:tcPr>
            <w:tcW w:w="3175" w:type="dxa"/>
            <w:vAlign w:val="center"/>
          </w:tcPr>
          <w:p w:rsidR="005F1A73" w:rsidRDefault="00781EFB">
            <w:pPr>
              <w:jc w:val="right"/>
            </w:pPr>
            <w:r>
              <w:rPr>
                <w:color w:val="000000" w:themeColor="text1"/>
                <w:sz w:val="24"/>
              </w:rPr>
              <w:t>0.41</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168,612,040.57</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97.32</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85"/>
        <w:gridCol w:w="1799"/>
        <w:gridCol w:w="715"/>
        <w:gridCol w:w="706"/>
        <w:gridCol w:w="526"/>
        <w:gridCol w:w="729"/>
        <w:gridCol w:w="1000"/>
        <w:gridCol w:w="1596"/>
        <w:gridCol w:w="957"/>
      </w:tblGrid>
      <w:tr w:rsidR="00EF0A05" w:rsidRPr="00C74EFF" w:rsidTr="007C1771">
        <w:tc>
          <w:tcPr>
            <w:tcW w:w="817"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w:t>
            </w:r>
            <w:r w:rsidRPr="00C74EFF">
              <w:rPr>
                <w:rFonts w:eastAsiaTheme="minorEastAsia"/>
                <w:color w:val="000000" w:themeColor="text1"/>
                <w:sz w:val="24"/>
              </w:rPr>
              <w:lastRenderedPageBreak/>
              <w:t>文）</w:t>
            </w:r>
          </w:p>
        </w:tc>
        <w:tc>
          <w:tcPr>
            <w:tcW w:w="962" w:type="dxa"/>
            <w:vAlign w:val="center"/>
          </w:tcPr>
          <w:p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lastRenderedPageBreak/>
              <w:t>证券代码</w:t>
            </w:r>
          </w:p>
        </w:tc>
        <w:tc>
          <w:tcPr>
            <w:tcW w:w="816"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券市场</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所属国家</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w:t>
            </w:r>
            <w:r w:rsidRPr="00C74EFF">
              <w:rPr>
                <w:rFonts w:eastAsiaTheme="minorEastAsia"/>
                <w:color w:val="000000" w:themeColor="text1"/>
                <w:sz w:val="24"/>
              </w:rPr>
              <w:lastRenderedPageBreak/>
              <w:t>区</w:t>
            </w:r>
            <w:r w:rsidRPr="00C74EFF">
              <w:rPr>
                <w:rFonts w:eastAsiaTheme="minorEastAsia"/>
                <w:color w:val="000000" w:themeColor="text1"/>
                <w:sz w:val="24"/>
              </w:rPr>
              <w:t>)</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数量</w:t>
            </w:r>
          </w:p>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r w:rsidRPr="00C74EFF">
              <w:rPr>
                <w:rFonts w:eastAsiaTheme="minorEastAsia"/>
                <w:color w:val="000000" w:themeColor="text1"/>
                <w:sz w:val="24"/>
              </w:rPr>
              <w:lastRenderedPageBreak/>
              <w:t>（％）</w:t>
            </w:r>
          </w:p>
        </w:tc>
      </w:tr>
      <w:tr w:rsidR="005F1A73">
        <w:tc>
          <w:tcPr>
            <w:tcW w:w="0" w:type="auto"/>
            <w:vAlign w:val="center"/>
          </w:tcPr>
          <w:p w:rsidR="005F1A73" w:rsidRDefault="00781EFB">
            <w:pPr>
              <w:jc w:val="center"/>
            </w:pPr>
            <w:r>
              <w:rPr>
                <w:rFonts w:eastAsiaTheme="minorEastAsia"/>
                <w:color w:val="000000" w:themeColor="text1"/>
                <w:sz w:val="24"/>
              </w:rPr>
              <w:lastRenderedPageBreak/>
              <w:t>1</w:t>
            </w:r>
          </w:p>
        </w:tc>
        <w:tc>
          <w:tcPr>
            <w:tcW w:w="0" w:type="auto"/>
            <w:vAlign w:val="center"/>
          </w:tcPr>
          <w:p w:rsidR="005F1A73" w:rsidRDefault="00781EFB">
            <w:pPr>
              <w:jc w:val="center"/>
            </w:pPr>
            <w:r>
              <w:rPr>
                <w:rFonts w:eastAsiaTheme="minorEastAsia"/>
                <w:color w:val="000000" w:themeColor="text1"/>
                <w:sz w:val="24"/>
              </w:rPr>
              <w:t>Tencent Holdings Ltd</w:t>
            </w:r>
          </w:p>
        </w:tc>
        <w:tc>
          <w:tcPr>
            <w:tcW w:w="0" w:type="auto"/>
            <w:vAlign w:val="center"/>
          </w:tcPr>
          <w:p w:rsidR="005F1A73" w:rsidRDefault="00781EFB">
            <w:pPr>
              <w:jc w:val="center"/>
            </w:pPr>
            <w:r>
              <w:rPr>
                <w:rFonts w:eastAsiaTheme="minorEastAsia"/>
                <w:color w:val="000000" w:themeColor="text1"/>
                <w:sz w:val="24"/>
              </w:rPr>
              <w:t>腾讯控股</w:t>
            </w:r>
          </w:p>
        </w:tc>
        <w:tc>
          <w:tcPr>
            <w:tcW w:w="0" w:type="auto"/>
            <w:vAlign w:val="center"/>
          </w:tcPr>
          <w:p w:rsidR="005F1A73" w:rsidRDefault="00781EFB">
            <w:pPr>
              <w:jc w:val="center"/>
            </w:pPr>
            <w:r>
              <w:rPr>
                <w:rFonts w:eastAsiaTheme="minorEastAsia"/>
                <w:color w:val="000000" w:themeColor="text1"/>
                <w:sz w:val="24"/>
              </w:rPr>
              <w:t>700</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42,000</w:t>
            </w:r>
          </w:p>
        </w:tc>
        <w:tc>
          <w:tcPr>
            <w:tcW w:w="0" w:type="auto"/>
            <w:vAlign w:val="center"/>
          </w:tcPr>
          <w:p w:rsidR="005F1A73" w:rsidRDefault="00781EFB">
            <w:pPr>
              <w:jc w:val="right"/>
            </w:pPr>
            <w:r>
              <w:rPr>
                <w:rFonts w:eastAsiaTheme="minorEastAsia"/>
                <w:color w:val="000000" w:themeColor="text1"/>
                <w:sz w:val="24"/>
              </w:rPr>
              <w:t>14,275,045.34</w:t>
            </w:r>
          </w:p>
        </w:tc>
        <w:tc>
          <w:tcPr>
            <w:tcW w:w="0" w:type="auto"/>
            <w:vAlign w:val="center"/>
          </w:tcPr>
          <w:p w:rsidR="005F1A73" w:rsidRDefault="00781EFB">
            <w:pPr>
              <w:jc w:val="right"/>
            </w:pPr>
            <w:r>
              <w:rPr>
                <w:rFonts w:eastAsiaTheme="minorEastAsia"/>
                <w:color w:val="000000" w:themeColor="text1"/>
                <w:sz w:val="24"/>
              </w:rPr>
              <w:t>8.24</w:t>
            </w:r>
          </w:p>
        </w:tc>
      </w:tr>
      <w:tr w:rsidR="005F1A73">
        <w:tc>
          <w:tcPr>
            <w:tcW w:w="0" w:type="auto"/>
            <w:vAlign w:val="center"/>
          </w:tcPr>
          <w:p w:rsidR="005F1A73" w:rsidRDefault="00781EFB">
            <w:pPr>
              <w:jc w:val="center"/>
            </w:pPr>
            <w:r>
              <w:rPr>
                <w:rFonts w:eastAsiaTheme="minorEastAsia"/>
                <w:color w:val="000000" w:themeColor="text1"/>
                <w:sz w:val="24"/>
              </w:rPr>
              <w:t>2</w:t>
            </w:r>
          </w:p>
        </w:tc>
        <w:tc>
          <w:tcPr>
            <w:tcW w:w="0" w:type="auto"/>
            <w:vAlign w:val="center"/>
          </w:tcPr>
          <w:p w:rsidR="005F1A73" w:rsidRDefault="00781EFB">
            <w:pPr>
              <w:jc w:val="center"/>
            </w:pPr>
            <w:r>
              <w:rPr>
                <w:rFonts w:eastAsiaTheme="minorEastAsia"/>
                <w:color w:val="000000" w:themeColor="text1"/>
                <w:sz w:val="24"/>
              </w:rPr>
              <w:t>Meituan</w:t>
            </w:r>
          </w:p>
        </w:tc>
        <w:tc>
          <w:tcPr>
            <w:tcW w:w="0" w:type="auto"/>
            <w:vAlign w:val="center"/>
          </w:tcPr>
          <w:p w:rsidR="005F1A73" w:rsidRDefault="00781EFB">
            <w:pPr>
              <w:jc w:val="center"/>
            </w:pPr>
            <w:r>
              <w:rPr>
                <w:rFonts w:eastAsiaTheme="minorEastAsia"/>
                <w:color w:val="000000" w:themeColor="text1"/>
                <w:sz w:val="24"/>
              </w:rPr>
              <w:t>美团</w:t>
            </w:r>
          </w:p>
        </w:tc>
        <w:tc>
          <w:tcPr>
            <w:tcW w:w="0" w:type="auto"/>
            <w:vAlign w:val="center"/>
          </w:tcPr>
          <w:p w:rsidR="005F1A73" w:rsidRDefault="00781EFB">
            <w:pPr>
              <w:jc w:val="center"/>
            </w:pPr>
            <w:r>
              <w:rPr>
                <w:rFonts w:eastAsiaTheme="minorEastAsia"/>
                <w:color w:val="000000" w:themeColor="text1"/>
                <w:sz w:val="24"/>
              </w:rPr>
              <w:t>3690</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139,750</w:t>
            </w:r>
          </w:p>
        </w:tc>
        <w:tc>
          <w:tcPr>
            <w:tcW w:w="0" w:type="auto"/>
            <w:vAlign w:val="center"/>
          </w:tcPr>
          <w:p w:rsidR="005F1A73" w:rsidRDefault="00781EFB">
            <w:pPr>
              <w:jc w:val="right"/>
            </w:pPr>
            <w:r>
              <w:rPr>
                <w:rFonts w:eastAsiaTheme="minorEastAsia"/>
                <w:color w:val="000000" w:themeColor="text1"/>
                <w:sz w:val="24"/>
              </w:rPr>
              <w:t>14,170,475.03</w:t>
            </w:r>
          </w:p>
        </w:tc>
        <w:tc>
          <w:tcPr>
            <w:tcW w:w="0" w:type="auto"/>
            <w:vAlign w:val="center"/>
          </w:tcPr>
          <w:p w:rsidR="005F1A73" w:rsidRDefault="00781EFB">
            <w:pPr>
              <w:jc w:val="right"/>
            </w:pPr>
            <w:r>
              <w:rPr>
                <w:rFonts w:eastAsiaTheme="minorEastAsia"/>
                <w:color w:val="000000" w:themeColor="text1"/>
                <w:sz w:val="24"/>
              </w:rPr>
              <w:t>8.18</w:t>
            </w:r>
          </w:p>
        </w:tc>
      </w:tr>
      <w:tr w:rsidR="005F1A73">
        <w:tc>
          <w:tcPr>
            <w:tcW w:w="0" w:type="auto"/>
            <w:vAlign w:val="center"/>
          </w:tcPr>
          <w:p w:rsidR="005F1A73" w:rsidRDefault="00781EFB">
            <w:pPr>
              <w:jc w:val="center"/>
            </w:pPr>
            <w:r>
              <w:rPr>
                <w:rFonts w:eastAsiaTheme="minorEastAsia"/>
                <w:color w:val="000000" w:themeColor="text1"/>
                <w:sz w:val="24"/>
              </w:rPr>
              <w:t>3</w:t>
            </w:r>
          </w:p>
        </w:tc>
        <w:tc>
          <w:tcPr>
            <w:tcW w:w="0" w:type="auto"/>
            <w:vAlign w:val="center"/>
          </w:tcPr>
          <w:p w:rsidR="005F1A73" w:rsidRDefault="00781EFB">
            <w:pPr>
              <w:jc w:val="center"/>
            </w:pPr>
            <w:r>
              <w:rPr>
                <w:rFonts w:eastAsiaTheme="minorEastAsia"/>
                <w:color w:val="000000" w:themeColor="text1"/>
                <w:sz w:val="24"/>
              </w:rPr>
              <w:t>Xiaomi Corp</w:t>
            </w:r>
          </w:p>
        </w:tc>
        <w:tc>
          <w:tcPr>
            <w:tcW w:w="0" w:type="auto"/>
            <w:vAlign w:val="center"/>
          </w:tcPr>
          <w:p w:rsidR="005F1A73" w:rsidRDefault="00781EFB">
            <w:pPr>
              <w:jc w:val="center"/>
            </w:pPr>
            <w:r>
              <w:rPr>
                <w:rFonts w:eastAsiaTheme="minorEastAsia"/>
                <w:color w:val="000000" w:themeColor="text1"/>
                <w:sz w:val="24"/>
              </w:rPr>
              <w:t>小米集团</w:t>
            </w:r>
          </w:p>
        </w:tc>
        <w:tc>
          <w:tcPr>
            <w:tcW w:w="0" w:type="auto"/>
            <w:vAlign w:val="center"/>
          </w:tcPr>
          <w:p w:rsidR="005F1A73" w:rsidRDefault="00781EFB">
            <w:pPr>
              <w:jc w:val="center"/>
            </w:pPr>
            <w:r>
              <w:rPr>
                <w:rFonts w:eastAsiaTheme="minorEastAsia"/>
                <w:color w:val="000000" w:themeColor="text1"/>
                <w:sz w:val="24"/>
              </w:rPr>
              <w:t>1810</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892,200</w:t>
            </w:r>
          </w:p>
        </w:tc>
        <w:tc>
          <w:tcPr>
            <w:tcW w:w="0" w:type="auto"/>
            <w:vAlign w:val="center"/>
          </w:tcPr>
          <w:p w:rsidR="005F1A73" w:rsidRDefault="00781EFB">
            <w:pPr>
              <w:jc w:val="right"/>
            </w:pPr>
            <w:r>
              <w:rPr>
                <w:rFonts w:eastAsiaTheme="minorEastAsia"/>
                <w:color w:val="000000" w:themeColor="text1"/>
                <w:sz w:val="24"/>
              </w:rPr>
              <w:t>13,419,550.22</w:t>
            </w:r>
          </w:p>
        </w:tc>
        <w:tc>
          <w:tcPr>
            <w:tcW w:w="0" w:type="auto"/>
            <w:vAlign w:val="center"/>
          </w:tcPr>
          <w:p w:rsidR="005F1A73" w:rsidRDefault="00781EFB">
            <w:pPr>
              <w:jc w:val="right"/>
            </w:pPr>
            <w:r>
              <w:rPr>
                <w:rFonts w:eastAsiaTheme="minorEastAsia"/>
                <w:color w:val="000000" w:themeColor="text1"/>
                <w:sz w:val="24"/>
              </w:rPr>
              <w:t>7.75</w:t>
            </w:r>
          </w:p>
        </w:tc>
      </w:tr>
      <w:tr w:rsidR="005F1A73">
        <w:tc>
          <w:tcPr>
            <w:tcW w:w="0" w:type="auto"/>
            <w:vAlign w:val="center"/>
          </w:tcPr>
          <w:p w:rsidR="005F1A73" w:rsidRDefault="00781EFB">
            <w:pPr>
              <w:jc w:val="center"/>
            </w:pPr>
            <w:r>
              <w:rPr>
                <w:rFonts w:eastAsiaTheme="minorEastAsia"/>
                <w:color w:val="000000" w:themeColor="text1"/>
                <w:sz w:val="24"/>
              </w:rPr>
              <w:t>4</w:t>
            </w:r>
          </w:p>
        </w:tc>
        <w:tc>
          <w:tcPr>
            <w:tcW w:w="0" w:type="auto"/>
            <w:vAlign w:val="center"/>
          </w:tcPr>
          <w:p w:rsidR="005F1A73" w:rsidRDefault="00781EFB">
            <w:pPr>
              <w:jc w:val="center"/>
            </w:pPr>
            <w:r>
              <w:rPr>
                <w:rFonts w:eastAsiaTheme="minorEastAsia"/>
                <w:color w:val="000000" w:themeColor="text1"/>
                <w:sz w:val="24"/>
              </w:rPr>
              <w:t>Alibaba Group Holding Ltd</w:t>
            </w:r>
          </w:p>
        </w:tc>
        <w:tc>
          <w:tcPr>
            <w:tcW w:w="0" w:type="auto"/>
            <w:vAlign w:val="center"/>
          </w:tcPr>
          <w:p w:rsidR="005F1A73" w:rsidRDefault="00781EFB">
            <w:pPr>
              <w:jc w:val="center"/>
            </w:pPr>
            <w:r>
              <w:rPr>
                <w:rFonts w:eastAsiaTheme="minorEastAsia"/>
                <w:color w:val="000000" w:themeColor="text1"/>
                <w:sz w:val="24"/>
              </w:rPr>
              <w:t>阿里巴巴</w:t>
            </w:r>
          </w:p>
        </w:tc>
        <w:tc>
          <w:tcPr>
            <w:tcW w:w="0" w:type="auto"/>
            <w:vAlign w:val="center"/>
          </w:tcPr>
          <w:p w:rsidR="005F1A73" w:rsidRDefault="00781EFB">
            <w:pPr>
              <w:jc w:val="center"/>
            </w:pPr>
            <w:r>
              <w:rPr>
                <w:rFonts w:eastAsiaTheme="minorEastAsia"/>
                <w:color w:val="000000" w:themeColor="text1"/>
                <w:sz w:val="24"/>
              </w:rPr>
              <w:t>9988</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207,700</w:t>
            </w:r>
          </w:p>
        </w:tc>
        <w:tc>
          <w:tcPr>
            <w:tcW w:w="0" w:type="auto"/>
            <w:vAlign w:val="center"/>
          </w:tcPr>
          <w:p w:rsidR="005F1A73" w:rsidRDefault="00781EFB">
            <w:pPr>
              <w:jc w:val="right"/>
            </w:pPr>
            <w:r>
              <w:rPr>
                <w:rFonts w:eastAsiaTheme="minorEastAsia"/>
                <w:color w:val="000000" w:themeColor="text1"/>
                <w:sz w:val="24"/>
              </w:rPr>
              <w:t>13,364,236.34</w:t>
            </w:r>
          </w:p>
        </w:tc>
        <w:tc>
          <w:tcPr>
            <w:tcW w:w="0" w:type="auto"/>
            <w:vAlign w:val="center"/>
          </w:tcPr>
          <w:p w:rsidR="005F1A73" w:rsidRDefault="00781EFB">
            <w:pPr>
              <w:jc w:val="right"/>
            </w:pPr>
            <w:r>
              <w:rPr>
                <w:rFonts w:eastAsiaTheme="minorEastAsia"/>
                <w:color w:val="000000" w:themeColor="text1"/>
                <w:sz w:val="24"/>
              </w:rPr>
              <w:t>7.71</w:t>
            </w:r>
          </w:p>
        </w:tc>
      </w:tr>
      <w:tr w:rsidR="005F1A73">
        <w:tc>
          <w:tcPr>
            <w:tcW w:w="0" w:type="auto"/>
            <w:vAlign w:val="center"/>
          </w:tcPr>
          <w:p w:rsidR="005F1A73" w:rsidRDefault="00781EFB">
            <w:pPr>
              <w:jc w:val="center"/>
            </w:pPr>
            <w:r>
              <w:rPr>
                <w:rFonts w:eastAsiaTheme="minorEastAsia"/>
                <w:color w:val="000000" w:themeColor="text1"/>
                <w:sz w:val="24"/>
              </w:rPr>
              <w:t>5</w:t>
            </w:r>
          </w:p>
        </w:tc>
        <w:tc>
          <w:tcPr>
            <w:tcW w:w="0" w:type="auto"/>
            <w:vAlign w:val="center"/>
          </w:tcPr>
          <w:p w:rsidR="005F1A73" w:rsidRDefault="00781EFB">
            <w:pPr>
              <w:jc w:val="center"/>
            </w:pPr>
            <w:r>
              <w:rPr>
                <w:rFonts w:eastAsiaTheme="minorEastAsia"/>
                <w:color w:val="000000" w:themeColor="text1"/>
                <w:sz w:val="24"/>
              </w:rPr>
              <w:t>JD.com Inc</w:t>
            </w:r>
          </w:p>
        </w:tc>
        <w:tc>
          <w:tcPr>
            <w:tcW w:w="0" w:type="auto"/>
            <w:vAlign w:val="center"/>
          </w:tcPr>
          <w:p w:rsidR="005F1A73" w:rsidRDefault="00781EFB">
            <w:pPr>
              <w:jc w:val="center"/>
            </w:pPr>
            <w:r>
              <w:rPr>
                <w:rFonts w:eastAsiaTheme="minorEastAsia"/>
                <w:color w:val="000000" w:themeColor="text1"/>
                <w:sz w:val="24"/>
              </w:rPr>
              <w:t>京东集团</w:t>
            </w:r>
          </w:p>
        </w:tc>
        <w:tc>
          <w:tcPr>
            <w:tcW w:w="0" w:type="auto"/>
            <w:vAlign w:val="center"/>
          </w:tcPr>
          <w:p w:rsidR="005F1A73" w:rsidRDefault="00781EFB">
            <w:pPr>
              <w:jc w:val="center"/>
            </w:pPr>
            <w:r>
              <w:rPr>
                <w:rFonts w:eastAsiaTheme="minorEastAsia"/>
                <w:color w:val="000000" w:themeColor="text1"/>
                <w:sz w:val="24"/>
              </w:rPr>
              <w:t>9618</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135,386</w:t>
            </w:r>
          </w:p>
        </w:tc>
        <w:tc>
          <w:tcPr>
            <w:tcW w:w="0" w:type="auto"/>
            <w:vAlign w:val="center"/>
          </w:tcPr>
          <w:p w:rsidR="005F1A73" w:rsidRDefault="00781EFB">
            <w:pPr>
              <w:jc w:val="right"/>
            </w:pPr>
            <w:r>
              <w:rPr>
                <w:rFonts w:eastAsiaTheme="minorEastAsia"/>
                <w:color w:val="000000" w:themeColor="text1"/>
                <w:sz w:val="24"/>
              </w:rPr>
              <w:t>12,764,170.96</w:t>
            </w:r>
          </w:p>
        </w:tc>
        <w:tc>
          <w:tcPr>
            <w:tcW w:w="0" w:type="auto"/>
            <w:vAlign w:val="center"/>
          </w:tcPr>
          <w:p w:rsidR="005F1A73" w:rsidRDefault="00781EFB">
            <w:pPr>
              <w:jc w:val="right"/>
            </w:pPr>
            <w:r>
              <w:rPr>
                <w:rFonts w:eastAsiaTheme="minorEastAsia"/>
                <w:color w:val="000000" w:themeColor="text1"/>
                <w:sz w:val="24"/>
              </w:rPr>
              <w:t>7.37</w:t>
            </w:r>
          </w:p>
        </w:tc>
      </w:tr>
      <w:tr w:rsidR="005F1A73">
        <w:tc>
          <w:tcPr>
            <w:tcW w:w="0" w:type="auto"/>
            <w:vAlign w:val="center"/>
          </w:tcPr>
          <w:p w:rsidR="005F1A73" w:rsidRDefault="00781EFB">
            <w:pPr>
              <w:jc w:val="center"/>
            </w:pPr>
            <w:r>
              <w:rPr>
                <w:rFonts w:eastAsiaTheme="minorEastAsia"/>
                <w:color w:val="000000" w:themeColor="text1"/>
                <w:sz w:val="24"/>
              </w:rPr>
              <w:t>6</w:t>
            </w:r>
          </w:p>
        </w:tc>
        <w:tc>
          <w:tcPr>
            <w:tcW w:w="0" w:type="auto"/>
            <w:vAlign w:val="center"/>
          </w:tcPr>
          <w:p w:rsidR="005F1A73" w:rsidRDefault="00781EFB">
            <w:pPr>
              <w:jc w:val="center"/>
            </w:pPr>
            <w:r>
              <w:rPr>
                <w:rFonts w:eastAsiaTheme="minorEastAsia"/>
                <w:color w:val="000000" w:themeColor="text1"/>
                <w:sz w:val="24"/>
              </w:rPr>
              <w:t>Kuaishou Technology</w:t>
            </w:r>
          </w:p>
        </w:tc>
        <w:tc>
          <w:tcPr>
            <w:tcW w:w="0" w:type="auto"/>
            <w:vAlign w:val="center"/>
          </w:tcPr>
          <w:p w:rsidR="005F1A73" w:rsidRDefault="00781EFB">
            <w:pPr>
              <w:jc w:val="center"/>
            </w:pPr>
            <w:r>
              <w:rPr>
                <w:rFonts w:eastAsiaTheme="minorEastAsia"/>
                <w:color w:val="000000" w:themeColor="text1"/>
                <w:sz w:val="24"/>
              </w:rPr>
              <w:t>快手科技</w:t>
            </w:r>
          </w:p>
        </w:tc>
        <w:tc>
          <w:tcPr>
            <w:tcW w:w="0" w:type="auto"/>
            <w:vAlign w:val="center"/>
          </w:tcPr>
          <w:p w:rsidR="005F1A73" w:rsidRDefault="00781EFB">
            <w:pPr>
              <w:jc w:val="center"/>
            </w:pPr>
            <w:r>
              <w:rPr>
                <w:rFonts w:eastAsiaTheme="minorEastAsia"/>
                <w:color w:val="000000" w:themeColor="text1"/>
                <w:sz w:val="24"/>
              </w:rPr>
              <w:t>1024</w:t>
            </w:r>
          </w:p>
        </w:tc>
        <w:tc>
          <w:tcPr>
            <w:tcW w:w="0" w:type="auto"/>
            <w:vAlign w:val="center"/>
          </w:tcPr>
          <w:p w:rsidR="005F1A73" w:rsidRDefault="00781EFB">
            <w:pPr>
              <w:jc w:val="center"/>
            </w:pPr>
            <w:r>
              <w:rPr>
                <w:rFonts w:eastAsiaTheme="minorEastAsia"/>
                <w:color w:val="000000" w:themeColor="text1"/>
                <w:sz w:val="24"/>
              </w:rPr>
              <w:t>香港证券</w:t>
            </w:r>
            <w:r>
              <w:rPr>
                <w:rFonts w:eastAsiaTheme="minorEastAsia"/>
                <w:color w:val="000000" w:themeColor="text1"/>
                <w:sz w:val="24"/>
              </w:rPr>
              <w:lastRenderedPageBreak/>
              <w:t>交易所</w:t>
            </w:r>
          </w:p>
        </w:tc>
        <w:tc>
          <w:tcPr>
            <w:tcW w:w="0" w:type="auto"/>
            <w:vAlign w:val="center"/>
          </w:tcPr>
          <w:p w:rsidR="005F1A73" w:rsidRDefault="00781EFB">
            <w:pPr>
              <w:jc w:val="center"/>
            </w:pPr>
            <w:r>
              <w:rPr>
                <w:rFonts w:eastAsiaTheme="minorEastAsia"/>
                <w:color w:val="000000" w:themeColor="text1"/>
                <w:sz w:val="24"/>
              </w:rPr>
              <w:lastRenderedPageBreak/>
              <w:t>中国香港</w:t>
            </w:r>
          </w:p>
        </w:tc>
        <w:tc>
          <w:tcPr>
            <w:tcW w:w="0" w:type="auto"/>
            <w:vAlign w:val="center"/>
          </w:tcPr>
          <w:p w:rsidR="005F1A73" w:rsidRDefault="00781EFB">
            <w:pPr>
              <w:jc w:val="right"/>
            </w:pPr>
            <w:r>
              <w:rPr>
                <w:rFonts w:eastAsiaTheme="minorEastAsia"/>
                <w:color w:val="000000" w:themeColor="text1"/>
                <w:sz w:val="24"/>
              </w:rPr>
              <w:t>284,600</w:t>
            </w:r>
          </w:p>
        </w:tc>
        <w:tc>
          <w:tcPr>
            <w:tcW w:w="0" w:type="auto"/>
            <w:vAlign w:val="center"/>
          </w:tcPr>
          <w:p w:rsidR="005F1A73" w:rsidRDefault="00781EFB">
            <w:pPr>
              <w:jc w:val="right"/>
            </w:pPr>
            <w:r>
              <w:rPr>
                <w:rFonts w:eastAsiaTheme="minorEastAsia"/>
                <w:color w:val="000000" w:themeColor="text1"/>
                <w:sz w:val="24"/>
              </w:rPr>
              <w:t>11,987,403.80</w:t>
            </w:r>
          </w:p>
        </w:tc>
        <w:tc>
          <w:tcPr>
            <w:tcW w:w="0" w:type="auto"/>
            <w:vAlign w:val="center"/>
          </w:tcPr>
          <w:p w:rsidR="005F1A73" w:rsidRDefault="00781EFB">
            <w:pPr>
              <w:jc w:val="right"/>
            </w:pPr>
            <w:r>
              <w:rPr>
                <w:rFonts w:eastAsiaTheme="minorEastAsia"/>
                <w:color w:val="000000" w:themeColor="text1"/>
                <w:sz w:val="24"/>
              </w:rPr>
              <w:t>6.92</w:t>
            </w:r>
          </w:p>
        </w:tc>
      </w:tr>
      <w:tr w:rsidR="005F1A73">
        <w:tc>
          <w:tcPr>
            <w:tcW w:w="0" w:type="auto"/>
            <w:vAlign w:val="center"/>
          </w:tcPr>
          <w:p w:rsidR="005F1A73" w:rsidRDefault="00781EFB">
            <w:pPr>
              <w:jc w:val="center"/>
            </w:pPr>
            <w:r>
              <w:rPr>
                <w:rFonts w:eastAsiaTheme="minorEastAsia"/>
                <w:color w:val="000000" w:themeColor="text1"/>
                <w:sz w:val="24"/>
              </w:rPr>
              <w:t>7</w:t>
            </w:r>
          </w:p>
        </w:tc>
        <w:tc>
          <w:tcPr>
            <w:tcW w:w="0" w:type="auto"/>
            <w:vAlign w:val="center"/>
          </w:tcPr>
          <w:p w:rsidR="005F1A73" w:rsidRDefault="00781EFB">
            <w:pPr>
              <w:jc w:val="center"/>
            </w:pPr>
            <w:r>
              <w:rPr>
                <w:rFonts w:eastAsiaTheme="minorEastAsia"/>
                <w:color w:val="000000" w:themeColor="text1"/>
                <w:sz w:val="24"/>
              </w:rPr>
              <w:t>NetEase Inc</w:t>
            </w:r>
          </w:p>
        </w:tc>
        <w:tc>
          <w:tcPr>
            <w:tcW w:w="0" w:type="auto"/>
            <w:vAlign w:val="center"/>
          </w:tcPr>
          <w:p w:rsidR="005F1A73" w:rsidRDefault="00781EFB">
            <w:pPr>
              <w:jc w:val="center"/>
            </w:pPr>
            <w:r>
              <w:rPr>
                <w:rFonts w:eastAsiaTheme="minorEastAsia"/>
                <w:color w:val="000000" w:themeColor="text1"/>
                <w:sz w:val="24"/>
              </w:rPr>
              <w:t>网易</w:t>
            </w:r>
          </w:p>
        </w:tc>
        <w:tc>
          <w:tcPr>
            <w:tcW w:w="0" w:type="auto"/>
            <w:vAlign w:val="center"/>
          </w:tcPr>
          <w:p w:rsidR="005F1A73" w:rsidRDefault="00781EFB">
            <w:pPr>
              <w:jc w:val="center"/>
            </w:pPr>
            <w:r>
              <w:rPr>
                <w:rFonts w:eastAsiaTheme="minorEastAsia"/>
                <w:color w:val="000000" w:themeColor="text1"/>
                <w:sz w:val="24"/>
              </w:rPr>
              <w:t>9999</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76,200</w:t>
            </w:r>
          </w:p>
        </w:tc>
        <w:tc>
          <w:tcPr>
            <w:tcW w:w="0" w:type="auto"/>
            <w:vAlign w:val="center"/>
          </w:tcPr>
          <w:p w:rsidR="005F1A73" w:rsidRDefault="00781EFB">
            <w:pPr>
              <w:jc w:val="right"/>
            </w:pPr>
            <w:r>
              <w:rPr>
                <w:rFonts w:eastAsiaTheme="minorEastAsia"/>
                <w:color w:val="000000" w:themeColor="text1"/>
                <w:sz w:val="24"/>
              </w:rPr>
              <w:t>10,369,340.81</w:t>
            </w:r>
          </w:p>
        </w:tc>
        <w:tc>
          <w:tcPr>
            <w:tcW w:w="0" w:type="auto"/>
            <w:vAlign w:val="center"/>
          </w:tcPr>
          <w:p w:rsidR="005F1A73" w:rsidRDefault="00781EFB">
            <w:pPr>
              <w:jc w:val="right"/>
            </w:pPr>
            <w:r>
              <w:rPr>
                <w:rFonts w:eastAsiaTheme="minorEastAsia"/>
                <w:color w:val="000000" w:themeColor="text1"/>
                <w:sz w:val="24"/>
              </w:rPr>
              <w:t>5.98</w:t>
            </w:r>
          </w:p>
        </w:tc>
      </w:tr>
      <w:tr w:rsidR="005F1A73">
        <w:tc>
          <w:tcPr>
            <w:tcW w:w="0" w:type="auto"/>
            <w:vAlign w:val="center"/>
          </w:tcPr>
          <w:p w:rsidR="005F1A73" w:rsidRDefault="00781EFB">
            <w:pPr>
              <w:jc w:val="center"/>
            </w:pPr>
            <w:r>
              <w:rPr>
                <w:rFonts w:eastAsiaTheme="minorEastAsia"/>
                <w:color w:val="000000" w:themeColor="text1"/>
                <w:sz w:val="24"/>
              </w:rPr>
              <w:t>8</w:t>
            </w:r>
          </w:p>
        </w:tc>
        <w:tc>
          <w:tcPr>
            <w:tcW w:w="0" w:type="auto"/>
            <w:vAlign w:val="center"/>
          </w:tcPr>
          <w:p w:rsidR="005F1A73" w:rsidRDefault="00781EFB">
            <w:pPr>
              <w:jc w:val="center"/>
            </w:pPr>
            <w:r>
              <w:rPr>
                <w:rFonts w:eastAsiaTheme="minorEastAsia"/>
                <w:color w:val="000000" w:themeColor="text1"/>
                <w:sz w:val="24"/>
              </w:rPr>
              <w:t>Li Auto Inc</w:t>
            </w:r>
          </w:p>
        </w:tc>
        <w:tc>
          <w:tcPr>
            <w:tcW w:w="0" w:type="auto"/>
            <w:vAlign w:val="center"/>
          </w:tcPr>
          <w:p w:rsidR="005F1A73" w:rsidRDefault="00781EFB">
            <w:pPr>
              <w:jc w:val="center"/>
            </w:pPr>
            <w:r>
              <w:rPr>
                <w:rFonts w:eastAsiaTheme="minorEastAsia"/>
                <w:color w:val="000000" w:themeColor="text1"/>
                <w:sz w:val="24"/>
              </w:rPr>
              <w:t>理想汽车</w:t>
            </w:r>
          </w:p>
        </w:tc>
        <w:tc>
          <w:tcPr>
            <w:tcW w:w="0" w:type="auto"/>
            <w:vAlign w:val="center"/>
          </w:tcPr>
          <w:p w:rsidR="005F1A73" w:rsidRDefault="00781EFB">
            <w:pPr>
              <w:jc w:val="center"/>
            </w:pPr>
            <w:r>
              <w:rPr>
                <w:rFonts w:eastAsiaTheme="minorEastAsia"/>
                <w:color w:val="000000" w:themeColor="text1"/>
                <w:sz w:val="24"/>
              </w:rPr>
              <w:t>2015</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152,100</w:t>
            </w:r>
          </w:p>
        </w:tc>
        <w:tc>
          <w:tcPr>
            <w:tcW w:w="0" w:type="auto"/>
            <w:vAlign w:val="center"/>
          </w:tcPr>
          <w:p w:rsidR="005F1A73" w:rsidRDefault="00781EFB">
            <w:pPr>
              <w:jc w:val="right"/>
            </w:pPr>
            <w:r>
              <w:rPr>
                <w:rFonts w:eastAsiaTheme="minorEastAsia"/>
                <w:color w:val="000000" w:themeColor="text1"/>
                <w:sz w:val="24"/>
              </w:rPr>
              <w:t>9,758,949.54</w:t>
            </w:r>
          </w:p>
        </w:tc>
        <w:tc>
          <w:tcPr>
            <w:tcW w:w="0" w:type="auto"/>
            <w:vAlign w:val="center"/>
          </w:tcPr>
          <w:p w:rsidR="005F1A73" w:rsidRDefault="00781EFB">
            <w:pPr>
              <w:jc w:val="right"/>
            </w:pPr>
            <w:r>
              <w:rPr>
                <w:rFonts w:eastAsiaTheme="minorEastAsia"/>
                <w:color w:val="000000" w:themeColor="text1"/>
                <w:sz w:val="24"/>
              </w:rPr>
              <w:t>5.63</w:t>
            </w:r>
          </w:p>
        </w:tc>
      </w:tr>
      <w:tr w:rsidR="005F1A73">
        <w:tc>
          <w:tcPr>
            <w:tcW w:w="0" w:type="auto"/>
            <w:vAlign w:val="center"/>
          </w:tcPr>
          <w:p w:rsidR="005F1A73" w:rsidRDefault="00781EFB">
            <w:pPr>
              <w:jc w:val="center"/>
            </w:pPr>
            <w:r>
              <w:rPr>
                <w:rFonts w:eastAsiaTheme="minorEastAsia"/>
                <w:color w:val="000000" w:themeColor="text1"/>
                <w:sz w:val="24"/>
              </w:rPr>
              <w:t>9</w:t>
            </w:r>
          </w:p>
        </w:tc>
        <w:tc>
          <w:tcPr>
            <w:tcW w:w="0" w:type="auto"/>
            <w:vAlign w:val="center"/>
          </w:tcPr>
          <w:p w:rsidR="005F1A73" w:rsidRDefault="00781EFB">
            <w:pPr>
              <w:jc w:val="center"/>
            </w:pPr>
            <w:r>
              <w:rPr>
                <w:rFonts w:eastAsiaTheme="minorEastAsia"/>
                <w:color w:val="000000" w:themeColor="text1"/>
                <w:sz w:val="24"/>
              </w:rPr>
              <w:t>Lenovo Group Ltd</w:t>
            </w:r>
          </w:p>
        </w:tc>
        <w:tc>
          <w:tcPr>
            <w:tcW w:w="0" w:type="auto"/>
            <w:vAlign w:val="center"/>
          </w:tcPr>
          <w:p w:rsidR="005F1A73" w:rsidRDefault="00781EFB">
            <w:pPr>
              <w:jc w:val="center"/>
            </w:pPr>
            <w:r>
              <w:rPr>
                <w:rFonts w:eastAsiaTheme="minorEastAsia"/>
                <w:color w:val="000000" w:themeColor="text1"/>
                <w:sz w:val="24"/>
              </w:rPr>
              <w:t>联想集团</w:t>
            </w:r>
          </w:p>
        </w:tc>
        <w:tc>
          <w:tcPr>
            <w:tcW w:w="0" w:type="auto"/>
            <w:vAlign w:val="center"/>
          </w:tcPr>
          <w:p w:rsidR="005F1A73" w:rsidRDefault="00781EFB">
            <w:pPr>
              <w:jc w:val="center"/>
            </w:pPr>
            <w:r>
              <w:rPr>
                <w:rFonts w:eastAsiaTheme="minorEastAsia"/>
                <w:color w:val="000000" w:themeColor="text1"/>
                <w:sz w:val="24"/>
              </w:rPr>
              <w:t>992</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888,000</w:t>
            </w:r>
          </w:p>
        </w:tc>
        <w:tc>
          <w:tcPr>
            <w:tcW w:w="0" w:type="auto"/>
            <w:vAlign w:val="center"/>
          </w:tcPr>
          <w:p w:rsidR="005F1A73" w:rsidRDefault="00781EFB">
            <w:pPr>
              <w:jc w:val="right"/>
            </w:pPr>
            <w:r>
              <w:rPr>
                <w:rFonts w:eastAsiaTheme="minorEastAsia"/>
                <w:color w:val="000000" w:themeColor="text1"/>
                <w:sz w:val="24"/>
              </w:rPr>
              <w:t>8,931,267.44</w:t>
            </w:r>
          </w:p>
        </w:tc>
        <w:tc>
          <w:tcPr>
            <w:tcW w:w="0" w:type="auto"/>
            <w:vAlign w:val="center"/>
          </w:tcPr>
          <w:p w:rsidR="005F1A73" w:rsidRDefault="00781EFB">
            <w:pPr>
              <w:jc w:val="right"/>
            </w:pPr>
            <w:r>
              <w:rPr>
                <w:rFonts w:eastAsiaTheme="minorEastAsia"/>
                <w:color w:val="000000" w:themeColor="text1"/>
                <w:sz w:val="24"/>
              </w:rPr>
              <w:t>5.15</w:t>
            </w:r>
          </w:p>
        </w:tc>
      </w:tr>
      <w:tr w:rsidR="005F1A73">
        <w:tc>
          <w:tcPr>
            <w:tcW w:w="0" w:type="auto"/>
            <w:vAlign w:val="center"/>
          </w:tcPr>
          <w:p w:rsidR="005F1A73" w:rsidRDefault="00781EFB">
            <w:pPr>
              <w:jc w:val="center"/>
            </w:pPr>
            <w:r>
              <w:rPr>
                <w:rFonts w:eastAsiaTheme="minorEastAsia"/>
                <w:color w:val="000000" w:themeColor="text1"/>
                <w:sz w:val="24"/>
              </w:rPr>
              <w:t>10</w:t>
            </w:r>
          </w:p>
        </w:tc>
        <w:tc>
          <w:tcPr>
            <w:tcW w:w="0" w:type="auto"/>
            <w:vAlign w:val="center"/>
          </w:tcPr>
          <w:p w:rsidR="005F1A73" w:rsidRDefault="00781EFB">
            <w:pPr>
              <w:jc w:val="center"/>
            </w:pPr>
            <w:r>
              <w:rPr>
                <w:rFonts w:eastAsiaTheme="minorEastAsia"/>
                <w:color w:val="000000" w:themeColor="text1"/>
                <w:sz w:val="24"/>
              </w:rPr>
              <w:t>Semiconductor Manufacturing International Corp</w:t>
            </w:r>
          </w:p>
        </w:tc>
        <w:tc>
          <w:tcPr>
            <w:tcW w:w="0" w:type="auto"/>
            <w:vAlign w:val="center"/>
          </w:tcPr>
          <w:p w:rsidR="005F1A73" w:rsidRDefault="00781EFB">
            <w:pPr>
              <w:jc w:val="center"/>
            </w:pPr>
            <w:r>
              <w:rPr>
                <w:rFonts w:eastAsiaTheme="minorEastAsia"/>
                <w:color w:val="000000" w:themeColor="text1"/>
                <w:sz w:val="24"/>
              </w:rPr>
              <w:t>中芯国际</w:t>
            </w:r>
          </w:p>
        </w:tc>
        <w:tc>
          <w:tcPr>
            <w:tcW w:w="0" w:type="auto"/>
            <w:vAlign w:val="center"/>
          </w:tcPr>
          <w:p w:rsidR="005F1A73" w:rsidRDefault="00781EFB">
            <w:pPr>
              <w:jc w:val="center"/>
            </w:pPr>
            <w:r>
              <w:rPr>
                <w:rFonts w:eastAsiaTheme="minorEastAsia"/>
                <w:color w:val="000000" w:themeColor="text1"/>
                <w:sz w:val="24"/>
              </w:rPr>
              <w:t>981</w:t>
            </w:r>
          </w:p>
        </w:tc>
        <w:tc>
          <w:tcPr>
            <w:tcW w:w="0" w:type="auto"/>
            <w:vAlign w:val="center"/>
          </w:tcPr>
          <w:p w:rsidR="005F1A73" w:rsidRDefault="00781EFB">
            <w:pPr>
              <w:jc w:val="center"/>
            </w:pPr>
            <w:r>
              <w:rPr>
                <w:rFonts w:eastAsiaTheme="minorEastAsia"/>
                <w:color w:val="000000" w:themeColor="text1"/>
                <w:sz w:val="24"/>
              </w:rPr>
              <w:t>香港证券交易所</w:t>
            </w:r>
          </w:p>
        </w:tc>
        <w:tc>
          <w:tcPr>
            <w:tcW w:w="0" w:type="auto"/>
            <w:vAlign w:val="center"/>
          </w:tcPr>
          <w:p w:rsidR="005F1A73" w:rsidRDefault="00781EFB">
            <w:pPr>
              <w:jc w:val="center"/>
            </w:pPr>
            <w:r>
              <w:rPr>
                <w:rFonts w:eastAsiaTheme="minorEastAsia"/>
                <w:color w:val="000000" w:themeColor="text1"/>
                <w:sz w:val="24"/>
              </w:rPr>
              <w:t>中国香港</w:t>
            </w:r>
          </w:p>
        </w:tc>
        <w:tc>
          <w:tcPr>
            <w:tcW w:w="0" w:type="auto"/>
            <w:vAlign w:val="center"/>
          </w:tcPr>
          <w:p w:rsidR="005F1A73" w:rsidRDefault="00781EFB">
            <w:pPr>
              <w:jc w:val="right"/>
            </w:pPr>
            <w:r>
              <w:rPr>
                <w:rFonts w:eastAsiaTheme="minorEastAsia"/>
                <w:color w:val="000000" w:themeColor="text1"/>
                <w:sz w:val="24"/>
              </w:rPr>
              <w:t>461,000</w:t>
            </w:r>
          </w:p>
        </w:tc>
        <w:tc>
          <w:tcPr>
            <w:tcW w:w="0" w:type="auto"/>
            <w:vAlign w:val="center"/>
          </w:tcPr>
          <w:p w:rsidR="005F1A73" w:rsidRDefault="00781EFB">
            <w:pPr>
              <w:jc w:val="right"/>
            </w:pPr>
            <w:r>
              <w:rPr>
                <w:rFonts w:eastAsiaTheme="minorEastAsia"/>
                <w:color w:val="000000" w:themeColor="text1"/>
                <w:sz w:val="24"/>
              </w:rPr>
              <w:t>7,203,162.62</w:t>
            </w:r>
          </w:p>
        </w:tc>
        <w:tc>
          <w:tcPr>
            <w:tcW w:w="0" w:type="auto"/>
            <w:vAlign w:val="center"/>
          </w:tcPr>
          <w:p w:rsidR="005F1A73" w:rsidRDefault="00781EFB">
            <w:pPr>
              <w:jc w:val="right"/>
            </w:pPr>
            <w:r>
              <w:rPr>
                <w:rFonts w:eastAsiaTheme="minorEastAsia"/>
                <w:color w:val="000000" w:themeColor="text1"/>
                <w:sz w:val="24"/>
              </w:rPr>
              <w:t>4.16</w:t>
            </w:r>
          </w:p>
        </w:tc>
      </w:tr>
    </w:tbl>
    <w:p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FE308B" w:rsidRDefault="000F5F24" w:rsidP="00FE308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9D7505" w:rsidRPr="00EB66E3" w:rsidRDefault="009D7505" w:rsidP="00C74EFF">
      <w:pPr>
        <w:spacing w:line="360" w:lineRule="auto"/>
        <w:ind w:firstLineChars="200" w:firstLine="480"/>
        <w:rPr>
          <w:rFonts w:eastAsiaTheme="minorEastAsia"/>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lastRenderedPageBreak/>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t>1</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933.72</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293,201.40</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6</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9</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294,135.12</w:t>
            </w:r>
          </w:p>
        </w:tc>
      </w:tr>
    </w:tbl>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284,128,000.00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167,000,000.00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208,000,000.00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243,128,000.00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0741EF" w:rsidRPr="00C74EFF" w:rsidRDefault="000741EF" w:rsidP="000741EF">
      <w:pPr>
        <w:spacing w:line="360" w:lineRule="auto"/>
        <w:jc w:val="left"/>
        <w:rPr>
          <w:rFonts w:eastAsiaTheme="minorEastAsia"/>
          <w:color w:val="000000" w:themeColor="text1"/>
          <w:kern w:val="0"/>
          <w:sz w:val="24"/>
        </w:rPr>
      </w:pPr>
      <w:r w:rsidRPr="00C74EFF">
        <w:rPr>
          <w:rFonts w:eastAsiaTheme="minorEastAsia"/>
          <w:b/>
          <w:color w:val="000000" w:themeColor="text1"/>
          <w:kern w:val="0"/>
          <w:sz w:val="24"/>
        </w:rPr>
        <w:t xml:space="preserve">7.2 </w:t>
      </w:r>
      <w:r w:rsidRPr="00C74EFF">
        <w:rPr>
          <w:rFonts w:eastAsiaTheme="minorEastAsia"/>
          <w:b/>
          <w:color w:val="000000" w:themeColor="text1"/>
          <w:kern w:val="0"/>
          <w:sz w:val="24"/>
        </w:rPr>
        <w:t>基金管理人运用固有资金投资本基金交易明细</w:t>
      </w:r>
    </w:p>
    <w:p w:rsidR="0061761F" w:rsidRPr="00C74EFF" w:rsidRDefault="000741EF" w:rsidP="0061761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lastRenderedPageBreak/>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38354C">
        <w:tc>
          <w:tcPr>
            <w:tcW w:w="993" w:type="dxa"/>
            <w:vMerge w:val="restart"/>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38354C">
        <w:tc>
          <w:tcPr>
            <w:tcW w:w="993" w:type="dxa"/>
            <w:vMerge/>
            <w:vAlign w:val="center"/>
          </w:tcPr>
          <w:p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5F1A73">
        <w:tc>
          <w:tcPr>
            <w:tcW w:w="993" w:type="dxa"/>
            <w:vMerge w:val="restart"/>
            <w:vAlign w:val="center"/>
          </w:tcPr>
          <w:p w:rsidR="005F1A73" w:rsidRDefault="00781EFB">
            <w:r>
              <w:rPr>
                <w:bCs/>
                <w:color w:val="000000"/>
                <w:kern w:val="0"/>
                <w:sz w:val="24"/>
              </w:rPr>
              <w:t>机构</w:t>
            </w:r>
          </w:p>
        </w:tc>
        <w:tc>
          <w:tcPr>
            <w:tcW w:w="992" w:type="dxa"/>
            <w:vAlign w:val="center"/>
          </w:tcPr>
          <w:p w:rsidR="005F1A73" w:rsidRDefault="00781EFB">
            <w:pPr>
              <w:jc w:val="center"/>
            </w:pPr>
            <w:r>
              <w:rPr>
                <w:color w:val="000000"/>
                <w:kern w:val="0"/>
                <w:sz w:val="24"/>
              </w:rPr>
              <w:t>1</w:t>
            </w:r>
          </w:p>
        </w:tc>
        <w:tc>
          <w:tcPr>
            <w:tcW w:w="1843" w:type="dxa"/>
            <w:vAlign w:val="center"/>
          </w:tcPr>
          <w:p w:rsidR="005F1A73" w:rsidRDefault="00781EFB">
            <w:pPr>
              <w:jc w:val="center"/>
            </w:pPr>
            <w:r>
              <w:rPr>
                <w:color w:val="000000"/>
                <w:kern w:val="0"/>
                <w:sz w:val="24"/>
              </w:rPr>
              <w:t>20240410-20240411</w:t>
            </w:r>
          </w:p>
        </w:tc>
        <w:tc>
          <w:tcPr>
            <w:tcW w:w="851" w:type="dxa"/>
            <w:vAlign w:val="center"/>
          </w:tcPr>
          <w:p w:rsidR="005F1A73" w:rsidRDefault="00781EFB">
            <w:pPr>
              <w:jc w:val="center"/>
            </w:pPr>
            <w:r>
              <w:rPr>
                <w:color w:val="000000"/>
                <w:kern w:val="0"/>
                <w:sz w:val="24"/>
              </w:rPr>
              <w:t>40,195,100.00</w:t>
            </w:r>
          </w:p>
        </w:tc>
        <w:tc>
          <w:tcPr>
            <w:tcW w:w="850" w:type="dxa"/>
            <w:vAlign w:val="center"/>
          </w:tcPr>
          <w:p w:rsidR="005F1A73" w:rsidRDefault="00781EFB">
            <w:pPr>
              <w:jc w:val="center"/>
            </w:pPr>
            <w:r>
              <w:rPr>
                <w:color w:val="000000"/>
                <w:kern w:val="0"/>
                <w:sz w:val="24"/>
              </w:rPr>
              <w:t>113,969,300.00</w:t>
            </w:r>
          </w:p>
        </w:tc>
        <w:tc>
          <w:tcPr>
            <w:tcW w:w="1134" w:type="dxa"/>
            <w:vAlign w:val="center"/>
          </w:tcPr>
          <w:p w:rsidR="005F1A73" w:rsidRDefault="00781EFB">
            <w:pPr>
              <w:jc w:val="center"/>
            </w:pPr>
            <w:r>
              <w:rPr>
                <w:color w:val="000000"/>
                <w:kern w:val="0"/>
                <w:sz w:val="24"/>
              </w:rPr>
              <w:t>145,800,700.00</w:t>
            </w:r>
          </w:p>
        </w:tc>
        <w:tc>
          <w:tcPr>
            <w:tcW w:w="1419" w:type="dxa"/>
            <w:vAlign w:val="center"/>
          </w:tcPr>
          <w:p w:rsidR="005F1A73" w:rsidRDefault="00781EFB">
            <w:pPr>
              <w:jc w:val="center"/>
            </w:pPr>
            <w:r>
              <w:rPr>
                <w:color w:val="000000"/>
                <w:kern w:val="0"/>
                <w:sz w:val="24"/>
              </w:rPr>
              <w:t>8,363,700.00</w:t>
            </w:r>
          </w:p>
        </w:tc>
        <w:tc>
          <w:tcPr>
            <w:tcW w:w="1130" w:type="dxa"/>
            <w:vAlign w:val="center"/>
          </w:tcPr>
          <w:p w:rsidR="005F1A73" w:rsidRDefault="00781EFB">
            <w:pPr>
              <w:jc w:val="center"/>
            </w:pPr>
            <w:r>
              <w:rPr>
                <w:color w:val="000000"/>
                <w:kern w:val="0"/>
                <w:sz w:val="24"/>
              </w:rPr>
              <w:t>3.44%</w:t>
            </w:r>
          </w:p>
        </w:tc>
      </w:tr>
      <w:tr w:rsidR="005F1A73">
        <w:tc>
          <w:tcPr>
            <w:tcW w:w="993" w:type="dxa"/>
            <w:vMerge w:val="restart"/>
            <w:vAlign w:val="center"/>
          </w:tcPr>
          <w:p w:rsidR="005F1A73" w:rsidRDefault="00781EFB">
            <w:r>
              <w:rPr>
                <w:kern w:val="0"/>
                <w:sz w:val="24"/>
              </w:rPr>
              <w:t>联接基金</w:t>
            </w:r>
          </w:p>
        </w:tc>
        <w:tc>
          <w:tcPr>
            <w:tcW w:w="992" w:type="dxa"/>
            <w:vAlign w:val="center"/>
          </w:tcPr>
          <w:p w:rsidR="005F1A73" w:rsidRDefault="00781EFB">
            <w:pPr>
              <w:jc w:val="center"/>
            </w:pPr>
            <w:r>
              <w:rPr>
                <w:bCs/>
                <w:color w:val="000000"/>
                <w:kern w:val="0"/>
                <w:sz w:val="24"/>
              </w:rPr>
              <w:t>1</w:t>
            </w:r>
          </w:p>
        </w:tc>
        <w:tc>
          <w:tcPr>
            <w:tcW w:w="1843" w:type="dxa"/>
            <w:vAlign w:val="center"/>
          </w:tcPr>
          <w:p w:rsidR="005F1A73" w:rsidRDefault="00781EFB">
            <w:pPr>
              <w:jc w:val="center"/>
            </w:pPr>
            <w:r>
              <w:rPr>
                <w:bCs/>
                <w:color w:val="000000"/>
                <w:kern w:val="0"/>
                <w:sz w:val="24"/>
              </w:rPr>
              <w:t>20240509-20240512</w:t>
            </w:r>
          </w:p>
        </w:tc>
        <w:tc>
          <w:tcPr>
            <w:tcW w:w="851" w:type="dxa"/>
            <w:vAlign w:val="center"/>
          </w:tcPr>
          <w:p w:rsidR="005F1A73" w:rsidRDefault="00781EFB">
            <w:pPr>
              <w:jc w:val="center"/>
            </w:pPr>
            <w:r>
              <w:rPr>
                <w:bCs/>
                <w:color w:val="000000"/>
                <w:kern w:val="0"/>
                <w:sz w:val="24"/>
              </w:rPr>
              <w:t>41,852,000.00</w:t>
            </w:r>
          </w:p>
        </w:tc>
        <w:tc>
          <w:tcPr>
            <w:tcW w:w="850" w:type="dxa"/>
            <w:vAlign w:val="center"/>
          </w:tcPr>
          <w:p w:rsidR="005F1A73" w:rsidRDefault="00781EFB">
            <w:pPr>
              <w:jc w:val="center"/>
            </w:pPr>
            <w:r>
              <w:rPr>
                <w:bCs/>
                <w:color w:val="000000"/>
                <w:kern w:val="0"/>
                <w:sz w:val="24"/>
              </w:rPr>
              <w:t>2,068,000.00</w:t>
            </w:r>
          </w:p>
        </w:tc>
        <w:tc>
          <w:tcPr>
            <w:tcW w:w="1134" w:type="dxa"/>
            <w:vAlign w:val="center"/>
          </w:tcPr>
          <w:p w:rsidR="005F1A73" w:rsidRDefault="00781EFB">
            <w:pPr>
              <w:jc w:val="center"/>
            </w:pPr>
            <w:r>
              <w:rPr>
                <w:bCs/>
                <w:color w:val="000000"/>
                <w:kern w:val="0"/>
                <w:sz w:val="24"/>
              </w:rPr>
              <w:t>8,600,000.00</w:t>
            </w:r>
          </w:p>
        </w:tc>
        <w:tc>
          <w:tcPr>
            <w:tcW w:w="1419" w:type="dxa"/>
            <w:vAlign w:val="center"/>
          </w:tcPr>
          <w:p w:rsidR="005F1A73" w:rsidRDefault="00781EFB">
            <w:pPr>
              <w:jc w:val="center"/>
            </w:pPr>
            <w:r>
              <w:rPr>
                <w:bCs/>
                <w:color w:val="000000"/>
                <w:kern w:val="0"/>
                <w:sz w:val="24"/>
              </w:rPr>
              <w:t>35,320,000.00</w:t>
            </w:r>
          </w:p>
        </w:tc>
        <w:tc>
          <w:tcPr>
            <w:tcW w:w="1130" w:type="dxa"/>
            <w:vAlign w:val="center"/>
          </w:tcPr>
          <w:p w:rsidR="005F1A73" w:rsidRDefault="00781EFB">
            <w:pPr>
              <w:jc w:val="center"/>
            </w:pPr>
            <w:r>
              <w:rPr>
                <w:bCs/>
                <w:color w:val="000000"/>
                <w:kern w:val="0"/>
                <w:sz w:val="24"/>
              </w:rPr>
              <w:t>14.53%</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5F1A73" w:rsidRDefault="00781EFB">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rsidR="0076518F" w:rsidRDefault="0076518F" w:rsidP="00CF2C2A">
      <w:pPr>
        <w:spacing w:line="360" w:lineRule="auto"/>
        <w:ind w:firstLineChars="200" w:firstLine="480"/>
        <w:rPr>
          <w:rFonts w:eastAsiaTheme="minorEastAsia"/>
          <w:color w:val="000000" w:themeColor="text1"/>
          <w:sz w:val="24"/>
        </w:rPr>
      </w:pPr>
    </w:p>
    <w:p w:rsidR="0029180E" w:rsidRDefault="0029180E" w:rsidP="00CF2C2A">
      <w:pPr>
        <w:spacing w:line="360" w:lineRule="auto"/>
        <w:ind w:firstLineChars="200" w:firstLine="480"/>
        <w:rPr>
          <w:rFonts w:eastAsiaTheme="minorEastAsia"/>
          <w:color w:val="000000" w:themeColor="text1"/>
          <w:sz w:val="24"/>
        </w:rPr>
      </w:pPr>
      <w:bookmarkStart w:id="0" w:name="_GoBack"/>
      <w:bookmarkEnd w:id="0"/>
    </w:p>
    <w:p w:rsidR="0029180E" w:rsidRPr="0029180E" w:rsidRDefault="0029180E" w:rsidP="00CF2C2A">
      <w:pPr>
        <w:spacing w:line="360" w:lineRule="auto"/>
        <w:ind w:firstLineChars="200" w:firstLine="480"/>
        <w:rPr>
          <w:rFonts w:eastAsiaTheme="minorEastAsia" w:hint="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lastRenderedPageBreak/>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二〇二四年七月十九日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B5" w:rsidRDefault="00277FB5">
      <w:r>
        <w:separator/>
      </w:r>
    </w:p>
  </w:endnote>
  <w:endnote w:type="continuationSeparator" w:id="0">
    <w:p w:rsidR="00277FB5" w:rsidRDefault="002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29180E">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29180E">
      <w:rPr>
        <w:noProof/>
        <w:kern w:val="0"/>
        <w:szCs w:val="21"/>
      </w:rPr>
      <w:t>16</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29180E">
      <w:rPr>
        <w:rStyle w:val="a8"/>
        <w:noProof/>
      </w:rPr>
      <w:t>15</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B5" w:rsidRDefault="00277FB5">
      <w:r>
        <w:separator/>
      </w:r>
    </w:p>
  </w:footnote>
  <w:footnote w:type="continuationSeparator" w:id="0">
    <w:p w:rsidR="00277FB5" w:rsidRDefault="0027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摩根恒生科技交易型开放式指数证券投资基金</w:t>
    </w:r>
    <w:r>
      <w:rPr>
        <w:sz w:val="21"/>
        <w:szCs w:val="21"/>
      </w:rPr>
      <w:t>(QDII)2024</w:t>
    </w:r>
    <w:r>
      <w:rPr>
        <w:sz w:val="21"/>
        <w:szCs w:val="21"/>
      </w:rPr>
      <w:t>年第</w:t>
    </w:r>
    <w:r>
      <w:rPr>
        <w:sz w:val="21"/>
        <w:szCs w:val="21"/>
      </w:rPr>
      <w:t>2</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77FB5"/>
    <w:rsid w:val="00283B37"/>
    <w:rsid w:val="0028459B"/>
    <w:rsid w:val="00284C5F"/>
    <w:rsid w:val="002873F0"/>
    <w:rsid w:val="0029180E"/>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1A73"/>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1EFB"/>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B66E3"/>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14F9897"/>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1202</Words>
  <Characters>6855</Characters>
  <Application>Microsoft Office Word</Application>
  <DocSecurity>0</DocSecurity>
  <Lines>57</Lines>
  <Paragraphs>16</Paragraphs>
  <ScaleCrop>false</ScaleCrop>
  <Company>TRT. Ltd. Co.</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109</cp:revision>
  <cp:lastPrinted>2007-07-19T00:46:00Z</cp:lastPrinted>
  <dcterms:created xsi:type="dcterms:W3CDTF">2013-06-21T07:03:00Z</dcterms:created>
  <dcterms:modified xsi:type="dcterms:W3CDTF">2024-07-18T01:46:00Z</dcterms:modified>
</cp:coreProperties>
</file>