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A82" w:rsidRPr="00473486" w:rsidRDefault="00881A82">
      <w:pPr>
        <w:autoSpaceDE w:val="0"/>
        <w:autoSpaceDN w:val="0"/>
        <w:adjustRightInd w:val="0"/>
        <w:spacing w:line="360" w:lineRule="auto"/>
        <w:jc w:val="left"/>
        <w:rPr>
          <w:rFonts w:eastAsiaTheme="minorEastAsia"/>
          <w:color w:val="000000" w:themeColor="text1"/>
          <w:kern w:val="0"/>
          <w:sz w:val="24"/>
        </w:rPr>
      </w:pPr>
      <w:bookmarkStart w:id="0" w:name="_GoBack"/>
      <w:bookmarkEnd w:id="0"/>
    </w:p>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881A82">
      <w:pPr>
        <w:autoSpaceDE w:val="0"/>
        <w:autoSpaceDN w:val="0"/>
        <w:adjustRightInd w:val="0"/>
        <w:spacing w:line="360" w:lineRule="auto"/>
        <w:jc w:val="left"/>
        <w:rPr>
          <w:rFonts w:eastAsiaTheme="minorEastAsia"/>
          <w:color w:val="000000" w:themeColor="text1"/>
          <w:kern w:val="0"/>
          <w:sz w:val="36"/>
          <w:szCs w:val="36"/>
        </w:rPr>
      </w:pPr>
    </w:p>
    <w:p w:rsidR="00881A82" w:rsidRPr="00473486" w:rsidRDefault="007D1E3A">
      <w:pPr>
        <w:spacing w:line="360" w:lineRule="auto"/>
        <w:jc w:val="center"/>
        <w:rPr>
          <w:rFonts w:eastAsiaTheme="minorEastAsia"/>
          <w:b/>
          <w:color w:val="000000" w:themeColor="text1"/>
          <w:sz w:val="36"/>
          <w:szCs w:val="36"/>
        </w:rPr>
      </w:pPr>
      <w:r w:rsidRPr="00473486">
        <w:rPr>
          <w:rFonts w:eastAsiaTheme="minorEastAsia"/>
          <w:b/>
          <w:color w:val="000000" w:themeColor="text1"/>
          <w:sz w:val="36"/>
          <w:szCs w:val="36"/>
        </w:rPr>
        <w:t>上投摩根</w:t>
      </w:r>
      <w:r w:rsidRPr="00473486">
        <w:rPr>
          <w:rFonts w:eastAsiaTheme="minorEastAsia"/>
          <w:b/>
          <w:color w:val="000000" w:themeColor="text1"/>
          <w:sz w:val="36"/>
          <w:szCs w:val="36"/>
        </w:rPr>
        <w:t>MSCI</w:t>
      </w:r>
      <w:r w:rsidRPr="00473486">
        <w:rPr>
          <w:rFonts w:eastAsiaTheme="minorEastAsia"/>
          <w:b/>
          <w:color w:val="000000" w:themeColor="text1"/>
          <w:sz w:val="36"/>
          <w:szCs w:val="36"/>
        </w:rPr>
        <w:t>中国</w:t>
      </w:r>
      <w:r w:rsidRPr="00473486">
        <w:rPr>
          <w:rFonts w:eastAsiaTheme="minorEastAsia"/>
          <w:b/>
          <w:color w:val="000000" w:themeColor="text1"/>
          <w:sz w:val="36"/>
          <w:szCs w:val="36"/>
        </w:rPr>
        <w:t>A</w:t>
      </w:r>
      <w:r w:rsidRPr="00473486">
        <w:rPr>
          <w:rFonts w:eastAsiaTheme="minorEastAsia"/>
          <w:b/>
          <w:color w:val="000000" w:themeColor="text1"/>
          <w:sz w:val="36"/>
          <w:szCs w:val="36"/>
        </w:rPr>
        <w:t>股交易型开放式指数证券投资基金</w:t>
      </w:r>
    </w:p>
    <w:p w:rsidR="00881A82" w:rsidRPr="00473486" w:rsidRDefault="007D1E3A">
      <w:pPr>
        <w:spacing w:line="360" w:lineRule="auto"/>
        <w:jc w:val="center"/>
        <w:rPr>
          <w:rFonts w:eastAsiaTheme="minorEastAsia"/>
          <w:b/>
          <w:color w:val="000000" w:themeColor="text1"/>
          <w:sz w:val="36"/>
          <w:szCs w:val="36"/>
        </w:rPr>
      </w:pPr>
      <w:r w:rsidRPr="00473486">
        <w:rPr>
          <w:rFonts w:eastAsiaTheme="minorEastAsia"/>
          <w:b/>
          <w:color w:val="000000" w:themeColor="text1"/>
          <w:sz w:val="36"/>
          <w:szCs w:val="36"/>
        </w:rPr>
        <w:t>2022</w:t>
      </w:r>
      <w:r w:rsidRPr="00473486">
        <w:rPr>
          <w:rFonts w:eastAsiaTheme="minorEastAsia"/>
          <w:b/>
          <w:color w:val="000000" w:themeColor="text1"/>
          <w:sz w:val="36"/>
          <w:szCs w:val="36"/>
        </w:rPr>
        <w:t>年第</w:t>
      </w:r>
      <w:r w:rsidRPr="00473486">
        <w:rPr>
          <w:rFonts w:eastAsiaTheme="minorEastAsia"/>
          <w:b/>
          <w:color w:val="000000" w:themeColor="text1"/>
          <w:sz w:val="36"/>
          <w:szCs w:val="36"/>
        </w:rPr>
        <w:t>1</w:t>
      </w:r>
      <w:r w:rsidRPr="00473486">
        <w:rPr>
          <w:rFonts w:eastAsiaTheme="minorEastAsia"/>
          <w:b/>
          <w:color w:val="000000" w:themeColor="text1"/>
          <w:sz w:val="36"/>
          <w:szCs w:val="36"/>
        </w:rPr>
        <w:t>季度报告</w:t>
      </w:r>
    </w:p>
    <w:p w:rsidR="00881A82" w:rsidRPr="00473486" w:rsidRDefault="007D1E3A">
      <w:pPr>
        <w:spacing w:line="360" w:lineRule="auto"/>
        <w:jc w:val="center"/>
        <w:rPr>
          <w:rFonts w:eastAsiaTheme="minorEastAsia"/>
          <w:b/>
          <w:color w:val="000000" w:themeColor="text1"/>
          <w:sz w:val="36"/>
          <w:szCs w:val="36"/>
        </w:rPr>
      </w:pPr>
      <w:r w:rsidRPr="00473486">
        <w:rPr>
          <w:rFonts w:eastAsiaTheme="minorEastAsia"/>
          <w:b/>
          <w:color w:val="000000" w:themeColor="text1"/>
          <w:sz w:val="36"/>
          <w:szCs w:val="36"/>
        </w:rPr>
        <w:t>2022</w:t>
      </w:r>
      <w:r w:rsidRPr="00473486">
        <w:rPr>
          <w:rFonts w:eastAsiaTheme="minorEastAsia"/>
          <w:b/>
          <w:color w:val="000000" w:themeColor="text1"/>
          <w:sz w:val="36"/>
          <w:szCs w:val="36"/>
        </w:rPr>
        <w:t>年</w:t>
      </w:r>
      <w:r w:rsidRPr="00473486">
        <w:rPr>
          <w:rFonts w:eastAsiaTheme="minorEastAsia"/>
          <w:b/>
          <w:color w:val="000000" w:themeColor="text1"/>
          <w:sz w:val="36"/>
          <w:szCs w:val="36"/>
        </w:rPr>
        <w:t>3</w:t>
      </w:r>
      <w:r w:rsidRPr="00473486">
        <w:rPr>
          <w:rFonts w:eastAsiaTheme="minorEastAsia"/>
          <w:b/>
          <w:color w:val="000000" w:themeColor="text1"/>
          <w:sz w:val="36"/>
          <w:szCs w:val="36"/>
        </w:rPr>
        <w:t>月</w:t>
      </w:r>
      <w:r w:rsidRPr="00473486">
        <w:rPr>
          <w:rFonts w:eastAsiaTheme="minorEastAsia"/>
          <w:b/>
          <w:color w:val="000000" w:themeColor="text1"/>
          <w:sz w:val="36"/>
          <w:szCs w:val="36"/>
        </w:rPr>
        <w:t>31</w:t>
      </w:r>
      <w:r w:rsidRPr="00473486">
        <w:rPr>
          <w:rFonts w:eastAsiaTheme="minorEastAsia"/>
          <w:b/>
          <w:color w:val="000000" w:themeColor="text1"/>
          <w:sz w:val="36"/>
          <w:szCs w:val="36"/>
        </w:rPr>
        <w:t>日</w:t>
      </w: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rPr>
          <w:rFonts w:eastAsiaTheme="minorEastAsia"/>
          <w:b/>
          <w:color w:val="000000" w:themeColor="text1"/>
          <w:sz w:val="24"/>
        </w:rPr>
      </w:pPr>
    </w:p>
    <w:p w:rsidR="00881A82" w:rsidRPr="00473486" w:rsidRDefault="007D1E3A">
      <w:pPr>
        <w:spacing w:line="360" w:lineRule="auto"/>
        <w:ind w:firstLineChars="900" w:firstLine="2168"/>
        <w:rPr>
          <w:rFonts w:eastAsiaTheme="minorEastAsia"/>
          <w:b/>
          <w:color w:val="000000" w:themeColor="text1"/>
          <w:sz w:val="24"/>
        </w:rPr>
      </w:pPr>
      <w:r w:rsidRPr="00473486">
        <w:rPr>
          <w:rFonts w:eastAsiaTheme="minorEastAsia"/>
          <w:b/>
          <w:color w:val="000000" w:themeColor="text1"/>
          <w:sz w:val="24"/>
        </w:rPr>
        <w:t>基金管理人：上投摩根基金管理有限公司</w:t>
      </w:r>
    </w:p>
    <w:p w:rsidR="00881A82" w:rsidRPr="00473486" w:rsidRDefault="007D1E3A">
      <w:pPr>
        <w:spacing w:line="360" w:lineRule="auto"/>
        <w:ind w:firstLineChars="900" w:firstLine="2168"/>
        <w:rPr>
          <w:rFonts w:eastAsiaTheme="minorEastAsia"/>
          <w:b/>
          <w:color w:val="000000" w:themeColor="text1"/>
          <w:sz w:val="24"/>
        </w:rPr>
      </w:pPr>
      <w:r w:rsidRPr="00473486">
        <w:rPr>
          <w:rFonts w:eastAsiaTheme="minorEastAsia"/>
          <w:b/>
          <w:color w:val="000000" w:themeColor="text1"/>
          <w:sz w:val="24"/>
        </w:rPr>
        <w:t>基金托管人：平安银行股份有限公司</w:t>
      </w:r>
    </w:p>
    <w:p w:rsidR="00881A82" w:rsidRPr="00473486" w:rsidRDefault="007D1E3A">
      <w:pPr>
        <w:spacing w:line="360" w:lineRule="auto"/>
        <w:ind w:firstLineChars="900" w:firstLine="2168"/>
        <w:rPr>
          <w:rFonts w:eastAsiaTheme="minorEastAsia"/>
          <w:b/>
          <w:color w:val="000000" w:themeColor="text1"/>
          <w:sz w:val="24"/>
        </w:rPr>
        <w:sectPr w:rsidR="00881A82" w:rsidRPr="00473486">
          <w:headerReference w:type="default" r:id="rId7"/>
          <w:footerReference w:type="default" r:id="rId8"/>
          <w:pgSz w:w="11926" w:h="15840"/>
          <w:pgMar w:top="1418" w:right="1418" w:bottom="851" w:left="1418" w:header="851" w:footer="992" w:gutter="0"/>
          <w:cols w:space="720"/>
        </w:sectPr>
      </w:pPr>
      <w:r w:rsidRPr="00473486">
        <w:rPr>
          <w:rFonts w:eastAsiaTheme="minorEastAsia"/>
          <w:b/>
          <w:color w:val="000000" w:themeColor="text1"/>
          <w:sz w:val="24"/>
        </w:rPr>
        <w:t>报告送出日期：二〇二二年四月二十二日</w:t>
      </w:r>
    </w:p>
    <w:p w:rsidR="00881A82" w:rsidRPr="00473486" w:rsidRDefault="007D1E3A">
      <w:pPr>
        <w:pStyle w:val="1"/>
        <w:spacing w:beforeLines="100" w:before="312" w:afterLines="100" w:after="312" w:line="360" w:lineRule="auto"/>
        <w:jc w:val="center"/>
        <w:rPr>
          <w:rFonts w:eastAsiaTheme="minorEastAsia"/>
          <w:b w:val="0"/>
          <w:color w:val="000000" w:themeColor="text1"/>
          <w:kern w:val="0"/>
          <w:sz w:val="24"/>
          <w:szCs w:val="24"/>
        </w:rPr>
      </w:pPr>
      <w:r w:rsidRPr="00473486">
        <w:rPr>
          <w:rFonts w:eastAsiaTheme="minorEastAsia"/>
          <w:color w:val="000000" w:themeColor="text1"/>
          <w:kern w:val="0"/>
          <w:sz w:val="24"/>
          <w:szCs w:val="24"/>
        </w:rPr>
        <w:lastRenderedPageBreak/>
        <w:t xml:space="preserve">§1  </w:t>
      </w:r>
      <w:r w:rsidRPr="00473486">
        <w:rPr>
          <w:rFonts w:eastAsiaTheme="minorEastAsia"/>
          <w:color w:val="000000" w:themeColor="text1"/>
          <w:kern w:val="0"/>
          <w:sz w:val="24"/>
          <w:szCs w:val="24"/>
        </w:rPr>
        <w:t>重要提示</w:t>
      </w:r>
    </w:p>
    <w:p w:rsidR="0045275A" w:rsidRDefault="00BA39A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45275A" w:rsidRDefault="00BA39A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基金托管人平安银行股份有限公司根据本基金合同规定，于</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45275A" w:rsidRDefault="00BA39A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45275A" w:rsidRDefault="00BA39A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45275A" w:rsidRDefault="00BA39A9">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本报告期自</w:t>
      </w:r>
      <w:r w:rsidRPr="00473486">
        <w:rPr>
          <w:rFonts w:eastAsiaTheme="minorEastAsia"/>
          <w:color w:val="000000" w:themeColor="text1"/>
          <w:szCs w:val="21"/>
        </w:rPr>
        <w:t>2022</w:t>
      </w:r>
      <w:r w:rsidRPr="00473486">
        <w:rPr>
          <w:rFonts w:eastAsiaTheme="minorEastAsia"/>
          <w:color w:val="000000" w:themeColor="text1"/>
          <w:szCs w:val="21"/>
        </w:rPr>
        <w:t>年</w:t>
      </w:r>
      <w:r w:rsidRPr="00473486">
        <w:rPr>
          <w:rFonts w:eastAsiaTheme="minorEastAsia"/>
          <w:color w:val="000000" w:themeColor="text1"/>
          <w:szCs w:val="21"/>
        </w:rPr>
        <w:t>1</w:t>
      </w:r>
      <w:r w:rsidRPr="00473486">
        <w:rPr>
          <w:rFonts w:eastAsiaTheme="minorEastAsia"/>
          <w:color w:val="000000" w:themeColor="text1"/>
          <w:szCs w:val="21"/>
        </w:rPr>
        <w:t>月</w:t>
      </w:r>
      <w:r w:rsidRPr="00473486">
        <w:rPr>
          <w:rFonts w:eastAsiaTheme="minorEastAsia"/>
          <w:color w:val="000000" w:themeColor="text1"/>
          <w:szCs w:val="21"/>
        </w:rPr>
        <w:t>1</w:t>
      </w:r>
      <w:r w:rsidRPr="00473486">
        <w:rPr>
          <w:rFonts w:eastAsiaTheme="minorEastAsia"/>
          <w:color w:val="000000" w:themeColor="text1"/>
          <w:szCs w:val="21"/>
        </w:rPr>
        <w:t>日起至</w:t>
      </w:r>
      <w:r w:rsidRPr="00473486">
        <w:rPr>
          <w:rFonts w:eastAsiaTheme="minorEastAsia"/>
          <w:color w:val="000000" w:themeColor="text1"/>
          <w:szCs w:val="21"/>
        </w:rPr>
        <w:t>3</w:t>
      </w:r>
      <w:r w:rsidRPr="00473486">
        <w:rPr>
          <w:rFonts w:eastAsiaTheme="minorEastAsia"/>
          <w:color w:val="000000" w:themeColor="text1"/>
          <w:szCs w:val="21"/>
        </w:rPr>
        <w:t>月</w:t>
      </w:r>
      <w:r w:rsidRPr="00473486">
        <w:rPr>
          <w:rFonts w:eastAsiaTheme="minorEastAsia"/>
          <w:color w:val="000000" w:themeColor="text1"/>
          <w:szCs w:val="21"/>
        </w:rPr>
        <w:t>31</w:t>
      </w:r>
      <w:r w:rsidRPr="00473486">
        <w:rPr>
          <w:rFonts w:eastAsiaTheme="minorEastAsia"/>
          <w:color w:val="000000" w:themeColor="text1"/>
          <w:szCs w:val="21"/>
        </w:rPr>
        <w:t>日止。</w:t>
      </w:r>
    </w:p>
    <w:p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§2  </w:t>
      </w:r>
      <w:r w:rsidRPr="00473486">
        <w:rPr>
          <w:rFonts w:eastAsiaTheme="minorEastAsia"/>
          <w:color w:val="000000" w:themeColor="text1"/>
          <w:kern w:val="0"/>
          <w:sz w:val="24"/>
          <w:szCs w:val="24"/>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479"/>
      </w:tblGrid>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基金简称</w:t>
            </w:r>
          </w:p>
        </w:tc>
        <w:tc>
          <w:tcPr>
            <w:tcW w:w="5479" w:type="dxa"/>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上投摩根</w:t>
            </w:r>
            <w:r w:rsidRPr="00473486">
              <w:rPr>
                <w:rFonts w:eastAsiaTheme="minorEastAsia"/>
                <w:color w:val="000000" w:themeColor="text1"/>
                <w:kern w:val="0"/>
                <w:szCs w:val="21"/>
              </w:rPr>
              <w:t>MSCI</w:t>
            </w:r>
            <w:r w:rsidRPr="00473486">
              <w:rPr>
                <w:rFonts w:eastAsiaTheme="minorEastAsia"/>
                <w:color w:val="000000" w:themeColor="text1"/>
                <w:kern w:val="0"/>
                <w:szCs w:val="21"/>
              </w:rPr>
              <w:t>中国</w:t>
            </w:r>
            <w:r w:rsidRPr="00473486">
              <w:rPr>
                <w:rFonts w:eastAsiaTheme="minorEastAsia"/>
                <w:color w:val="000000" w:themeColor="text1"/>
                <w:kern w:val="0"/>
                <w:szCs w:val="21"/>
              </w:rPr>
              <w:t>A</w:t>
            </w:r>
            <w:r w:rsidRPr="00473486">
              <w:rPr>
                <w:rFonts w:eastAsiaTheme="minorEastAsia"/>
                <w:color w:val="000000" w:themeColor="text1"/>
                <w:kern w:val="0"/>
                <w:szCs w:val="21"/>
              </w:rPr>
              <w:t>股</w:t>
            </w:r>
            <w:r w:rsidRPr="00473486">
              <w:rPr>
                <w:rFonts w:eastAsiaTheme="minorEastAsia"/>
                <w:color w:val="000000" w:themeColor="text1"/>
                <w:kern w:val="0"/>
                <w:szCs w:val="21"/>
              </w:rPr>
              <w:t>ETF</w:t>
            </w:r>
          </w:p>
        </w:tc>
      </w:tr>
      <w:tr w:rsidR="00881A82" w:rsidRPr="00473486">
        <w:tc>
          <w:tcPr>
            <w:tcW w:w="2835" w:type="dxa"/>
            <w:tcBorders>
              <w:top w:val="single" w:sz="4" w:space="0" w:color="auto"/>
              <w:left w:val="single" w:sz="4" w:space="0" w:color="auto"/>
              <w:bottom w:val="single" w:sz="4" w:space="0" w:color="auto"/>
              <w:right w:val="single" w:sz="4" w:space="0" w:color="auto"/>
            </w:tcBorders>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基金主代码</w:t>
            </w:r>
          </w:p>
        </w:tc>
        <w:tc>
          <w:tcPr>
            <w:tcW w:w="5479" w:type="dxa"/>
            <w:tcBorders>
              <w:top w:val="single" w:sz="4" w:space="0" w:color="auto"/>
              <w:left w:val="single" w:sz="4" w:space="0" w:color="auto"/>
              <w:bottom w:val="single" w:sz="4" w:space="0" w:color="auto"/>
              <w:right w:val="single" w:sz="4" w:space="0" w:color="auto"/>
            </w:tcBorders>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515770</w:t>
            </w:r>
          </w:p>
        </w:tc>
      </w:tr>
      <w:tr w:rsidR="00881A82" w:rsidRPr="00473486">
        <w:tc>
          <w:tcPr>
            <w:tcW w:w="2835" w:type="dxa"/>
            <w:tcBorders>
              <w:top w:val="single" w:sz="4" w:space="0" w:color="auto"/>
              <w:left w:val="single" w:sz="4" w:space="0" w:color="auto"/>
              <w:bottom w:val="single" w:sz="4" w:space="0" w:color="auto"/>
              <w:right w:val="single" w:sz="4" w:space="0" w:color="auto"/>
            </w:tcBorders>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515770</w:t>
            </w:r>
          </w:p>
        </w:tc>
      </w:tr>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基金运作方式</w:t>
            </w:r>
          </w:p>
        </w:tc>
        <w:tc>
          <w:tcPr>
            <w:tcW w:w="5479"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交易型开放式</w:t>
            </w:r>
          </w:p>
        </w:tc>
      </w:tr>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基金合同生效日</w:t>
            </w:r>
          </w:p>
        </w:tc>
        <w:tc>
          <w:tcPr>
            <w:tcW w:w="5479"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2020</w:t>
            </w:r>
            <w:r w:rsidRPr="00473486">
              <w:rPr>
                <w:rFonts w:eastAsiaTheme="minorEastAsia"/>
                <w:color w:val="000000" w:themeColor="text1"/>
                <w:kern w:val="0"/>
                <w:szCs w:val="21"/>
              </w:rPr>
              <w:t>年</w:t>
            </w:r>
            <w:r w:rsidRPr="00473486">
              <w:rPr>
                <w:rFonts w:eastAsiaTheme="minorEastAsia"/>
                <w:color w:val="000000" w:themeColor="text1"/>
                <w:kern w:val="0"/>
                <w:szCs w:val="21"/>
              </w:rPr>
              <w:t>5</w:t>
            </w:r>
            <w:r w:rsidRPr="00473486">
              <w:rPr>
                <w:rFonts w:eastAsiaTheme="minorEastAsia"/>
                <w:color w:val="000000" w:themeColor="text1"/>
                <w:kern w:val="0"/>
                <w:szCs w:val="21"/>
              </w:rPr>
              <w:t>月</w:t>
            </w:r>
            <w:r w:rsidRPr="00473486">
              <w:rPr>
                <w:rFonts w:eastAsiaTheme="minorEastAsia"/>
                <w:color w:val="000000" w:themeColor="text1"/>
                <w:kern w:val="0"/>
                <w:szCs w:val="21"/>
              </w:rPr>
              <w:t>13</w:t>
            </w:r>
            <w:r w:rsidRPr="00473486">
              <w:rPr>
                <w:rFonts w:eastAsiaTheme="minorEastAsia"/>
                <w:color w:val="000000" w:themeColor="text1"/>
                <w:kern w:val="0"/>
                <w:szCs w:val="21"/>
              </w:rPr>
              <w:t>日</w:t>
            </w:r>
          </w:p>
        </w:tc>
      </w:tr>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报告期末基金份额总额</w:t>
            </w:r>
          </w:p>
        </w:tc>
        <w:tc>
          <w:tcPr>
            <w:tcW w:w="5479"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99,727,323.00</w:t>
            </w:r>
            <w:r w:rsidRPr="00473486">
              <w:rPr>
                <w:rFonts w:eastAsiaTheme="minorEastAsia"/>
                <w:color w:val="000000" w:themeColor="text1"/>
                <w:kern w:val="0"/>
                <w:szCs w:val="21"/>
              </w:rPr>
              <w:t>份</w:t>
            </w:r>
          </w:p>
        </w:tc>
      </w:tr>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投资目标</w:t>
            </w:r>
          </w:p>
        </w:tc>
        <w:tc>
          <w:tcPr>
            <w:tcW w:w="5479"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本基金进行被动式指数化投资，紧密跟踪标的指数，追求跟踪偏离度和跟踪误差最小化。</w:t>
            </w:r>
          </w:p>
        </w:tc>
      </w:tr>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投资策略</w:t>
            </w:r>
          </w:p>
        </w:tc>
        <w:tc>
          <w:tcPr>
            <w:tcW w:w="5479" w:type="dxa"/>
            <w:vAlign w:val="center"/>
          </w:tcPr>
          <w:p w:rsidR="0045275A" w:rsidRDefault="00BA39A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采用完全复制法，按照标的指数成份股构成及其权重构建股票资产组合，并根据标的指数成份股及其权重的变化对股票组合进行动态调整。但因特殊情况导致基金无法有效跟踪标的指数时，本基金将运用其他方法建立实际组合，力求实现基金相对业绩比较基准的跟踪误差最小</w:t>
            </w:r>
            <w:r>
              <w:rPr>
                <w:rFonts w:eastAsiaTheme="minorEastAsia"/>
                <w:color w:val="000000" w:themeColor="text1"/>
                <w:kern w:val="0"/>
                <w:szCs w:val="21"/>
              </w:rPr>
              <w:lastRenderedPageBreak/>
              <w:t>化。</w:t>
            </w:r>
          </w:p>
          <w:p w:rsidR="0045275A" w:rsidRDefault="00BA39A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45275A" w:rsidRDefault="00BA39A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为了实现追踪误差最小化，本基金投资于标的指数的成份股及其备选成份股的比例不低于基金资产净值的</w:t>
            </w:r>
            <w:r>
              <w:rPr>
                <w:rFonts w:eastAsiaTheme="minorEastAsia"/>
                <w:color w:val="000000" w:themeColor="text1"/>
                <w:kern w:val="0"/>
                <w:szCs w:val="21"/>
              </w:rPr>
              <w:t>90%</w:t>
            </w:r>
            <w:r>
              <w:rPr>
                <w:rFonts w:eastAsiaTheme="minorEastAsia"/>
                <w:color w:val="000000" w:themeColor="text1"/>
                <w:kern w:val="0"/>
                <w:szCs w:val="21"/>
              </w:rPr>
              <w:t>，且不低于非现金基金资产</w:t>
            </w:r>
            <w:r>
              <w:rPr>
                <w:rFonts w:eastAsiaTheme="minorEastAsia"/>
                <w:color w:val="000000" w:themeColor="text1"/>
                <w:kern w:val="0"/>
                <w:szCs w:val="21"/>
              </w:rPr>
              <w:t>80%</w:t>
            </w:r>
            <w:r>
              <w:rPr>
                <w:rFonts w:eastAsiaTheme="minorEastAsia"/>
                <w:color w:val="000000" w:themeColor="text1"/>
                <w:kern w:val="0"/>
                <w:szCs w:val="21"/>
              </w:rPr>
              <w:t>。</w:t>
            </w:r>
          </w:p>
          <w:p w:rsidR="0045275A" w:rsidRDefault="00BA39A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rsidR="0045275A" w:rsidRDefault="00BA39A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1</w:t>
            </w:r>
            <w:r>
              <w:rPr>
                <w:rFonts w:eastAsiaTheme="minorEastAsia"/>
                <w:color w:val="000000" w:themeColor="text1"/>
                <w:kern w:val="0"/>
                <w:szCs w:val="21"/>
              </w:rPr>
              <w:t>）投资组合构建</w:t>
            </w:r>
          </w:p>
          <w:p w:rsidR="0045275A" w:rsidRDefault="00BA39A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采用完全复制法构建股票资产组合，对于因法规限制、流动性限制而无法交易的成份股，将采用与被限制股预期收益率相近的股票或股票组合进行相应的替代。本基金根据成份股构成及其权重的变动进行动态调整。</w:t>
            </w:r>
          </w:p>
          <w:p w:rsidR="0045275A" w:rsidRDefault="00BA39A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2</w:t>
            </w:r>
            <w:r>
              <w:rPr>
                <w:rFonts w:eastAsiaTheme="minorEastAsia"/>
                <w:color w:val="000000" w:themeColor="text1"/>
                <w:kern w:val="0"/>
                <w:szCs w:val="21"/>
              </w:rPr>
              <w:t>）投资组合调整</w:t>
            </w:r>
          </w:p>
          <w:p w:rsidR="0045275A" w:rsidRDefault="00BA39A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）定期调整</w:t>
            </w:r>
          </w:p>
          <w:p w:rsidR="0045275A" w:rsidRDefault="00BA39A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本基金所构建的投资组合将定期根据标的指数成份股的调整进行相应的跟踪调整。若成份股的集中调整短期内会对跟踪误差产生较大影响，将采用逐步调整的方式。</w:t>
            </w:r>
          </w:p>
          <w:p w:rsidR="0045275A" w:rsidRDefault="00BA39A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）不定期调整</w:t>
            </w:r>
          </w:p>
          <w:p w:rsidR="0045275A" w:rsidRDefault="00BA39A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①</w:t>
            </w:r>
            <w:r>
              <w:rPr>
                <w:rFonts w:eastAsiaTheme="minorEastAsia"/>
                <w:color w:val="000000" w:themeColor="text1"/>
                <w:kern w:val="0"/>
                <w:szCs w:val="21"/>
              </w:rPr>
              <w:t>根据指数编制规则，当标的指数成份股因增发、送配等股权变动而需进行成份股权重调整时，本基金将根据标的指数权重比例的变化，进行相应调整。</w:t>
            </w:r>
          </w:p>
          <w:p w:rsidR="0045275A" w:rsidRDefault="00BA39A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②</w:t>
            </w:r>
            <w:r>
              <w:rPr>
                <w:rFonts w:eastAsiaTheme="minorEastAsia"/>
                <w:color w:val="000000" w:themeColor="text1"/>
                <w:kern w:val="0"/>
                <w:szCs w:val="21"/>
              </w:rPr>
              <w:t>当标的指数成份股因停牌、流动性不足等因素导致基金无法按照指数权重进行配置，基金管理人将选择相关股票进行适当的替代。</w:t>
            </w:r>
          </w:p>
          <w:p w:rsidR="0045275A" w:rsidRDefault="00BA39A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③</w:t>
            </w:r>
            <w:r>
              <w:rPr>
                <w:rFonts w:eastAsiaTheme="minorEastAsia"/>
                <w:color w:val="000000" w:themeColor="text1"/>
                <w:kern w:val="0"/>
                <w:szCs w:val="21"/>
              </w:rPr>
              <w:t>本基金将根据申购和赎回情况对股票投资组合进行调整，保证基金正常运行。</w:t>
            </w:r>
          </w:p>
          <w:p w:rsidR="0045275A" w:rsidRDefault="00BA39A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本基金力争日均跟踪偏离度的绝对值不超过</w:t>
            </w:r>
            <w:r>
              <w:rPr>
                <w:rFonts w:eastAsiaTheme="minorEastAsia"/>
                <w:color w:val="000000" w:themeColor="text1"/>
                <w:kern w:val="0"/>
                <w:szCs w:val="21"/>
              </w:rPr>
              <w:t>0.2%</w:t>
            </w:r>
            <w:r>
              <w:rPr>
                <w:rFonts w:eastAsiaTheme="minorEastAsia"/>
                <w:color w:val="000000" w:themeColor="text1"/>
                <w:kern w:val="0"/>
                <w:szCs w:val="21"/>
              </w:rPr>
              <w:t>，年跟踪误差不超过</w:t>
            </w:r>
            <w:r>
              <w:rPr>
                <w:rFonts w:eastAsiaTheme="minorEastAsia"/>
                <w:color w:val="000000" w:themeColor="text1"/>
                <w:kern w:val="0"/>
                <w:szCs w:val="21"/>
              </w:rPr>
              <w:t>2%</w:t>
            </w:r>
            <w:r>
              <w:rPr>
                <w:rFonts w:eastAsiaTheme="minorEastAsia"/>
                <w:color w:val="000000" w:themeColor="text1"/>
                <w:kern w:val="0"/>
                <w:szCs w:val="21"/>
              </w:rPr>
              <w:t>。如因标的指数编制规则调整等其他原因，导致基金跟踪偏离度和跟踪误差超过上述范围，基金管理人应采取合理措施，避免跟踪偏离度和跟踪误差的进一步扩大。</w:t>
            </w:r>
          </w:p>
          <w:p w:rsidR="0045275A" w:rsidRDefault="00BA39A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、金融衍生品投资策略</w:t>
            </w:r>
          </w:p>
          <w:p w:rsidR="0045275A" w:rsidRDefault="00BA39A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本基金将根据风险管理的原则，主要选择流动性好、交易活跃的衍生品合约，力争利用金融衍生品提高投资效率，降低交易成本和跟踪误差。</w:t>
            </w:r>
          </w:p>
          <w:p w:rsidR="0045275A" w:rsidRDefault="00BA39A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、债券投资策略</w:t>
            </w:r>
          </w:p>
          <w:p w:rsidR="0045275A" w:rsidRDefault="00BA39A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在保证基金资产流动性的基础上，使基金资产得到更加合理有效的利用，从而提高投资组合收益。</w:t>
            </w:r>
          </w:p>
          <w:p w:rsidR="0045275A" w:rsidRDefault="00BA39A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5</w:t>
            </w:r>
            <w:r>
              <w:rPr>
                <w:rFonts w:eastAsiaTheme="minorEastAsia"/>
                <w:color w:val="000000" w:themeColor="text1"/>
                <w:kern w:val="0"/>
                <w:szCs w:val="21"/>
              </w:rPr>
              <w:t>、资产支持证券投资策略：综合考虑市场利率、发行条款、支持资产的构成及质量等因素，在严格控制风险的情况下，确定资产合理配置比例。</w:t>
            </w:r>
          </w:p>
          <w:p w:rsidR="0045275A" w:rsidRDefault="00BA39A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6</w:t>
            </w:r>
            <w:r>
              <w:rPr>
                <w:rFonts w:eastAsiaTheme="minorEastAsia"/>
                <w:color w:val="000000" w:themeColor="text1"/>
                <w:kern w:val="0"/>
                <w:szCs w:val="21"/>
              </w:rPr>
              <w:t>、融资及转融通证券出借策略</w:t>
            </w:r>
          </w:p>
          <w:p w:rsidR="0045275A" w:rsidRDefault="00BA39A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参与融资业务，将综合考虑融资成本、保证金比例、冲抵保证金证券折算率、信用资质等条件，选择合适的交易对手方。同时，在保障投资组合流动性以及控制融资杠杆风险的前提下，确定融资比例。转融通证券出借策略按照分散化投资原则，分批、分期进行交易。</w:t>
            </w:r>
          </w:p>
          <w:p w:rsidR="0045275A" w:rsidRDefault="00BA39A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7</w:t>
            </w:r>
            <w:r>
              <w:rPr>
                <w:rFonts w:eastAsiaTheme="minorEastAsia"/>
                <w:color w:val="000000" w:themeColor="text1"/>
                <w:kern w:val="0"/>
                <w:szCs w:val="21"/>
              </w:rPr>
              <w:t>、存托凭证投资策略</w:t>
            </w:r>
          </w:p>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本基金将根据本基金的投资目标和股票投资策略，基于对基础证券投资价值的深入研究判断，进行存托凭证的投资。</w:t>
            </w:r>
          </w:p>
        </w:tc>
      </w:tr>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lastRenderedPageBreak/>
              <w:t>业绩比较基准</w:t>
            </w:r>
          </w:p>
        </w:tc>
        <w:tc>
          <w:tcPr>
            <w:tcW w:w="5479"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本基金的业绩比较基准为标的指数，即</w:t>
            </w:r>
            <w:r w:rsidRPr="00473486">
              <w:rPr>
                <w:rFonts w:eastAsiaTheme="minorEastAsia"/>
                <w:color w:val="000000" w:themeColor="text1"/>
                <w:kern w:val="0"/>
                <w:szCs w:val="21"/>
              </w:rPr>
              <w:t>MSCI</w:t>
            </w:r>
            <w:r w:rsidRPr="00473486">
              <w:rPr>
                <w:rFonts w:eastAsiaTheme="minorEastAsia"/>
                <w:color w:val="000000" w:themeColor="text1"/>
                <w:kern w:val="0"/>
                <w:szCs w:val="21"/>
              </w:rPr>
              <w:t>中国</w:t>
            </w:r>
            <w:r w:rsidRPr="00473486">
              <w:rPr>
                <w:rFonts w:eastAsiaTheme="minorEastAsia"/>
                <w:color w:val="000000" w:themeColor="text1"/>
                <w:kern w:val="0"/>
                <w:szCs w:val="21"/>
              </w:rPr>
              <w:t>A</w:t>
            </w:r>
            <w:r w:rsidRPr="00473486">
              <w:rPr>
                <w:rFonts w:eastAsiaTheme="minorEastAsia"/>
                <w:color w:val="000000" w:themeColor="text1"/>
                <w:kern w:val="0"/>
                <w:szCs w:val="21"/>
              </w:rPr>
              <w:t>股人民币指数收益率。</w:t>
            </w:r>
          </w:p>
        </w:tc>
      </w:tr>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风险收益特征</w:t>
            </w:r>
          </w:p>
        </w:tc>
        <w:tc>
          <w:tcPr>
            <w:tcW w:w="5479"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本基金为股票型指数基金，其预期风险和预期收益高于货币市场基金、债券型基金和混合型基金。本基金主要投资于标的指数成份股及备选成份股，具有与标的指数相似的风险收益特征。</w:t>
            </w:r>
          </w:p>
        </w:tc>
      </w:tr>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基金管理人</w:t>
            </w:r>
          </w:p>
        </w:tc>
        <w:tc>
          <w:tcPr>
            <w:tcW w:w="5479"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上投摩根基金管理有限公司</w:t>
            </w:r>
          </w:p>
        </w:tc>
      </w:tr>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基金托管人</w:t>
            </w:r>
          </w:p>
        </w:tc>
        <w:tc>
          <w:tcPr>
            <w:tcW w:w="5479"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平安银行股份有限公司</w:t>
            </w:r>
          </w:p>
        </w:tc>
      </w:tr>
    </w:tbl>
    <w:p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§3  </w:t>
      </w:r>
      <w:r w:rsidRPr="00473486">
        <w:rPr>
          <w:rFonts w:eastAsiaTheme="minorEastAsia"/>
          <w:color w:val="000000" w:themeColor="text1"/>
          <w:kern w:val="0"/>
          <w:sz w:val="24"/>
          <w:szCs w:val="24"/>
        </w:rPr>
        <w:t>主要财务指标和基金净值表现</w:t>
      </w: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3.1 </w:t>
      </w:r>
      <w:r w:rsidRPr="00473486">
        <w:rPr>
          <w:rFonts w:eastAsiaTheme="minorEastAsia"/>
          <w:b/>
          <w:color w:val="000000" w:themeColor="text1"/>
          <w:kern w:val="0"/>
          <w:sz w:val="24"/>
        </w:rPr>
        <w:t>主要财务指标</w:t>
      </w:r>
    </w:p>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962"/>
      </w:tblGrid>
      <w:tr w:rsidR="00BA39A9" w:rsidRPr="00473486" w:rsidTr="00BA39A9">
        <w:tc>
          <w:tcPr>
            <w:tcW w:w="3402" w:type="dxa"/>
            <w:vAlign w:val="center"/>
          </w:tcPr>
          <w:p w:rsidR="00881A82" w:rsidRPr="00473486" w:rsidRDefault="007D1E3A">
            <w:pPr>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主要财务指标</w:t>
            </w:r>
          </w:p>
        </w:tc>
        <w:tc>
          <w:tcPr>
            <w:tcW w:w="4962" w:type="dxa"/>
            <w:vAlign w:val="center"/>
          </w:tcPr>
          <w:p w:rsidR="00881A82" w:rsidRPr="00473486" w:rsidRDefault="007D1E3A">
            <w:pPr>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报告期</w:t>
            </w:r>
          </w:p>
          <w:p w:rsidR="00881A82" w:rsidRPr="00473486" w:rsidRDefault="007D1E3A">
            <w:pPr>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(2022</w:t>
            </w:r>
            <w:r w:rsidRPr="00473486">
              <w:rPr>
                <w:rFonts w:eastAsiaTheme="minorEastAsia"/>
                <w:color w:val="000000" w:themeColor="text1"/>
                <w:szCs w:val="21"/>
              </w:rPr>
              <w:t>年</w:t>
            </w:r>
            <w:r w:rsidRPr="00473486">
              <w:rPr>
                <w:rFonts w:eastAsiaTheme="minorEastAsia"/>
                <w:color w:val="000000" w:themeColor="text1"/>
                <w:szCs w:val="21"/>
              </w:rPr>
              <w:t>1</w:t>
            </w:r>
            <w:r w:rsidRPr="00473486">
              <w:rPr>
                <w:rFonts w:eastAsiaTheme="minorEastAsia"/>
                <w:color w:val="000000" w:themeColor="text1"/>
                <w:szCs w:val="21"/>
              </w:rPr>
              <w:t>月</w:t>
            </w:r>
            <w:r w:rsidRPr="00473486">
              <w:rPr>
                <w:rFonts w:eastAsiaTheme="minorEastAsia"/>
                <w:color w:val="000000" w:themeColor="text1"/>
                <w:szCs w:val="21"/>
              </w:rPr>
              <w:t>1</w:t>
            </w:r>
            <w:r w:rsidRPr="00473486">
              <w:rPr>
                <w:rFonts w:eastAsiaTheme="minorEastAsia"/>
                <w:color w:val="000000" w:themeColor="text1"/>
                <w:szCs w:val="21"/>
              </w:rPr>
              <w:t>日</w:t>
            </w:r>
            <w:r w:rsidRPr="00473486">
              <w:rPr>
                <w:rFonts w:eastAsiaTheme="minorEastAsia"/>
                <w:color w:val="000000" w:themeColor="text1"/>
                <w:szCs w:val="21"/>
              </w:rPr>
              <w:t>-2022</w:t>
            </w:r>
            <w:r w:rsidRPr="00473486">
              <w:rPr>
                <w:rFonts w:eastAsiaTheme="minorEastAsia"/>
                <w:color w:val="000000" w:themeColor="text1"/>
                <w:szCs w:val="21"/>
              </w:rPr>
              <w:t>年</w:t>
            </w:r>
            <w:r w:rsidRPr="00473486">
              <w:rPr>
                <w:rFonts w:eastAsiaTheme="minorEastAsia"/>
                <w:color w:val="000000" w:themeColor="text1"/>
                <w:szCs w:val="21"/>
              </w:rPr>
              <w:t>3</w:t>
            </w:r>
            <w:r w:rsidRPr="00473486">
              <w:rPr>
                <w:rFonts w:eastAsiaTheme="minorEastAsia"/>
                <w:color w:val="000000" w:themeColor="text1"/>
                <w:szCs w:val="21"/>
              </w:rPr>
              <w:t>月</w:t>
            </w:r>
            <w:r w:rsidRPr="00473486">
              <w:rPr>
                <w:rFonts w:eastAsiaTheme="minorEastAsia"/>
                <w:color w:val="000000" w:themeColor="text1"/>
                <w:szCs w:val="21"/>
              </w:rPr>
              <w:t>31</w:t>
            </w:r>
            <w:r w:rsidRPr="00473486">
              <w:rPr>
                <w:rFonts w:eastAsiaTheme="minorEastAsia"/>
                <w:color w:val="000000" w:themeColor="text1"/>
                <w:szCs w:val="21"/>
              </w:rPr>
              <w:t>日</w:t>
            </w:r>
            <w:r w:rsidRPr="00473486">
              <w:rPr>
                <w:rFonts w:eastAsiaTheme="minorEastAsia"/>
                <w:color w:val="000000" w:themeColor="text1"/>
                <w:szCs w:val="21"/>
              </w:rPr>
              <w:t>)</w:t>
            </w:r>
          </w:p>
        </w:tc>
      </w:tr>
      <w:tr w:rsidR="00BA39A9" w:rsidRPr="00473486" w:rsidTr="00BA39A9">
        <w:tc>
          <w:tcPr>
            <w:tcW w:w="3402" w:type="dxa"/>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1.</w:t>
            </w:r>
            <w:r w:rsidRPr="00473486">
              <w:rPr>
                <w:rFonts w:eastAsiaTheme="minorEastAsia"/>
                <w:color w:val="000000" w:themeColor="text1"/>
                <w:kern w:val="0"/>
                <w:szCs w:val="21"/>
              </w:rPr>
              <w:t>本期已实现收益</w:t>
            </w:r>
          </w:p>
        </w:tc>
        <w:tc>
          <w:tcPr>
            <w:tcW w:w="4962" w:type="dxa"/>
            <w:vAlign w:val="center"/>
          </w:tcPr>
          <w:p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207,732.40</w:t>
            </w:r>
          </w:p>
        </w:tc>
      </w:tr>
      <w:tr w:rsidR="00BA39A9" w:rsidRPr="00473486" w:rsidTr="00BA39A9">
        <w:tc>
          <w:tcPr>
            <w:tcW w:w="3402" w:type="dxa"/>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2.</w:t>
            </w:r>
            <w:r w:rsidRPr="00473486">
              <w:rPr>
                <w:rFonts w:eastAsiaTheme="minorEastAsia"/>
                <w:color w:val="000000" w:themeColor="text1"/>
                <w:kern w:val="0"/>
                <w:szCs w:val="21"/>
              </w:rPr>
              <w:t>本期利润</w:t>
            </w:r>
          </w:p>
        </w:tc>
        <w:tc>
          <w:tcPr>
            <w:tcW w:w="4962" w:type="dxa"/>
            <w:vAlign w:val="center"/>
          </w:tcPr>
          <w:p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-21,349,141.98</w:t>
            </w:r>
          </w:p>
        </w:tc>
      </w:tr>
      <w:tr w:rsidR="00BA39A9" w:rsidRPr="00473486" w:rsidTr="00BA39A9">
        <w:tc>
          <w:tcPr>
            <w:tcW w:w="3402" w:type="dxa"/>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3.</w:t>
            </w:r>
            <w:r w:rsidRPr="00473486">
              <w:rPr>
                <w:rFonts w:eastAsiaTheme="minorEastAsia"/>
                <w:color w:val="000000" w:themeColor="text1"/>
                <w:kern w:val="0"/>
                <w:szCs w:val="21"/>
              </w:rPr>
              <w:t>加权平均基金份额本期利润</w:t>
            </w:r>
          </w:p>
        </w:tc>
        <w:tc>
          <w:tcPr>
            <w:tcW w:w="4962" w:type="dxa"/>
            <w:vAlign w:val="center"/>
          </w:tcPr>
          <w:p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-0.2061</w:t>
            </w:r>
          </w:p>
        </w:tc>
      </w:tr>
      <w:tr w:rsidR="00BA39A9" w:rsidRPr="00473486" w:rsidTr="00BA39A9">
        <w:tc>
          <w:tcPr>
            <w:tcW w:w="3402" w:type="dxa"/>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4.</w:t>
            </w:r>
            <w:r w:rsidRPr="00473486">
              <w:rPr>
                <w:rFonts w:eastAsiaTheme="minorEastAsia"/>
                <w:color w:val="000000" w:themeColor="text1"/>
                <w:kern w:val="0"/>
                <w:szCs w:val="21"/>
              </w:rPr>
              <w:t>期末基金资产净值</w:t>
            </w:r>
          </w:p>
        </w:tc>
        <w:tc>
          <w:tcPr>
            <w:tcW w:w="4962" w:type="dxa"/>
            <w:vAlign w:val="center"/>
          </w:tcPr>
          <w:p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120,810,286.46</w:t>
            </w:r>
          </w:p>
        </w:tc>
      </w:tr>
      <w:tr w:rsidR="00BA39A9" w:rsidRPr="00473486" w:rsidTr="00BA39A9">
        <w:trPr>
          <w:trHeight w:val="158"/>
        </w:trPr>
        <w:tc>
          <w:tcPr>
            <w:tcW w:w="3402" w:type="dxa"/>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5.</w:t>
            </w:r>
            <w:r w:rsidRPr="00473486">
              <w:rPr>
                <w:rFonts w:eastAsiaTheme="minorEastAsia"/>
                <w:color w:val="000000" w:themeColor="text1"/>
                <w:kern w:val="0"/>
                <w:szCs w:val="21"/>
              </w:rPr>
              <w:t>期末基金份额净值</w:t>
            </w:r>
          </w:p>
        </w:tc>
        <w:tc>
          <w:tcPr>
            <w:tcW w:w="4962" w:type="dxa"/>
            <w:vAlign w:val="center"/>
          </w:tcPr>
          <w:p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1.2114</w:t>
            </w:r>
          </w:p>
        </w:tc>
      </w:tr>
    </w:tbl>
    <w:p w:rsidR="0045275A" w:rsidRDefault="00BA39A9">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881A82" w:rsidRPr="00473486" w:rsidRDefault="00881A82">
      <w:pPr>
        <w:autoSpaceDE w:val="0"/>
        <w:autoSpaceDN w:val="0"/>
        <w:adjustRightInd w:val="0"/>
        <w:spacing w:line="360" w:lineRule="auto"/>
        <w:jc w:val="left"/>
        <w:rPr>
          <w:rFonts w:eastAsiaTheme="minorEastAsia"/>
          <w:color w:val="000000" w:themeColor="text1"/>
          <w:kern w:val="0"/>
          <w:szCs w:val="21"/>
        </w:rPr>
      </w:pP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3.2 </w:t>
      </w:r>
      <w:r w:rsidRPr="00473486">
        <w:rPr>
          <w:rFonts w:eastAsiaTheme="minorEastAsia"/>
          <w:b/>
          <w:color w:val="000000" w:themeColor="text1"/>
          <w:kern w:val="0"/>
          <w:sz w:val="24"/>
        </w:rPr>
        <w:t>基金净值表现</w:t>
      </w: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3.2.1</w:t>
      </w:r>
      <w:r w:rsidRPr="00473486">
        <w:rPr>
          <w:rFonts w:eastAsiaTheme="minorEastAsia"/>
          <w:b/>
          <w:color w:val="000000" w:themeColor="text1"/>
          <w:kern w:val="0"/>
          <w:sz w:val="24"/>
        </w:rPr>
        <w:t>本报告期基金份额净值增长率及其与同期业绩比较基准收益率的比较</w:t>
      </w:r>
    </w:p>
    <w:tbl>
      <w:tblPr>
        <w:tblStyle w:val="afa"/>
        <w:tblW w:w="8420" w:type="dxa"/>
        <w:tblInd w:w="108" w:type="dxa"/>
        <w:tblLayout w:type="fixed"/>
        <w:tblLook w:val="04A0" w:firstRow="1" w:lastRow="0" w:firstColumn="1" w:lastColumn="0" w:noHBand="0" w:noVBand="1"/>
      </w:tblPr>
      <w:tblGrid>
        <w:gridCol w:w="1395"/>
        <w:gridCol w:w="1092"/>
        <w:gridCol w:w="1161"/>
        <w:gridCol w:w="1181"/>
        <w:gridCol w:w="1188"/>
        <w:gridCol w:w="1199"/>
        <w:gridCol w:w="1204"/>
      </w:tblGrid>
      <w:tr w:rsidR="00881A82" w:rsidRPr="00473486">
        <w:tc>
          <w:tcPr>
            <w:tcW w:w="1395"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阶段</w:t>
            </w:r>
          </w:p>
        </w:tc>
        <w:tc>
          <w:tcPr>
            <w:tcW w:w="1092"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净值增长率</w:t>
            </w:r>
            <w:r w:rsidRPr="00473486">
              <w:rPr>
                <w:rFonts w:ascii="宋体" w:hAnsi="宋体" w:cs="宋体" w:hint="eastAsia"/>
                <w:color w:val="000000" w:themeColor="text1"/>
                <w:szCs w:val="21"/>
              </w:rPr>
              <w:t>①</w:t>
            </w:r>
          </w:p>
        </w:tc>
        <w:tc>
          <w:tcPr>
            <w:tcW w:w="1161"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净值增长率标准差</w:t>
            </w:r>
            <w:r w:rsidRPr="00473486">
              <w:rPr>
                <w:rFonts w:ascii="宋体" w:hAnsi="宋体" w:cs="宋体" w:hint="eastAsia"/>
                <w:color w:val="000000" w:themeColor="text1"/>
                <w:szCs w:val="21"/>
              </w:rPr>
              <w:t>②</w:t>
            </w:r>
          </w:p>
        </w:tc>
        <w:tc>
          <w:tcPr>
            <w:tcW w:w="1181"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业绩比较基准收益率</w:t>
            </w:r>
            <w:r w:rsidRPr="00473486">
              <w:rPr>
                <w:rFonts w:ascii="宋体" w:hAnsi="宋体" w:cs="宋体" w:hint="eastAsia"/>
                <w:color w:val="000000" w:themeColor="text1"/>
                <w:szCs w:val="21"/>
              </w:rPr>
              <w:t>③</w:t>
            </w:r>
          </w:p>
        </w:tc>
        <w:tc>
          <w:tcPr>
            <w:tcW w:w="1188"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业绩比较基准收益率标准差</w:t>
            </w:r>
            <w:r w:rsidRPr="00473486">
              <w:rPr>
                <w:rFonts w:ascii="宋体" w:hAnsi="宋体" w:cs="宋体" w:hint="eastAsia"/>
                <w:color w:val="000000" w:themeColor="text1"/>
                <w:szCs w:val="21"/>
              </w:rPr>
              <w:t>④</w:t>
            </w:r>
          </w:p>
        </w:tc>
        <w:tc>
          <w:tcPr>
            <w:tcW w:w="1199"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ascii="宋体" w:hAnsi="宋体" w:cs="宋体" w:hint="eastAsia"/>
                <w:color w:val="000000" w:themeColor="text1"/>
                <w:szCs w:val="21"/>
              </w:rPr>
              <w:t>①</w:t>
            </w:r>
            <w:r w:rsidRPr="00473486">
              <w:rPr>
                <w:rFonts w:eastAsiaTheme="minorEastAsia"/>
                <w:color w:val="000000" w:themeColor="text1"/>
                <w:szCs w:val="21"/>
              </w:rPr>
              <w:t>-</w:t>
            </w:r>
            <w:r w:rsidRPr="00473486">
              <w:rPr>
                <w:rFonts w:ascii="宋体" w:hAnsi="宋体" w:cs="宋体" w:hint="eastAsia"/>
                <w:color w:val="000000" w:themeColor="text1"/>
                <w:szCs w:val="21"/>
              </w:rPr>
              <w:t>③</w:t>
            </w:r>
          </w:p>
        </w:tc>
        <w:tc>
          <w:tcPr>
            <w:tcW w:w="1204"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ascii="宋体" w:hAnsi="宋体" w:cs="宋体" w:hint="eastAsia"/>
                <w:color w:val="000000" w:themeColor="text1"/>
                <w:szCs w:val="21"/>
              </w:rPr>
              <w:t>②</w:t>
            </w:r>
            <w:r w:rsidRPr="00473486">
              <w:rPr>
                <w:rFonts w:eastAsiaTheme="minorEastAsia"/>
                <w:color w:val="000000" w:themeColor="text1"/>
                <w:szCs w:val="21"/>
              </w:rPr>
              <w:t>-</w:t>
            </w:r>
            <w:r w:rsidRPr="00473486">
              <w:rPr>
                <w:rFonts w:ascii="宋体" w:hAnsi="宋体" w:cs="宋体" w:hint="eastAsia"/>
                <w:color w:val="000000" w:themeColor="text1"/>
                <w:szCs w:val="21"/>
              </w:rPr>
              <w:t>④</w:t>
            </w:r>
          </w:p>
        </w:tc>
      </w:tr>
      <w:tr w:rsidR="00BA39A9">
        <w:tc>
          <w:tcPr>
            <w:tcW w:w="1395" w:type="dxa"/>
            <w:vAlign w:val="center"/>
          </w:tcPr>
          <w:p w:rsidR="00BA39A9" w:rsidRDefault="00BA39A9" w:rsidP="00BA39A9">
            <w:pPr>
              <w:jc w:val="left"/>
            </w:pPr>
            <w:r>
              <w:rPr>
                <w:rFonts w:eastAsiaTheme="minorEastAsia"/>
                <w:color w:val="000000" w:themeColor="text1"/>
                <w:szCs w:val="21"/>
              </w:rPr>
              <w:t>过去三个月</w:t>
            </w:r>
          </w:p>
        </w:tc>
        <w:tc>
          <w:tcPr>
            <w:tcW w:w="1092" w:type="dxa"/>
            <w:vAlign w:val="center"/>
          </w:tcPr>
          <w:p w:rsidR="00BA39A9" w:rsidRDefault="00BA39A9" w:rsidP="00BA39A9">
            <w:pPr>
              <w:jc w:val="center"/>
            </w:pPr>
            <w:r>
              <w:rPr>
                <w:rFonts w:eastAsiaTheme="minorEastAsia"/>
                <w:color w:val="000000" w:themeColor="text1"/>
                <w:szCs w:val="21"/>
              </w:rPr>
              <w:t>-14.46%</w:t>
            </w:r>
          </w:p>
        </w:tc>
        <w:tc>
          <w:tcPr>
            <w:tcW w:w="1161" w:type="dxa"/>
            <w:vAlign w:val="center"/>
          </w:tcPr>
          <w:p w:rsidR="00BA39A9" w:rsidRDefault="00BA39A9" w:rsidP="00BA39A9">
            <w:pPr>
              <w:jc w:val="center"/>
            </w:pPr>
            <w:r>
              <w:rPr>
                <w:rFonts w:eastAsiaTheme="minorEastAsia"/>
                <w:color w:val="000000" w:themeColor="text1"/>
                <w:szCs w:val="21"/>
              </w:rPr>
              <w:t>1.42%</w:t>
            </w:r>
          </w:p>
        </w:tc>
        <w:tc>
          <w:tcPr>
            <w:tcW w:w="1181" w:type="dxa"/>
            <w:vAlign w:val="center"/>
          </w:tcPr>
          <w:p w:rsidR="00BA39A9" w:rsidRDefault="00BA39A9" w:rsidP="00BA39A9">
            <w:pPr>
              <w:jc w:val="center"/>
            </w:pPr>
            <w:r>
              <w:rPr>
                <w:rFonts w:eastAsiaTheme="minorEastAsia"/>
                <w:color w:val="000000" w:themeColor="text1"/>
                <w:szCs w:val="21"/>
              </w:rPr>
              <w:t>-14.69%</w:t>
            </w:r>
          </w:p>
        </w:tc>
        <w:tc>
          <w:tcPr>
            <w:tcW w:w="1188" w:type="dxa"/>
            <w:vAlign w:val="center"/>
          </w:tcPr>
          <w:p w:rsidR="00BA39A9" w:rsidRDefault="00BA39A9" w:rsidP="00BA39A9">
            <w:pPr>
              <w:jc w:val="center"/>
            </w:pPr>
            <w:r>
              <w:rPr>
                <w:rFonts w:eastAsiaTheme="minorEastAsia"/>
                <w:color w:val="000000" w:themeColor="text1"/>
                <w:szCs w:val="21"/>
              </w:rPr>
              <w:t>1.45%</w:t>
            </w:r>
          </w:p>
        </w:tc>
        <w:tc>
          <w:tcPr>
            <w:tcW w:w="1199" w:type="dxa"/>
            <w:vAlign w:val="center"/>
          </w:tcPr>
          <w:p w:rsidR="00BA39A9" w:rsidRDefault="00BA39A9" w:rsidP="00BA39A9">
            <w:pPr>
              <w:jc w:val="center"/>
            </w:pPr>
            <w:r>
              <w:rPr>
                <w:rFonts w:eastAsiaTheme="minorEastAsia"/>
                <w:color w:val="000000" w:themeColor="text1"/>
                <w:szCs w:val="21"/>
              </w:rPr>
              <w:t>0.23%</w:t>
            </w:r>
          </w:p>
        </w:tc>
        <w:tc>
          <w:tcPr>
            <w:tcW w:w="1204" w:type="dxa"/>
            <w:vAlign w:val="center"/>
          </w:tcPr>
          <w:p w:rsidR="00BA39A9" w:rsidRDefault="00BA39A9" w:rsidP="00BA39A9">
            <w:pPr>
              <w:jc w:val="center"/>
            </w:pPr>
            <w:r>
              <w:rPr>
                <w:rFonts w:eastAsiaTheme="minorEastAsia"/>
                <w:color w:val="000000" w:themeColor="text1"/>
                <w:szCs w:val="21"/>
              </w:rPr>
              <w:t>-0.03%</w:t>
            </w:r>
          </w:p>
        </w:tc>
      </w:tr>
      <w:tr w:rsidR="00BA39A9">
        <w:tc>
          <w:tcPr>
            <w:tcW w:w="1395" w:type="dxa"/>
            <w:vAlign w:val="center"/>
          </w:tcPr>
          <w:p w:rsidR="00BA39A9" w:rsidRDefault="00BA39A9" w:rsidP="00BA39A9">
            <w:pPr>
              <w:jc w:val="left"/>
            </w:pPr>
            <w:r>
              <w:rPr>
                <w:rFonts w:eastAsiaTheme="minorEastAsia"/>
                <w:color w:val="000000" w:themeColor="text1"/>
                <w:szCs w:val="21"/>
              </w:rPr>
              <w:t>过去六个月</w:t>
            </w:r>
          </w:p>
        </w:tc>
        <w:tc>
          <w:tcPr>
            <w:tcW w:w="1092" w:type="dxa"/>
            <w:vAlign w:val="center"/>
          </w:tcPr>
          <w:p w:rsidR="00BA39A9" w:rsidRDefault="00BA39A9" w:rsidP="00BA39A9">
            <w:pPr>
              <w:jc w:val="center"/>
            </w:pPr>
            <w:r>
              <w:rPr>
                <w:rFonts w:eastAsiaTheme="minorEastAsia"/>
                <w:color w:val="000000" w:themeColor="text1"/>
                <w:szCs w:val="21"/>
              </w:rPr>
              <w:t>-12.62%</w:t>
            </w:r>
          </w:p>
        </w:tc>
        <w:tc>
          <w:tcPr>
            <w:tcW w:w="1161" w:type="dxa"/>
            <w:vAlign w:val="center"/>
          </w:tcPr>
          <w:p w:rsidR="00BA39A9" w:rsidRDefault="00BA39A9" w:rsidP="00BA39A9">
            <w:pPr>
              <w:jc w:val="center"/>
            </w:pPr>
            <w:r>
              <w:rPr>
                <w:rFonts w:eastAsiaTheme="minorEastAsia"/>
                <w:color w:val="000000" w:themeColor="text1"/>
                <w:szCs w:val="21"/>
              </w:rPr>
              <w:t>1.13%</w:t>
            </w:r>
          </w:p>
        </w:tc>
        <w:tc>
          <w:tcPr>
            <w:tcW w:w="1181" w:type="dxa"/>
            <w:vAlign w:val="center"/>
          </w:tcPr>
          <w:p w:rsidR="00BA39A9" w:rsidRDefault="00BA39A9" w:rsidP="00BA39A9">
            <w:pPr>
              <w:jc w:val="center"/>
            </w:pPr>
            <w:r>
              <w:rPr>
                <w:rFonts w:eastAsiaTheme="minorEastAsia"/>
                <w:color w:val="000000" w:themeColor="text1"/>
                <w:szCs w:val="21"/>
              </w:rPr>
              <w:t>-13.36%</w:t>
            </w:r>
          </w:p>
        </w:tc>
        <w:tc>
          <w:tcPr>
            <w:tcW w:w="1188" w:type="dxa"/>
            <w:vAlign w:val="center"/>
          </w:tcPr>
          <w:p w:rsidR="00BA39A9" w:rsidRDefault="00BA39A9" w:rsidP="00BA39A9">
            <w:pPr>
              <w:jc w:val="center"/>
            </w:pPr>
            <w:r>
              <w:rPr>
                <w:rFonts w:eastAsiaTheme="minorEastAsia"/>
                <w:color w:val="000000" w:themeColor="text1"/>
                <w:szCs w:val="21"/>
              </w:rPr>
              <w:t>1.15%</w:t>
            </w:r>
          </w:p>
        </w:tc>
        <w:tc>
          <w:tcPr>
            <w:tcW w:w="1199" w:type="dxa"/>
            <w:vAlign w:val="center"/>
          </w:tcPr>
          <w:p w:rsidR="00BA39A9" w:rsidRDefault="00BA39A9" w:rsidP="00BA39A9">
            <w:pPr>
              <w:jc w:val="center"/>
            </w:pPr>
            <w:r>
              <w:rPr>
                <w:rFonts w:eastAsiaTheme="minorEastAsia"/>
                <w:color w:val="000000" w:themeColor="text1"/>
                <w:szCs w:val="21"/>
              </w:rPr>
              <w:t>0.74%</w:t>
            </w:r>
          </w:p>
        </w:tc>
        <w:tc>
          <w:tcPr>
            <w:tcW w:w="1204" w:type="dxa"/>
            <w:vAlign w:val="center"/>
          </w:tcPr>
          <w:p w:rsidR="00BA39A9" w:rsidRDefault="00BA39A9" w:rsidP="00BA39A9">
            <w:pPr>
              <w:jc w:val="center"/>
            </w:pPr>
            <w:r>
              <w:rPr>
                <w:rFonts w:eastAsiaTheme="minorEastAsia"/>
                <w:color w:val="000000" w:themeColor="text1"/>
                <w:szCs w:val="21"/>
              </w:rPr>
              <w:t>-0.02%</w:t>
            </w:r>
          </w:p>
        </w:tc>
      </w:tr>
      <w:tr w:rsidR="00BA39A9">
        <w:tc>
          <w:tcPr>
            <w:tcW w:w="1395" w:type="dxa"/>
            <w:vAlign w:val="center"/>
          </w:tcPr>
          <w:p w:rsidR="00BA39A9" w:rsidRDefault="00BA39A9" w:rsidP="00BA39A9">
            <w:pPr>
              <w:jc w:val="left"/>
            </w:pPr>
            <w:r>
              <w:rPr>
                <w:rFonts w:eastAsiaTheme="minorEastAsia"/>
                <w:color w:val="000000" w:themeColor="text1"/>
                <w:szCs w:val="21"/>
              </w:rPr>
              <w:t>过去一年</w:t>
            </w:r>
          </w:p>
        </w:tc>
        <w:tc>
          <w:tcPr>
            <w:tcW w:w="1092" w:type="dxa"/>
            <w:vAlign w:val="center"/>
          </w:tcPr>
          <w:p w:rsidR="00BA39A9" w:rsidRDefault="00BA39A9" w:rsidP="00BA39A9">
            <w:pPr>
              <w:jc w:val="center"/>
            </w:pPr>
            <w:r>
              <w:rPr>
                <w:rFonts w:eastAsiaTheme="minorEastAsia"/>
                <w:color w:val="000000" w:themeColor="text1"/>
                <w:szCs w:val="21"/>
              </w:rPr>
              <w:t>-7.24%</w:t>
            </w:r>
          </w:p>
        </w:tc>
        <w:tc>
          <w:tcPr>
            <w:tcW w:w="1161" w:type="dxa"/>
            <w:vAlign w:val="center"/>
          </w:tcPr>
          <w:p w:rsidR="00BA39A9" w:rsidRDefault="00BA39A9" w:rsidP="00BA39A9">
            <w:pPr>
              <w:jc w:val="center"/>
            </w:pPr>
            <w:r>
              <w:rPr>
                <w:rFonts w:eastAsiaTheme="minorEastAsia"/>
                <w:color w:val="000000" w:themeColor="text1"/>
                <w:szCs w:val="21"/>
              </w:rPr>
              <w:t>1.10%</w:t>
            </w:r>
          </w:p>
        </w:tc>
        <w:tc>
          <w:tcPr>
            <w:tcW w:w="1181" w:type="dxa"/>
            <w:vAlign w:val="center"/>
          </w:tcPr>
          <w:p w:rsidR="00BA39A9" w:rsidRDefault="00BA39A9" w:rsidP="00BA39A9">
            <w:pPr>
              <w:jc w:val="center"/>
            </w:pPr>
            <w:r>
              <w:rPr>
                <w:rFonts w:eastAsiaTheme="minorEastAsia"/>
                <w:color w:val="000000" w:themeColor="text1"/>
                <w:szCs w:val="21"/>
              </w:rPr>
              <w:t>-12.19%</w:t>
            </w:r>
          </w:p>
        </w:tc>
        <w:tc>
          <w:tcPr>
            <w:tcW w:w="1188" w:type="dxa"/>
            <w:vAlign w:val="center"/>
          </w:tcPr>
          <w:p w:rsidR="00BA39A9" w:rsidRDefault="00BA39A9" w:rsidP="00BA39A9">
            <w:pPr>
              <w:jc w:val="center"/>
            </w:pPr>
            <w:r>
              <w:rPr>
                <w:rFonts w:eastAsiaTheme="minorEastAsia"/>
                <w:color w:val="000000" w:themeColor="text1"/>
                <w:szCs w:val="21"/>
              </w:rPr>
              <w:t>1.12%</w:t>
            </w:r>
          </w:p>
        </w:tc>
        <w:tc>
          <w:tcPr>
            <w:tcW w:w="1199" w:type="dxa"/>
            <w:vAlign w:val="center"/>
          </w:tcPr>
          <w:p w:rsidR="00BA39A9" w:rsidRDefault="00BA39A9" w:rsidP="00BA39A9">
            <w:pPr>
              <w:jc w:val="center"/>
            </w:pPr>
            <w:r>
              <w:rPr>
                <w:rFonts w:eastAsiaTheme="minorEastAsia"/>
                <w:color w:val="000000" w:themeColor="text1"/>
                <w:szCs w:val="21"/>
              </w:rPr>
              <w:t>4.95%</w:t>
            </w:r>
          </w:p>
        </w:tc>
        <w:tc>
          <w:tcPr>
            <w:tcW w:w="1204" w:type="dxa"/>
            <w:vAlign w:val="center"/>
          </w:tcPr>
          <w:p w:rsidR="00BA39A9" w:rsidRDefault="00BA39A9" w:rsidP="00BA39A9">
            <w:pPr>
              <w:jc w:val="center"/>
            </w:pPr>
            <w:r>
              <w:rPr>
                <w:rFonts w:eastAsiaTheme="minorEastAsia"/>
                <w:color w:val="000000" w:themeColor="text1"/>
                <w:szCs w:val="21"/>
              </w:rPr>
              <w:t>-0.02%</w:t>
            </w:r>
          </w:p>
        </w:tc>
      </w:tr>
      <w:tr w:rsidR="00BA39A9">
        <w:tc>
          <w:tcPr>
            <w:tcW w:w="1395" w:type="dxa"/>
            <w:vAlign w:val="center"/>
          </w:tcPr>
          <w:p w:rsidR="00BA39A9" w:rsidRDefault="00BA39A9" w:rsidP="00BA39A9">
            <w:pPr>
              <w:jc w:val="left"/>
            </w:pPr>
            <w:r>
              <w:rPr>
                <w:rFonts w:eastAsiaTheme="minorEastAsia"/>
                <w:color w:val="000000" w:themeColor="text1"/>
                <w:szCs w:val="21"/>
              </w:rPr>
              <w:t>过去三年</w:t>
            </w:r>
          </w:p>
        </w:tc>
        <w:tc>
          <w:tcPr>
            <w:tcW w:w="1092" w:type="dxa"/>
            <w:vAlign w:val="center"/>
          </w:tcPr>
          <w:p w:rsidR="00BA39A9" w:rsidRDefault="00BA39A9" w:rsidP="00BA39A9">
            <w:pPr>
              <w:jc w:val="center"/>
            </w:pPr>
            <w:r>
              <w:rPr>
                <w:rFonts w:eastAsiaTheme="minorEastAsia"/>
                <w:color w:val="000000" w:themeColor="text1"/>
                <w:szCs w:val="21"/>
              </w:rPr>
              <w:t>-</w:t>
            </w:r>
          </w:p>
        </w:tc>
        <w:tc>
          <w:tcPr>
            <w:tcW w:w="1161" w:type="dxa"/>
            <w:vAlign w:val="center"/>
          </w:tcPr>
          <w:p w:rsidR="00BA39A9" w:rsidRDefault="00BA39A9" w:rsidP="00BA39A9">
            <w:pPr>
              <w:jc w:val="center"/>
            </w:pPr>
            <w:r>
              <w:rPr>
                <w:rFonts w:eastAsiaTheme="minorEastAsia"/>
                <w:color w:val="000000" w:themeColor="text1"/>
                <w:szCs w:val="21"/>
              </w:rPr>
              <w:t>-</w:t>
            </w:r>
          </w:p>
        </w:tc>
        <w:tc>
          <w:tcPr>
            <w:tcW w:w="1181" w:type="dxa"/>
            <w:vAlign w:val="center"/>
          </w:tcPr>
          <w:p w:rsidR="00BA39A9" w:rsidRDefault="00BA39A9" w:rsidP="00BA39A9">
            <w:pPr>
              <w:jc w:val="center"/>
            </w:pPr>
            <w:r>
              <w:rPr>
                <w:rFonts w:eastAsiaTheme="minorEastAsia"/>
                <w:color w:val="000000" w:themeColor="text1"/>
                <w:szCs w:val="21"/>
              </w:rPr>
              <w:t>-</w:t>
            </w:r>
          </w:p>
        </w:tc>
        <w:tc>
          <w:tcPr>
            <w:tcW w:w="1188" w:type="dxa"/>
            <w:vAlign w:val="center"/>
          </w:tcPr>
          <w:p w:rsidR="00BA39A9" w:rsidRDefault="00BA39A9" w:rsidP="00BA39A9">
            <w:pPr>
              <w:jc w:val="center"/>
            </w:pPr>
            <w:r>
              <w:rPr>
                <w:rFonts w:eastAsiaTheme="minorEastAsia"/>
                <w:color w:val="000000" w:themeColor="text1"/>
                <w:szCs w:val="21"/>
              </w:rPr>
              <w:t>-</w:t>
            </w:r>
          </w:p>
        </w:tc>
        <w:tc>
          <w:tcPr>
            <w:tcW w:w="1199" w:type="dxa"/>
            <w:vAlign w:val="center"/>
          </w:tcPr>
          <w:p w:rsidR="00BA39A9" w:rsidRDefault="00BA39A9" w:rsidP="00BA39A9">
            <w:pPr>
              <w:jc w:val="center"/>
            </w:pPr>
            <w:r>
              <w:rPr>
                <w:rFonts w:eastAsiaTheme="minorEastAsia"/>
                <w:color w:val="000000" w:themeColor="text1"/>
                <w:szCs w:val="21"/>
              </w:rPr>
              <w:t>-</w:t>
            </w:r>
          </w:p>
        </w:tc>
        <w:tc>
          <w:tcPr>
            <w:tcW w:w="1204" w:type="dxa"/>
            <w:vAlign w:val="center"/>
          </w:tcPr>
          <w:p w:rsidR="00BA39A9" w:rsidRDefault="00BA39A9" w:rsidP="00BA39A9">
            <w:pPr>
              <w:jc w:val="center"/>
            </w:pPr>
            <w:r>
              <w:rPr>
                <w:rFonts w:eastAsiaTheme="minorEastAsia"/>
                <w:color w:val="000000" w:themeColor="text1"/>
                <w:szCs w:val="21"/>
              </w:rPr>
              <w:t>-</w:t>
            </w:r>
          </w:p>
        </w:tc>
      </w:tr>
      <w:tr w:rsidR="00BA39A9">
        <w:tc>
          <w:tcPr>
            <w:tcW w:w="1395" w:type="dxa"/>
            <w:vAlign w:val="center"/>
          </w:tcPr>
          <w:p w:rsidR="00BA39A9" w:rsidRDefault="00BA39A9" w:rsidP="00BA39A9">
            <w:pPr>
              <w:jc w:val="left"/>
            </w:pPr>
            <w:r>
              <w:rPr>
                <w:rFonts w:eastAsiaTheme="minorEastAsia"/>
                <w:color w:val="000000" w:themeColor="text1"/>
                <w:szCs w:val="21"/>
              </w:rPr>
              <w:t>过去五年</w:t>
            </w:r>
          </w:p>
        </w:tc>
        <w:tc>
          <w:tcPr>
            <w:tcW w:w="1092" w:type="dxa"/>
            <w:vAlign w:val="center"/>
          </w:tcPr>
          <w:p w:rsidR="00BA39A9" w:rsidRDefault="00BA39A9" w:rsidP="00BA39A9">
            <w:pPr>
              <w:jc w:val="center"/>
            </w:pPr>
            <w:r>
              <w:rPr>
                <w:rFonts w:eastAsiaTheme="minorEastAsia"/>
                <w:color w:val="000000" w:themeColor="text1"/>
                <w:szCs w:val="21"/>
              </w:rPr>
              <w:t>-</w:t>
            </w:r>
          </w:p>
        </w:tc>
        <w:tc>
          <w:tcPr>
            <w:tcW w:w="1161" w:type="dxa"/>
            <w:vAlign w:val="center"/>
          </w:tcPr>
          <w:p w:rsidR="00BA39A9" w:rsidRDefault="00BA39A9" w:rsidP="00BA39A9">
            <w:pPr>
              <w:jc w:val="center"/>
            </w:pPr>
            <w:r>
              <w:rPr>
                <w:rFonts w:eastAsiaTheme="minorEastAsia"/>
                <w:color w:val="000000" w:themeColor="text1"/>
                <w:szCs w:val="21"/>
              </w:rPr>
              <w:t>-</w:t>
            </w:r>
          </w:p>
        </w:tc>
        <w:tc>
          <w:tcPr>
            <w:tcW w:w="1181" w:type="dxa"/>
            <w:vAlign w:val="center"/>
          </w:tcPr>
          <w:p w:rsidR="00BA39A9" w:rsidRDefault="00BA39A9" w:rsidP="00BA39A9">
            <w:pPr>
              <w:jc w:val="center"/>
            </w:pPr>
            <w:r>
              <w:rPr>
                <w:rFonts w:eastAsiaTheme="minorEastAsia"/>
                <w:color w:val="000000" w:themeColor="text1"/>
                <w:szCs w:val="21"/>
              </w:rPr>
              <w:t>-</w:t>
            </w:r>
          </w:p>
        </w:tc>
        <w:tc>
          <w:tcPr>
            <w:tcW w:w="1188" w:type="dxa"/>
            <w:vAlign w:val="center"/>
          </w:tcPr>
          <w:p w:rsidR="00BA39A9" w:rsidRDefault="00BA39A9" w:rsidP="00BA39A9">
            <w:pPr>
              <w:jc w:val="center"/>
            </w:pPr>
            <w:r>
              <w:rPr>
                <w:rFonts w:eastAsiaTheme="minorEastAsia"/>
                <w:color w:val="000000" w:themeColor="text1"/>
                <w:szCs w:val="21"/>
              </w:rPr>
              <w:t>-</w:t>
            </w:r>
          </w:p>
        </w:tc>
        <w:tc>
          <w:tcPr>
            <w:tcW w:w="1199" w:type="dxa"/>
            <w:vAlign w:val="center"/>
          </w:tcPr>
          <w:p w:rsidR="00BA39A9" w:rsidRDefault="00BA39A9" w:rsidP="00BA39A9">
            <w:pPr>
              <w:jc w:val="center"/>
            </w:pPr>
            <w:r>
              <w:rPr>
                <w:rFonts w:eastAsiaTheme="minorEastAsia"/>
                <w:color w:val="000000" w:themeColor="text1"/>
                <w:szCs w:val="21"/>
              </w:rPr>
              <w:t>-</w:t>
            </w:r>
          </w:p>
        </w:tc>
        <w:tc>
          <w:tcPr>
            <w:tcW w:w="1204" w:type="dxa"/>
            <w:vAlign w:val="center"/>
          </w:tcPr>
          <w:p w:rsidR="00BA39A9" w:rsidRDefault="00BA39A9" w:rsidP="00BA39A9">
            <w:pPr>
              <w:jc w:val="center"/>
            </w:pPr>
            <w:r>
              <w:rPr>
                <w:rFonts w:eastAsiaTheme="minorEastAsia"/>
                <w:color w:val="000000" w:themeColor="text1"/>
                <w:szCs w:val="21"/>
              </w:rPr>
              <w:t>-</w:t>
            </w:r>
          </w:p>
        </w:tc>
      </w:tr>
      <w:tr w:rsidR="00BA39A9">
        <w:tc>
          <w:tcPr>
            <w:tcW w:w="1395" w:type="dxa"/>
            <w:vAlign w:val="center"/>
          </w:tcPr>
          <w:p w:rsidR="00BA39A9" w:rsidRDefault="00BA39A9" w:rsidP="00BA39A9">
            <w:pPr>
              <w:jc w:val="left"/>
            </w:pPr>
            <w:r>
              <w:rPr>
                <w:rFonts w:eastAsiaTheme="minorEastAsia"/>
                <w:color w:val="000000" w:themeColor="text1"/>
                <w:szCs w:val="21"/>
              </w:rPr>
              <w:t>自基金合同生效起至今</w:t>
            </w:r>
          </w:p>
        </w:tc>
        <w:tc>
          <w:tcPr>
            <w:tcW w:w="1092" w:type="dxa"/>
            <w:vAlign w:val="center"/>
          </w:tcPr>
          <w:p w:rsidR="00BA39A9" w:rsidRDefault="00BA39A9" w:rsidP="00BA39A9">
            <w:pPr>
              <w:jc w:val="center"/>
            </w:pPr>
            <w:r>
              <w:rPr>
                <w:rFonts w:eastAsiaTheme="minorEastAsia"/>
                <w:color w:val="000000" w:themeColor="text1"/>
                <w:szCs w:val="21"/>
              </w:rPr>
              <w:t>21.14%</w:t>
            </w:r>
          </w:p>
        </w:tc>
        <w:tc>
          <w:tcPr>
            <w:tcW w:w="1161" w:type="dxa"/>
            <w:vAlign w:val="center"/>
          </w:tcPr>
          <w:p w:rsidR="00BA39A9" w:rsidRDefault="00BA39A9" w:rsidP="00BA39A9">
            <w:pPr>
              <w:jc w:val="center"/>
            </w:pPr>
            <w:r>
              <w:rPr>
                <w:rFonts w:eastAsiaTheme="minorEastAsia"/>
                <w:color w:val="000000" w:themeColor="text1"/>
                <w:szCs w:val="21"/>
              </w:rPr>
              <w:t>1.21%</w:t>
            </w:r>
          </w:p>
        </w:tc>
        <w:tc>
          <w:tcPr>
            <w:tcW w:w="1181" w:type="dxa"/>
            <w:vAlign w:val="center"/>
          </w:tcPr>
          <w:p w:rsidR="00BA39A9" w:rsidRDefault="00BA39A9" w:rsidP="00BA39A9">
            <w:pPr>
              <w:jc w:val="center"/>
            </w:pPr>
            <w:r>
              <w:rPr>
                <w:rFonts w:eastAsiaTheme="minorEastAsia"/>
                <w:color w:val="000000" w:themeColor="text1"/>
                <w:szCs w:val="21"/>
              </w:rPr>
              <w:t>12.03%</w:t>
            </w:r>
          </w:p>
        </w:tc>
        <w:tc>
          <w:tcPr>
            <w:tcW w:w="1188" w:type="dxa"/>
            <w:vAlign w:val="center"/>
          </w:tcPr>
          <w:p w:rsidR="00BA39A9" w:rsidRDefault="00BA39A9" w:rsidP="00BA39A9">
            <w:pPr>
              <w:jc w:val="center"/>
            </w:pPr>
            <w:r>
              <w:rPr>
                <w:rFonts w:eastAsiaTheme="minorEastAsia"/>
                <w:color w:val="000000" w:themeColor="text1"/>
                <w:szCs w:val="21"/>
              </w:rPr>
              <w:t>1.24%</w:t>
            </w:r>
          </w:p>
        </w:tc>
        <w:tc>
          <w:tcPr>
            <w:tcW w:w="1199" w:type="dxa"/>
            <w:vAlign w:val="center"/>
          </w:tcPr>
          <w:p w:rsidR="00BA39A9" w:rsidRDefault="00BA39A9" w:rsidP="00BA39A9">
            <w:pPr>
              <w:jc w:val="center"/>
            </w:pPr>
            <w:r>
              <w:rPr>
                <w:rFonts w:eastAsiaTheme="minorEastAsia"/>
                <w:color w:val="000000" w:themeColor="text1"/>
                <w:szCs w:val="21"/>
              </w:rPr>
              <w:t>9.11%</w:t>
            </w:r>
          </w:p>
        </w:tc>
        <w:tc>
          <w:tcPr>
            <w:tcW w:w="1204" w:type="dxa"/>
            <w:vAlign w:val="center"/>
          </w:tcPr>
          <w:p w:rsidR="00BA39A9" w:rsidRDefault="00BA39A9" w:rsidP="00BA39A9">
            <w:pPr>
              <w:jc w:val="center"/>
            </w:pPr>
            <w:r>
              <w:rPr>
                <w:rFonts w:eastAsiaTheme="minorEastAsia"/>
                <w:color w:val="000000" w:themeColor="text1"/>
                <w:szCs w:val="21"/>
              </w:rPr>
              <w:t>-0.03%</w:t>
            </w:r>
          </w:p>
        </w:tc>
      </w:tr>
    </w:tbl>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7D1E3A">
      <w:pPr>
        <w:spacing w:line="360" w:lineRule="auto"/>
        <w:rPr>
          <w:rFonts w:eastAsiaTheme="minorEastAsia"/>
          <w:b/>
          <w:color w:val="000000" w:themeColor="text1"/>
          <w:kern w:val="0"/>
          <w:sz w:val="24"/>
        </w:rPr>
      </w:pPr>
      <w:r w:rsidRPr="00473486">
        <w:rPr>
          <w:rFonts w:eastAsiaTheme="minorEastAsia"/>
          <w:b/>
          <w:color w:val="000000" w:themeColor="text1"/>
          <w:kern w:val="0"/>
          <w:sz w:val="24"/>
        </w:rPr>
        <w:t>3.2.2</w:t>
      </w:r>
      <w:r w:rsidRPr="00473486">
        <w:rPr>
          <w:rStyle w:val="af4"/>
          <w:color w:val="000000" w:themeColor="text1"/>
          <w:sz w:val="24"/>
          <w:shd w:val="clear" w:color="auto" w:fill="FFFFFF"/>
        </w:rPr>
        <w:t>自基金合同生效以来</w:t>
      </w:r>
      <w:r w:rsidRPr="00473486">
        <w:rPr>
          <w:rFonts w:eastAsiaTheme="minorEastAsia"/>
          <w:b/>
          <w:bCs/>
          <w:color w:val="000000" w:themeColor="text1"/>
          <w:sz w:val="24"/>
        </w:rPr>
        <w:t>基金累计净值增长率变动及其与同期业绩比较基准收益率变动的比较</w:t>
      </w:r>
    </w:p>
    <w:p w:rsidR="00881A82" w:rsidRPr="00473486" w:rsidRDefault="007D1E3A">
      <w:pPr>
        <w:spacing w:line="360" w:lineRule="auto"/>
        <w:jc w:val="center"/>
        <w:rPr>
          <w:rFonts w:eastAsiaTheme="minorEastAsia"/>
          <w:color w:val="000000" w:themeColor="text1"/>
          <w:szCs w:val="21"/>
        </w:rPr>
      </w:pPr>
      <w:r w:rsidRPr="00473486">
        <w:rPr>
          <w:rFonts w:eastAsiaTheme="minorEastAsia"/>
          <w:color w:val="000000" w:themeColor="text1"/>
          <w:szCs w:val="21"/>
        </w:rPr>
        <w:t>上投摩根</w:t>
      </w:r>
      <w:r w:rsidRPr="00473486">
        <w:rPr>
          <w:rFonts w:eastAsiaTheme="minorEastAsia"/>
          <w:color w:val="000000" w:themeColor="text1"/>
          <w:szCs w:val="21"/>
        </w:rPr>
        <w:t>MSCI</w:t>
      </w:r>
      <w:r w:rsidRPr="00473486">
        <w:rPr>
          <w:rFonts w:eastAsiaTheme="minorEastAsia"/>
          <w:color w:val="000000" w:themeColor="text1"/>
          <w:szCs w:val="21"/>
        </w:rPr>
        <w:t>中国</w:t>
      </w:r>
      <w:r w:rsidRPr="00473486">
        <w:rPr>
          <w:rFonts w:eastAsiaTheme="minorEastAsia"/>
          <w:color w:val="000000" w:themeColor="text1"/>
          <w:szCs w:val="21"/>
        </w:rPr>
        <w:t>A</w:t>
      </w:r>
      <w:r w:rsidRPr="00473486">
        <w:rPr>
          <w:rFonts w:eastAsiaTheme="minorEastAsia"/>
          <w:color w:val="000000" w:themeColor="text1"/>
          <w:szCs w:val="21"/>
        </w:rPr>
        <w:t>股交易型开放式指数证券投资基金</w:t>
      </w:r>
    </w:p>
    <w:p w:rsidR="00881A82" w:rsidRPr="00473486" w:rsidRDefault="007D1E3A">
      <w:pPr>
        <w:pStyle w:val="a9"/>
        <w:snapToGrid w:val="0"/>
        <w:spacing w:line="360" w:lineRule="auto"/>
        <w:jc w:val="center"/>
        <w:rPr>
          <w:rFonts w:ascii="Times New Roman" w:eastAsiaTheme="minorEastAsia" w:hAnsi="Times New Roman"/>
          <w:color w:val="000000" w:themeColor="text1"/>
        </w:rPr>
      </w:pPr>
      <w:r w:rsidRPr="00473486">
        <w:rPr>
          <w:rFonts w:ascii="Times New Roman" w:eastAsiaTheme="minorEastAsia" w:hAnsi="Times New Roman"/>
          <w:color w:val="000000" w:themeColor="text1"/>
        </w:rPr>
        <w:t>累计净值增长率与业绩比较基准收益率历史走势对比图</w:t>
      </w:r>
    </w:p>
    <w:p w:rsidR="00881A82" w:rsidRPr="00473486" w:rsidRDefault="007D1E3A">
      <w:pPr>
        <w:spacing w:line="360" w:lineRule="auto"/>
        <w:jc w:val="center"/>
        <w:rPr>
          <w:rFonts w:eastAsiaTheme="minorEastAsia"/>
          <w:color w:val="000000" w:themeColor="text1"/>
          <w:szCs w:val="21"/>
        </w:rPr>
      </w:pPr>
      <w:r w:rsidRPr="00473486">
        <w:rPr>
          <w:rFonts w:eastAsiaTheme="minorEastAsia"/>
          <w:color w:val="000000" w:themeColor="text1"/>
          <w:kern w:val="0"/>
          <w:szCs w:val="21"/>
        </w:rPr>
        <w:t>（</w:t>
      </w:r>
      <w:r w:rsidRPr="00473486">
        <w:rPr>
          <w:rFonts w:eastAsiaTheme="minorEastAsia"/>
          <w:color w:val="000000" w:themeColor="text1"/>
          <w:kern w:val="0"/>
          <w:szCs w:val="21"/>
        </w:rPr>
        <w:t>2020</w:t>
      </w:r>
      <w:r w:rsidRPr="00473486">
        <w:rPr>
          <w:rFonts w:eastAsiaTheme="minorEastAsia"/>
          <w:color w:val="000000" w:themeColor="text1"/>
          <w:kern w:val="0"/>
          <w:szCs w:val="21"/>
        </w:rPr>
        <w:t>年</w:t>
      </w:r>
      <w:r w:rsidRPr="00473486">
        <w:rPr>
          <w:rFonts w:eastAsiaTheme="minorEastAsia"/>
          <w:color w:val="000000" w:themeColor="text1"/>
          <w:kern w:val="0"/>
          <w:szCs w:val="21"/>
        </w:rPr>
        <w:t>5</w:t>
      </w:r>
      <w:r w:rsidRPr="00473486">
        <w:rPr>
          <w:rFonts w:eastAsiaTheme="minorEastAsia"/>
          <w:color w:val="000000" w:themeColor="text1"/>
          <w:kern w:val="0"/>
          <w:szCs w:val="21"/>
        </w:rPr>
        <w:t>月</w:t>
      </w:r>
      <w:r w:rsidRPr="00473486">
        <w:rPr>
          <w:rFonts w:eastAsiaTheme="minorEastAsia"/>
          <w:color w:val="000000" w:themeColor="text1"/>
          <w:kern w:val="0"/>
          <w:szCs w:val="21"/>
        </w:rPr>
        <w:t>13</w:t>
      </w:r>
      <w:r w:rsidRPr="00473486">
        <w:rPr>
          <w:rFonts w:eastAsiaTheme="minorEastAsia"/>
          <w:color w:val="000000" w:themeColor="text1"/>
          <w:kern w:val="0"/>
          <w:szCs w:val="21"/>
        </w:rPr>
        <w:t>日至</w:t>
      </w:r>
      <w:r w:rsidRPr="00473486">
        <w:rPr>
          <w:rFonts w:eastAsiaTheme="minorEastAsia"/>
          <w:color w:val="000000" w:themeColor="text1"/>
          <w:kern w:val="0"/>
          <w:szCs w:val="21"/>
        </w:rPr>
        <w:t>2022</w:t>
      </w:r>
      <w:r w:rsidRPr="00473486">
        <w:rPr>
          <w:rFonts w:eastAsiaTheme="minorEastAsia"/>
          <w:color w:val="000000" w:themeColor="text1"/>
          <w:kern w:val="0"/>
          <w:szCs w:val="21"/>
        </w:rPr>
        <w:t>年</w:t>
      </w:r>
      <w:r w:rsidRPr="00473486">
        <w:rPr>
          <w:rFonts w:eastAsiaTheme="minorEastAsia"/>
          <w:color w:val="000000" w:themeColor="text1"/>
          <w:kern w:val="0"/>
          <w:szCs w:val="21"/>
        </w:rPr>
        <w:t>3</w:t>
      </w:r>
      <w:r w:rsidRPr="00473486">
        <w:rPr>
          <w:rFonts w:eastAsiaTheme="minorEastAsia"/>
          <w:color w:val="000000" w:themeColor="text1"/>
          <w:kern w:val="0"/>
          <w:szCs w:val="21"/>
        </w:rPr>
        <w:t>月</w:t>
      </w:r>
      <w:r w:rsidRPr="00473486">
        <w:rPr>
          <w:rFonts w:eastAsiaTheme="minorEastAsia"/>
          <w:color w:val="000000" w:themeColor="text1"/>
          <w:kern w:val="0"/>
          <w:szCs w:val="21"/>
        </w:rPr>
        <w:t>31</w:t>
      </w:r>
      <w:r w:rsidRPr="00473486">
        <w:rPr>
          <w:rFonts w:eastAsiaTheme="minorEastAsia"/>
          <w:color w:val="000000" w:themeColor="text1"/>
          <w:kern w:val="0"/>
          <w:szCs w:val="21"/>
        </w:rPr>
        <w:t>日）</w:t>
      </w:r>
    </w:p>
    <w:p w:rsidR="00881A82" w:rsidRPr="00473486" w:rsidRDefault="00BA39A9">
      <w:pPr>
        <w:tabs>
          <w:tab w:val="left" w:pos="1800"/>
        </w:tabs>
        <w:spacing w:line="360" w:lineRule="auto"/>
        <w:jc w:val="center"/>
        <w:rPr>
          <w:rFonts w:eastAsiaTheme="minorEastAsia"/>
          <w:color w:val="000000" w:themeColor="text1"/>
          <w:sz w:val="24"/>
        </w:rPr>
      </w:pPr>
      <w:r>
        <w:rPr>
          <w:noProof/>
        </w:rPr>
        <w:drawing>
          <wp:inline distT="0" distB="0" distL="0" distR="0" wp14:anchorId="049C6AC4" wp14:editId="7FB8A070">
            <wp:extent cx="5276850" cy="3086100"/>
            <wp:effectExtent l="0" t="0" r="0" b="0"/>
            <wp:docPr id="2" name="图片 2" descr="D:\浏览器下载\走势图柱状图\走势图1.jpg"/>
            <wp:cNvGraphicFramePr/>
            <a:graphic xmlns:a="http://schemas.openxmlformats.org/drawingml/2006/main">
              <a:graphicData uri="http://schemas.openxmlformats.org/drawingml/2006/picture">
                <pic:pic xmlns:pic="http://schemas.openxmlformats.org/drawingml/2006/picture">
                  <pic:nvPicPr>
                    <pic:cNvPr id="1" name="图片 1" descr="D:\浏览器下载\走势图柱状图\走势图1.jpg"/>
                    <pic:cNvPicPr/>
                  </pic:nvPicPr>
                  <pic:blipFill>
                    <a:blip r:embed="rId9">
                      <a:extLst>
                        <a:ext uri="{28A0092B-C50C-407E-A947-70E740481C1C}">
                          <a14:useLocalDpi xmlns:a14="http://schemas.microsoft.com/office/drawing/2010/main" val="0"/>
                        </a:ext>
                      </a:extLst>
                    </a:blip>
                    <a:srcRect/>
                    <a:stretch>
                      <a:fillRect/>
                    </a:stretch>
                  </pic:blipFill>
                  <pic:spPr>
                    <a:xfrm>
                      <a:off x="0" y="0"/>
                      <a:ext cx="5276850" cy="3086100"/>
                    </a:xfrm>
                    <a:prstGeom prst="rect">
                      <a:avLst/>
                    </a:prstGeom>
                    <a:noFill/>
                    <a:ln>
                      <a:noFill/>
                    </a:ln>
                  </pic:spPr>
                </pic:pic>
              </a:graphicData>
            </a:graphic>
          </wp:inline>
        </w:drawing>
      </w:r>
    </w:p>
    <w:p w:rsidR="0045275A" w:rsidRDefault="00BA39A9">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w:t>
      </w:r>
      <w:r>
        <w:rPr>
          <w:rFonts w:eastAsiaTheme="minorEastAsia"/>
          <w:color w:val="000000" w:themeColor="text1"/>
          <w:szCs w:val="21"/>
        </w:rPr>
        <w:t>13</w:t>
      </w:r>
      <w:r>
        <w:rPr>
          <w:rFonts w:eastAsiaTheme="minorEastAsia"/>
          <w:color w:val="000000" w:themeColor="text1"/>
          <w:szCs w:val="21"/>
        </w:rPr>
        <w:t>日，图示的时间段为合同生效日至本报告期末。</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本基金建仓期为本基金合同生效日起</w:t>
      </w:r>
      <w:r w:rsidRPr="00473486">
        <w:rPr>
          <w:rFonts w:eastAsiaTheme="minorEastAsia"/>
          <w:color w:val="000000" w:themeColor="text1"/>
          <w:szCs w:val="21"/>
        </w:rPr>
        <w:t xml:space="preserve"> 6 </w:t>
      </w:r>
      <w:r w:rsidRPr="00473486">
        <w:rPr>
          <w:rFonts w:eastAsiaTheme="minorEastAsia"/>
          <w:color w:val="000000" w:themeColor="text1"/>
          <w:szCs w:val="21"/>
        </w:rPr>
        <w:t>个月，建仓期结束时资产配置比例符合本基金基金合同规定。</w:t>
      </w:r>
    </w:p>
    <w:p w:rsidR="00881A82" w:rsidRPr="00473486" w:rsidRDefault="00881A82">
      <w:pPr>
        <w:pStyle w:val="a9"/>
        <w:snapToGrid w:val="0"/>
        <w:spacing w:before="120" w:line="360" w:lineRule="auto"/>
        <w:jc w:val="center"/>
        <w:rPr>
          <w:rFonts w:ascii="Times New Roman" w:eastAsiaTheme="minorEastAsia" w:hAnsi="Times New Roman"/>
          <w:color w:val="000000" w:themeColor="text1"/>
          <w:sz w:val="24"/>
          <w:szCs w:val="24"/>
        </w:rPr>
      </w:pPr>
    </w:p>
    <w:p w:rsidR="00881A82" w:rsidRPr="00473486" w:rsidRDefault="00881A82">
      <w:pPr>
        <w:tabs>
          <w:tab w:val="left" w:pos="1800"/>
        </w:tabs>
        <w:spacing w:line="288" w:lineRule="auto"/>
        <w:rPr>
          <w:rFonts w:eastAsiaTheme="minorEastAsia"/>
          <w:color w:val="000000" w:themeColor="text1"/>
          <w:szCs w:val="21"/>
        </w:rPr>
      </w:pPr>
    </w:p>
    <w:p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§4  </w:t>
      </w:r>
      <w:r w:rsidRPr="00473486">
        <w:rPr>
          <w:rFonts w:eastAsiaTheme="minorEastAsia"/>
          <w:color w:val="000000" w:themeColor="text1"/>
          <w:kern w:val="0"/>
          <w:sz w:val="24"/>
          <w:szCs w:val="24"/>
        </w:rPr>
        <w:t>管理人报告</w:t>
      </w: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4.1 </w:t>
      </w:r>
      <w:r w:rsidRPr="00473486">
        <w:rPr>
          <w:rFonts w:eastAsiaTheme="minor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560"/>
        <w:gridCol w:w="1559"/>
        <w:gridCol w:w="1417"/>
        <w:gridCol w:w="2694"/>
      </w:tblGrid>
      <w:tr w:rsidR="00881A82" w:rsidRPr="00473486">
        <w:trPr>
          <w:cantSplit/>
          <w:trHeight w:val="292"/>
        </w:trPr>
        <w:tc>
          <w:tcPr>
            <w:tcW w:w="851" w:type="dxa"/>
            <w:vMerge w:val="restart"/>
            <w:vAlign w:val="center"/>
          </w:tcPr>
          <w:p w:rsidR="00881A82" w:rsidRPr="00473486" w:rsidRDefault="007D1E3A">
            <w:pPr>
              <w:widowControl/>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姓名</w:t>
            </w:r>
          </w:p>
        </w:tc>
        <w:tc>
          <w:tcPr>
            <w:tcW w:w="850" w:type="dxa"/>
            <w:vMerge w:val="restart"/>
            <w:vAlign w:val="center"/>
          </w:tcPr>
          <w:p w:rsidR="00881A82" w:rsidRPr="00473486" w:rsidRDefault="007D1E3A">
            <w:pPr>
              <w:widowControl/>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职务</w:t>
            </w:r>
          </w:p>
        </w:tc>
        <w:tc>
          <w:tcPr>
            <w:tcW w:w="3119" w:type="dxa"/>
            <w:gridSpan w:val="2"/>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任本基金的基金经理期限</w:t>
            </w:r>
          </w:p>
        </w:tc>
        <w:tc>
          <w:tcPr>
            <w:tcW w:w="1417" w:type="dxa"/>
            <w:vMerge w:val="restart"/>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证券从业年限</w:t>
            </w:r>
          </w:p>
        </w:tc>
        <w:tc>
          <w:tcPr>
            <w:tcW w:w="2694" w:type="dxa"/>
            <w:vMerge w:val="restart"/>
            <w:vAlign w:val="center"/>
          </w:tcPr>
          <w:p w:rsidR="00881A82" w:rsidRPr="00473486" w:rsidRDefault="007D1E3A">
            <w:pPr>
              <w:widowControl/>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说明</w:t>
            </w:r>
          </w:p>
        </w:tc>
      </w:tr>
      <w:tr w:rsidR="00881A82" w:rsidRPr="00473486">
        <w:trPr>
          <w:cantSplit/>
        </w:trPr>
        <w:tc>
          <w:tcPr>
            <w:tcW w:w="851" w:type="dxa"/>
            <w:vMerge/>
            <w:vAlign w:val="center"/>
          </w:tcPr>
          <w:p w:rsidR="00881A82" w:rsidRPr="00473486" w:rsidRDefault="00881A82">
            <w:pPr>
              <w:widowControl/>
              <w:spacing w:line="360" w:lineRule="auto"/>
              <w:jc w:val="left"/>
              <w:rPr>
                <w:rFonts w:eastAsiaTheme="minorEastAsia"/>
                <w:color w:val="000000" w:themeColor="text1"/>
                <w:kern w:val="0"/>
                <w:szCs w:val="21"/>
              </w:rPr>
            </w:pPr>
          </w:p>
        </w:tc>
        <w:tc>
          <w:tcPr>
            <w:tcW w:w="850" w:type="dxa"/>
            <w:vMerge/>
            <w:vAlign w:val="center"/>
          </w:tcPr>
          <w:p w:rsidR="00881A82" w:rsidRPr="00473486" w:rsidRDefault="00881A82">
            <w:pPr>
              <w:widowControl/>
              <w:spacing w:line="360" w:lineRule="auto"/>
              <w:jc w:val="left"/>
              <w:rPr>
                <w:rFonts w:eastAsiaTheme="minorEastAsia"/>
                <w:color w:val="000000" w:themeColor="text1"/>
                <w:kern w:val="0"/>
                <w:szCs w:val="21"/>
              </w:rPr>
            </w:pPr>
          </w:p>
        </w:tc>
        <w:tc>
          <w:tcPr>
            <w:tcW w:w="1560"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任职日期</w:t>
            </w:r>
          </w:p>
        </w:tc>
        <w:tc>
          <w:tcPr>
            <w:tcW w:w="1559"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离任日期</w:t>
            </w:r>
          </w:p>
        </w:tc>
        <w:tc>
          <w:tcPr>
            <w:tcW w:w="1417" w:type="dxa"/>
            <w:vMerge/>
            <w:vAlign w:val="center"/>
          </w:tcPr>
          <w:p w:rsidR="00881A82" w:rsidRPr="00473486" w:rsidRDefault="00881A82">
            <w:pPr>
              <w:widowControl/>
              <w:spacing w:line="360" w:lineRule="auto"/>
              <w:jc w:val="left"/>
              <w:rPr>
                <w:rFonts w:eastAsiaTheme="minorEastAsia"/>
                <w:color w:val="000000" w:themeColor="text1"/>
                <w:kern w:val="0"/>
                <w:szCs w:val="21"/>
              </w:rPr>
            </w:pPr>
          </w:p>
        </w:tc>
        <w:tc>
          <w:tcPr>
            <w:tcW w:w="2694" w:type="dxa"/>
            <w:vMerge/>
            <w:vAlign w:val="center"/>
          </w:tcPr>
          <w:p w:rsidR="00881A82" w:rsidRPr="00473486" w:rsidRDefault="00881A82">
            <w:pPr>
              <w:widowControl/>
              <w:spacing w:line="360" w:lineRule="auto"/>
              <w:jc w:val="left"/>
              <w:rPr>
                <w:rFonts w:eastAsiaTheme="minorEastAsia"/>
                <w:color w:val="000000" w:themeColor="text1"/>
                <w:kern w:val="0"/>
                <w:szCs w:val="21"/>
              </w:rPr>
            </w:pPr>
          </w:p>
        </w:tc>
      </w:tr>
      <w:tr w:rsidR="0045275A">
        <w:tc>
          <w:tcPr>
            <w:tcW w:w="851" w:type="dxa"/>
            <w:vAlign w:val="center"/>
          </w:tcPr>
          <w:p w:rsidR="0045275A" w:rsidRDefault="00BA39A9">
            <w:pPr>
              <w:jc w:val="center"/>
            </w:pPr>
            <w:r>
              <w:rPr>
                <w:rFonts w:eastAsiaTheme="minorEastAsia"/>
                <w:color w:val="000000" w:themeColor="text1"/>
                <w:szCs w:val="21"/>
              </w:rPr>
              <w:t>胡迪</w:t>
            </w:r>
          </w:p>
        </w:tc>
        <w:tc>
          <w:tcPr>
            <w:tcW w:w="850" w:type="dxa"/>
            <w:vAlign w:val="center"/>
          </w:tcPr>
          <w:p w:rsidR="0045275A" w:rsidRDefault="00BA39A9">
            <w:pPr>
              <w:jc w:val="center"/>
            </w:pPr>
            <w:r>
              <w:rPr>
                <w:rFonts w:eastAsiaTheme="minorEastAsia"/>
                <w:color w:val="000000" w:themeColor="text1"/>
                <w:szCs w:val="21"/>
              </w:rPr>
              <w:t>本基金基金经理、指数及量化投资部总监</w:t>
            </w:r>
          </w:p>
        </w:tc>
        <w:tc>
          <w:tcPr>
            <w:tcW w:w="1560" w:type="dxa"/>
            <w:vAlign w:val="center"/>
          </w:tcPr>
          <w:p w:rsidR="0045275A" w:rsidRDefault="00BA39A9">
            <w:pPr>
              <w:jc w:val="center"/>
            </w:pPr>
            <w:r>
              <w:rPr>
                <w:rFonts w:eastAsiaTheme="minorEastAsia"/>
                <w:color w:val="000000" w:themeColor="text1"/>
                <w:szCs w:val="21"/>
              </w:rPr>
              <w:t>2021-01-07</w:t>
            </w:r>
          </w:p>
        </w:tc>
        <w:tc>
          <w:tcPr>
            <w:tcW w:w="1559" w:type="dxa"/>
            <w:vAlign w:val="center"/>
          </w:tcPr>
          <w:p w:rsidR="0045275A" w:rsidRDefault="00BA39A9">
            <w:pPr>
              <w:jc w:val="center"/>
            </w:pPr>
            <w:r>
              <w:rPr>
                <w:rFonts w:eastAsiaTheme="minorEastAsia"/>
                <w:color w:val="000000" w:themeColor="text1"/>
                <w:szCs w:val="21"/>
              </w:rPr>
              <w:t>-</w:t>
            </w:r>
          </w:p>
        </w:tc>
        <w:tc>
          <w:tcPr>
            <w:tcW w:w="1417" w:type="dxa"/>
            <w:vAlign w:val="center"/>
          </w:tcPr>
          <w:p w:rsidR="0045275A" w:rsidRDefault="00BA39A9">
            <w:pPr>
              <w:jc w:val="center"/>
            </w:pPr>
            <w:r>
              <w:rPr>
                <w:rFonts w:eastAsiaTheme="minorEastAsia"/>
                <w:color w:val="000000" w:themeColor="text1"/>
                <w:szCs w:val="21"/>
              </w:rPr>
              <w:t>14</w:t>
            </w:r>
            <w:r>
              <w:rPr>
                <w:rFonts w:eastAsiaTheme="minorEastAsia"/>
                <w:color w:val="000000" w:themeColor="text1"/>
                <w:szCs w:val="21"/>
              </w:rPr>
              <w:t>年</w:t>
            </w:r>
          </w:p>
        </w:tc>
        <w:tc>
          <w:tcPr>
            <w:tcW w:w="2694" w:type="dxa"/>
            <w:vAlign w:val="center"/>
          </w:tcPr>
          <w:p w:rsidR="0045275A" w:rsidRDefault="00BA39A9">
            <w:r>
              <w:rPr>
                <w:rFonts w:eastAsiaTheme="minorEastAsia"/>
                <w:color w:val="000000" w:themeColor="text1"/>
                <w:szCs w:val="21"/>
              </w:rPr>
              <w:t>胡迪女士，</w:t>
            </w:r>
            <w:r>
              <w:rPr>
                <w:rFonts w:eastAsiaTheme="minorEastAsia"/>
                <w:color w:val="000000" w:themeColor="text1"/>
                <w:szCs w:val="21"/>
              </w:rPr>
              <w:t>CFA</w:t>
            </w:r>
            <w:r>
              <w:rPr>
                <w:rFonts w:eastAsiaTheme="minorEastAsia"/>
                <w:color w:val="000000" w:themeColor="text1"/>
                <w:szCs w:val="21"/>
              </w:rPr>
              <w:t>，</w:t>
            </w:r>
            <w:r>
              <w:rPr>
                <w:rFonts w:eastAsiaTheme="minorEastAsia"/>
                <w:color w:val="000000" w:themeColor="text1"/>
                <w:szCs w:val="21"/>
              </w:rPr>
              <w:t>FRM</w:t>
            </w:r>
            <w:r>
              <w:rPr>
                <w:rFonts w:eastAsiaTheme="minorEastAsia"/>
                <w:color w:val="000000" w:themeColor="text1"/>
                <w:szCs w:val="21"/>
              </w:rPr>
              <w:t>，美国哥伦比亚大学金融工程硕士，现任指数及量化投资部总监。胡迪女士自</w:t>
            </w:r>
            <w:r>
              <w:rPr>
                <w:rFonts w:eastAsiaTheme="minorEastAsia"/>
                <w:color w:val="000000" w:themeColor="text1"/>
                <w:szCs w:val="21"/>
              </w:rPr>
              <w:t>2008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月至</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月在纽约美林证券担任全球资产管理部高级经理；自</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月至</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月在纽约标准普尔担任量化投资主管；自</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月在中国国际金融股份有限公司担任资产管理部执行总经理；自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月加入上投摩根基金管理有限公司，现任指数及量化投资部总监，自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起同时担任上投摩根量化多因子灵活配置混合型证券投资基金、上投摩根优选多因子股票型证券投资基金、上投摩根动态多因子策略灵活配置混合型证券投资基金、上投摩根中证消费服务领先指数证券投资基金、上投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股交易型开放式指数证券投资基金、上投摩根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股交易型开放式指数证券投资基金联接基金、上投摩根标普港股通低波红利指数型证券投资基金基金经理</w:t>
            </w:r>
            <w:r>
              <w:rPr>
                <w:rFonts w:eastAsiaTheme="minorEastAsia"/>
                <w:color w:val="000000" w:themeColor="text1"/>
                <w:szCs w:val="21"/>
              </w:rPr>
              <w:t>,</w:t>
            </w:r>
            <w:r>
              <w:rPr>
                <w:rFonts w:eastAsiaTheme="minorEastAsia"/>
                <w:color w:val="000000" w:themeColor="text1"/>
                <w:szCs w:val="21"/>
              </w:rPr>
              <w:t>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月起同时担任上投摩根富时发达市场</w:t>
            </w:r>
            <w:r>
              <w:rPr>
                <w:rFonts w:eastAsiaTheme="minorEastAsia"/>
                <w:color w:val="000000" w:themeColor="text1"/>
                <w:szCs w:val="21"/>
              </w:rPr>
              <w:t>REITs</w:t>
            </w:r>
            <w:r>
              <w:rPr>
                <w:rFonts w:eastAsiaTheme="minorEastAsia"/>
                <w:color w:val="000000" w:themeColor="text1"/>
                <w:szCs w:val="21"/>
              </w:rPr>
              <w:t>指数型证券投资基金（</w:t>
            </w:r>
            <w:r>
              <w:rPr>
                <w:rFonts w:eastAsiaTheme="minorEastAsia"/>
                <w:color w:val="000000" w:themeColor="text1"/>
                <w:szCs w:val="21"/>
              </w:rPr>
              <w:t>QDII)</w:t>
            </w:r>
            <w:r>
              <w:rPr>
                <w:rFonts w:eastAsiaTheme="minorEastAsia"/>
                <w:color w:val="000000" w:themeColor="text1"/>
                <w:szCs w:val="21"/>
              </w:rPr>
              <w:t>、上投摩根中证沪港深科技</w:t>
            </w:r>
            <w:r>
              <w:rPr>
                <w:rFonts w:eastAsiaTheme="minorEastAsia"/>
                <w:color w:val="000000" w:themeColor="text1"/>
                <w:szCs w:val="21"/>
              </w:rPr>
              <w:t>100</w:t>
            </w:r>
            <w:r>
              <w:rPr>
                <w:rFonts w:eastAsiaTheme="minorEastAsia"/>
                <w:color w:val="000000" w:themeColor="text1"/>
                <w:szCs w:val="21"/>
              </w:rPr>
              <w:t>交易型开放式指数证券投资基金基金经理，自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月起同时担任上投摩根恒生科技交易型开放式指数证券投资基金（</w:t>
            </w:r>
            <w:r>
              <w:rPr>
                <w:rFonts w:eastAsiaTheme="minorEastAsia"/>
                <w:color w:val="000000" w:themeColor="text1"/>
                <w:szCs w:val="21"/>
              </w:rPr>
              <w:t>QDII</w:t>
            </w:r>
            <w:r>
              <w:rPr>
                <w:rFonts w:eastAsiaTheme="minorEastAsia"/>
                <w:color w:val="000000" w:themeColor="text1"/>
                <w:szCs w:val="21"/>
              </w:rPr>
              <w:t>）基金经理。</w:t>
            </w:r>
          </w:p>
        </w:tc>
      </w:tr>
      <w:tr w:rsidR="0045275A">
        <w:tc>
          <w:tcPr>
            <w:tcW w:w="851" w:type="dxa"/>
            <w:vAlign w:val="center"/>
          </w:tcPr>
          <w:p w:rsidR="0045275A" w:rsidRDefault="00BA39A9">
            <w:pPr>
              <w:jc w:val="center"/>
            </w:pPr>
            <w:r>
              <w:rPr>
                <w:rFonts w:eastAsiaTheme="minorEastAsia"/>
                <w:color w:val="000000" w:themeColor="text1"/>
                <w:szCs w:val="21"/>
              </w:rPr>
              <w:t>何智豪</w:t>
            </w:r>
          </w:p>
        </w:tc>
        <w:tc>
          <w:tcPr>
            <w:tcW w:w="850" w:type="dxa"/>
            <w:vAlign w:val="center"/>
          </w:tcPr>
          <w:p w:rsidR="0045275A" w:rsidRDefault="00BA39A9">
            <w:pPr>
              <w:jc w:val="center"/>
            </w:pPr>
            <w:r>
              <w:rPr>
                <w:rFonts w:eastAsiaTheme="minorEastAsia"/>
                <w:color w:val="000000" w:themeColor="text1"/>
                <w:szCs w:val="21"/>
              </w:rPr>
              <w:t>本基金基金经理</w:t>
            </w:r>
          </w:p>
        </w:tc>
        <w:tc>
          <w:tcPr>
            <w:tcW w:w="1560" w:type="dxa"/>
            <w:vAlign w:val="center"/>
          </w:tcPr>
          <w:p w:rsidR="0045275A" w:rsidRDefault="00BA39A9">
            <w:pPr>
              <w:jc w:val="center"/>
            </w:pPr>
            <w:r>
              <w:rPr>
                <w:rFonts w:eastAsiaTheme="minorEastAsia"/>
                <w:color w:val="000000" w:themeColor="text1"/>
                <w:szCs w:val="21"/>
              </w:rPr>
              <w:t>2021-02-19</w:t>
            </w:r>
          </w:p>
        </w:tc>
        <w:tc>
          <w:tcPr>
            <w:tcW w:w="1559" w:type="dxa"/>
            <w:vAlign w:val="center"/>
          </w:tcPr>
          <w:p w:rsidR="0045275A" w:rsidRDefault="00BA39A9">
            <w:pPr>
              <w:jc w:val="center"/>
            </w:pPr>
            <w:r>
              <w:rPr>
                <w:rFonts w:eastAsiaTheme="minorEastAsia"/>
                <w:color w:val="000000" w:themeColor="text1"/>
                <w:szCs w:val="21"/>
              </w:rPr>
              <w:t>-</w:t>
            </w:r>
          </w:p>
        </w:tc>
        <w:tc>
          <w:tcPr>
            <w:tcW w:w="1417" w:type="dxa"/>
            <w:vAlign w:val="center"/>
          </w:tcPr>
          <w:p w:rsidR="0045275A" w:rsidRDefault="00BA39A9">
            <w:pPr>
              <w:jc w:val="center"/>
            </w:pPr>
            <w:r>
              <w:rPr>
                <w:rFonts w:eastAsiaTheme="minorEastAsia"/>
                <w:color w:val="000000" w:themeColor="text1"/>
                <w:szCs w:val="21"/>
              </w:rPr>
              <w:t>8</w:t>
            </w:r>
            <w:r>
              <w:rPr>
                <w:rFonts w:eastAsiaTheme="minorEastAsia"/>
                <w:color w:val="000000" w:themeColor="text1"/>
                <w:szCs w:val="21"/>
              </w:rPr>
              <w:t>年</w:t>
            </w:r>
          </w:p>
        </w:tc>
        <w:tc>
          <w:tcPr>
            <w:tcW w:w="2694" w:type="dxa"/>
            <w:vAlign w:val="center"/>
          </w:tcPr>
          <w:p w:rsidR="0045275A" w:rsidRDefault="00BA39A9">
            <w:r>
              <w:rPr>
                <w:rFonts w:eastAsiaTheme="minorEastAsia"/>
                <w:color w:val="000000" w:themeColor="text1"/>
                <w:szCs w:val="21"/>
              </w:rPr>
              <w:t>何智豪先生，复旦大学应用数学硕士，现任指数及量化投资部基金经理。何智豪先生自</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月，在中国国际金融股份有限公司担任组合与量化策略研究员、资产管理部高级经理；自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月起加入上投摩根基金管理有限公司。自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月起同时担任上投摩根量化多因子灵活配置混合型证券投资基金、上投摩根优选多因子股票型证券投资基金、上投摩根中证消费服务领先指数证券投资基金、上投摩根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股交易型开放式指数证券投资基金、上投摩根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股交易型开放式指数证券投资基金联接基金、上投摩根标普港股通低波红利指数型证券投资基金基金经理，自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月起同时担任上投摩根中证沪港深科技</w:t>
            </w:r>
            <w:r>
              <w:rPr>
                <w:rFonts w:eastAsiaTheme="minorEastAsia"/>
                <w:color w:val="000000" w:themeColor="text1"/>
                <w:szCs w:val="21"/>
              </w:rPr>
              <w:t>100</w:t>
            </w:r>
            <w:r>
              <w:rPr>
                <w:rFonts w:eastAsiaTheme="minorEastAsia"/>
                <w:color w:val="000000" w:themeColor="text1"/>
                <w:szCs w:val="21"/>
              </w:rPr>
              <w:t>交易型开放式指数证券投资基金、上投摩根恒生科技交易型开放式指数证券投资基金（</w:t>
            </w:r>
            <w:r>
              <w:rPr>
                <w:rFonts w:eastAsiaTheme="minorEastAsia"/>
                <w:color w:val="000000" w:themeColor="text1"/>
                <w:szCs w:val="21"/>
              </w:rPr>
              <w:t>QDII</w:t>
            </w:r>
            <w:r>
              <w:rPr>
                <w:rFonts w:eastAsiaTheme="minorEastAsia"/>
                <w:color w:val="000000" w:themeColor="text1"/>
                <w:szCs w:val="21"/>
              </w:rPr>
              <w:t>）基金经理。</w:t>
            </w:r>
          </w:p>
        </w:tc>
      </w:tr>
    </w:tbl>
    <w:p w:rsidR="0045275A" w:rsidRDefault="00BA39A9">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2.</w:t>
      </w:r>
      <w:r w:rsidRPr="00473486">
        <w:rPr>
          <w:rFonts w:eastAsiaTheme="minorEastAsia"/>
          <w:color w:val="000000" w:themeColor="text1"/>
          <w:szCs w:val="21"/>
        </w:rPr>
        <w:t>证券从业的含义遵从行业协会《证券业从业人员资格管理办法》的相关规定。</w:t>
      </w: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4.2</w:t>
      </w:r>
      <w:r w:rsidRPr="00473486">
        <w:rPr>
          <w:b/>
          <w:color w:val="000000"/>
          <w:sz w:val="24"/>
          <w:shd w:val="clear" w:color="auto" w:fill="FFFFFF"/>
        </w:rPr>
        <w:t>管理人对报告期内本基金运作遵规守信情况的说明</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在本报告期内，基金管理人不存在损害基金份额持有人利益的行为，勤勉尽责地为基金份额持有人谋求利益。基金管理人遵守了《证券投资基金法》及其他有关法律法规、《上投摩根</w:t>
      </w:r>
      <w:r w:rsidRPr="00473486">
        <w:rPr>
          <w:rFonts w:eastAsiaTheme="minorEastAsia"/>
          <w:color w:val="000000" w:themeColor="text1"/>
          <w:szCs w:val="21"/>
        </w:rPr>
        <w:t>MSCI</w:t>
      </w:r>
      <w:r w:rsidRPr="00473486">
        <w:rPr>
          <w:rFonts w:eastAsiaTheme="minorEastAsia"/>
          <w:color w:val="000000" w:themeColor="text1"/>
          <w:szCs w:val="21"/>
        </w:rPr>
        <w:t>中国</w:t>
      </w:r>
      <w:r w:rsidRPr="00473486">
        <w:rPr>
          <w:rFonts w:eastAsiaTheme="minorEastAsia"/>
          <w:color w:val="000000" w:themeColor="text1"/>
          <w:szCs w:val="21"/>
        </w:rPr>
        <w:t>A</w:t>
      </w:r>
      <w:r w:rsidRPr="00473486">
        <w:rPr>
          <w:rFonts w:eastAsiaTheme="minorEastAsia"/>
          <w:color w:val="000000" w:themeColor="text1"/>
          <w:szCs w:val="21"/>
        </w:rPr>
        <w:t>股交易型开放式指数证券投资基金基金合同》的规定。基金经理对个股和投资组合的比例遵循了投资决策委员会的授权限制，基金投资比例符合基金合同和法律法规的要求。</w:t>
      </w:r>
    </w:p>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4.3 </w:t>
      </w:r>
      <w:r w:rsidRPr="00473486">
        <w:rPr>
          <w:rFonts w:eastAsiaTheme="minorEastAsia"/>
          <w:b/>
          <w:color w:val="000000" w:themeColor="text1"/>
          <w:kern w:val="0"/>
          <w:sz w:val="24"/>
        </w:rPr>
        <w:t>公平交易专项说明</w:t>
      </w:r>
    </w:p>
    <w:p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 xml:space="preserve">4.3.1 </w:t>
      </w:r>
      <w:r w:rsidRPr="00473486">
        <w:rPr>
          <w:rFonts w:eastAsiaTheme="minorEastAsia"/>
          <w:color w:val="000000" w:themeColor="text1"/>
          <w:szCs w:val="21"/>
        </w:rPr>
        <w:t>公平交易制度的执行情况</w:t>
      </w:r>
    </w:p>
    <w:p w:rsidR="0045275A" w:rsidRDefault="00BA39A9">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45275A" w:rsidRDefault="00BA39A9">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 xml:space="preserve">4.3.2 </w:t>
      </w:r>
      <w:r w:rsidRPr="00473486">
        <w:rPr>
          <w:rFonts w:eastAsiaTheme="minorEastAsia"/>
          <w:color w:val="000000" w:themeColor="text1"/>
          <w:szCs w:val="21"/>
        </w:rPr>
        <w:t>异常交易行为的专项说明</w:t>
      </w:r>
    </w:p>
    <w:p w:rsidR="0045275A" w:rsidRDefault="00BA39A9">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所有投资组合参与的交易所公开竞价同日反向交易成交较少的单边交易量超过该证券当日成交量的</w:t>
      </w:r>
      <w:r w:rsidRPr="00473486">
        <w:rPr>
          <w:rFonts w:eastAsiaTheme="minorEastAsia"/>
          <w:color w:val="000000" w:themeColor="text1"/>
          <w:szCs w:val="21"/>
        </w:rPr>
        <w:t>5%</w:t>
      </w:r>
      <w:r w:rsidRPr="00473486">
        <w:rPr>
          <w:rFonts w:eastAsiaTheme="minorEastAsia"/>
          <w:color w:val="000000" w:themeColor="text1"/>
          <w:szCs w:val="21"/>
        </w:rPr>
        <w:t>的情形：无。</w:t>
      </w:r>
    </w:p>
    <w:p w:rsidR="00881A82" w:rsidRPr="00473486" w:rsidRDefault="00881A82">
      <w:pPr>
        <w:spacing w:line="360" w:lineRule="auto"/>
        <w:ind w:firstLineChars="200" w:firstLine="480"/>
        <w:rPr>
          <w:rFonts w:eastAsiaTheme="minorEastAsia"/>
          <w:color w:val="000000" w:themeColor="text1"/>
          <w:sz w:val="24"/>
        </w:rPr>
      </w:pP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4.4 </w:t>
      </w:r>
      <w:r w:rsidRPr="00473486">
        <w:rPr>
          <w:rFonts w:eastAsiaTheme="minorEastAsia"/>
          <w:b/>
          <w:color w:val="000000" w:themeColor="text1"/>
          <w:kern w:val="0"/>
          <w:sz w:val="24"/>
        </w:rPr>
        <w:t>报告期内基金的投资策略和业绩表现说明</w:t>
      </w:r>
    </w:p>
    <w:p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4.4.1</w:t>
      </w:r>
      <w:r w:rsidRPr="00473486">
        <w:rPr>
          <w:rFonts w:eastAsiaTheme="minorEastAsia"/>
          <w:color w:val="000000" w:themeColor="text1"/>
          <w:szCs w:val="21"/>
        </w:rPr>
        <w:t>报告期内基金投资策略和运作分析</w:t>
      </w:r>
    </w:p>
    <w:p w:rsidR="0045275A" w:rsidRDefault="00BA39A9">
      <w:pPr>
        <w:spacing w:line="360" w:lineRule="auto"/>
        <w:ind w:firstLineChars="200" w:firstLine="420"/>
        <w:rPr>
          <w:rFonts w:eastAsiaTheme="minorEastAsia"/>
          <w:color w:val="000000" w:themeColor="text1"/>
          <w:szCs w:val="21"/>
        </w:rPr>
      </w:pPr>
      <w:r>
        <w:rPr>
          <w:rFonts w:eastAsiaTheme="minorEastAsia"/>
          <w:color w:val="000000" w:themeColor="text1"/>
          <w:szCs w:val="21"/>
        </w:rPr>
        <w:t>一季度，本基金跟踪的</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股指数显著回调，当季收跌</w:t>
      </w:r>
      <w:r>
        <w:rPr>
          <w:rFonts w:eastAsiaTheme="minorEastAsia"/>
          <w:color w:val="000000" w:themeColor="text1"/>
          <w:szCs w:val="21"/>
        </w:rPr>
        <w:t>14.69%</w:t>
      </w:r>
      <w:r>
        <w:rPr>
          <w:rFonts w:eastAsiaTheme="minorEastAsia"/>
          <w:color w:val="000000" w:themeColor="text1"/>
          <w:szCs w:val="21"/>
        </w:rPr>
        <w:t>，同期沪深</w:t>
      </w:r>
      <w:r>
        <w:rPr>
          <w:rFonts w:eastAsiaTheme="minorEastAsia"/>
          <w:color w:val="000000" w:themeColor="text1"/>
          <w:szCs w:val="21"/>
        </w:rPr>
        <w:t>300</w:t>
      </w:r>
      <w:r>
        <w:rPr>
          <w:rFonts w:eastAsiaTheme="minorEastAsia"/>
          <w:color w:val="000000" w:themeColor="text1"/>
          <w:szCs w:val="21"/>
        </w:rPr>
        <w:t>指数收跌</w:t>
      </w:r>
      <w:r>
        <w:rPr>
          <w:rFonts w:eastAsiaTheme="minorEastAsia"/>
          <w:color w:val="000000" w:themeColor="text1"/>
          <w:szCs w:val="21"/>
        </w:rPr>
        <w:t>14.53%</w:t>
      </w:r>
      <w:r>
        <w:rPr>
          <w:rFonts w:eastAsiaTheme="minorEastAsia"/>
          <w:color w:val="000000" w:themeColor="text1"/>
          <w:szCs w:val="21"/>
        </w:rPr>
        <w:t>。季度内，在贸易、企业投资、财政支持下，年初经济增长超预期。但随着新一轮的疫情再起，消费和服务业反弹乏力。</w:t>
      </w:r>
      <w:r>
        <w:rPr>
          <w:rFonts w:eastAsiaTheme="minorEastAsia"/>
          <w:color w:val="000000" w:themeColor="text1"/>
          <w:szCs w:val="21"/>
        </w:rPr>
        <w:t>3</w:t>
      </w:r>
      <w:r>
        <w:rPr>
          <w:rFonts w:eastAsiaTheme="minorEastAsia"/>
          <w:color w:val="000000" w:themeColor="text1"/>
          <w:szCs w:val="21"/>
        </w:rPr>
        <w:t>月国务院金融委会议传达出稳定宏观经济和金融市场的明确信号，市场出现反弹。但地产销售疲弱，叠加北上资金流出、俄乌危机的发展，共同压制了</w:t>
      </w:r>
      <w:r>
        <w:rPr>
          <w:rFonts w:eastAsiaTheme="minorEastAsia"/>
          <w:color w:val="000000" w:themeColor="text1"/>
          <w:szCs w:val="21"/>
        </w:rPr>
        <w:t>A</w:t>
      </w:r>
      <w:r>
        <w:rPr>
          <w:rFonts w:eastAsiaTheme="minorEastAsia"/>
          <w:color w:val="000000" w:themeColor="text1"/>
          <w:szCs w:val="21"/>
        </w:rPr>
        <w:t>股市场。季度内，申万一级行业中，除了银行（</w:t>
      </w:r>
      <w:r>
        <w:rPr>
          <w:rFonts w:eastAsiaTheme="minorEastAsia"/>
          <w:color w:val="000000" w:themeColor="text1"/>
          <w:szCs w:val="21"/>
        </w:rPr>
        <w:t>+1.66%</w:t>
      </w:r>
      <w:r>
        <w:rPr>
          <w:rFonts w:eastAsiaTheme="minorEastAsia"/>
          <w:color w:val="000000" w:themeColor="text1"/>
          <w:szCs w:val="21"/>
        </w:rPr>
        <w:t>）、地产</w:t>
      </w:r>
      <w:r>
        <w:rPr>
          <w:rFonts w:eastAsiaTheme="minorEastAsia"/>
          <w:color w:val="000000" w:themeColor="text1"/>
          <w:szCs w:val="21"/>
        </w:rPr>
        <w:t>(+7.27%)</w:t>
      </w:r>
      <w:r>
        <w:rPr>
          <w:rFonts w:eastAsiaTheme="minorEastAsia"/>
          <w:color w:val="000000" w:themeColor="text1"/>
          <w:szCs w:val="21"/>
        </w:rPr>
        <w:t>以外的板块几乎都收跌，其中，电子、国防军工、汽车、家电领跌，分别下跌</w:t>
      </w:r>
      <w:r>
        <w:rPr>
          <w:rFonts w:eastAsiaTheme="minorEastAsia"/>
          <w:color w:val="000000" w:themeColor="text1"/>
          <w:szCs w:val="21"/>
        </w:rPr>
        <w:t>25.46%</w:t>
      </w:r>
      <w:r>
        <w:rPr>
          <w:rFonts w:eastAsiaTheme="minorEastAsia"/>
          <w:color w:val="000000" w:themeColor="text1"/>
          <w:szCs w:val="21"/>
        </w:rPr>
        <w:t>、</w:t>
      </w:r>
      <w:r>
        <w:rPr>
          <w:rFonts w:eastAsiaTheme="minorEastAsia"/>
          <w:color w:val="000000" w:themeColor="text1"/>
          <w:szCs w:val="21"/>
        </w:rPr>
        <w:t>23.30%</w:t>
      </w:r>
      <w:r>
        <w:rPr>
          <w:rFonts w:eastAsiaTheme="minorEastAsia"/>
          <w:color w:val="000000" w:themeColor="text1"/>
          <w:szCs w:val="21"/>
        </w:rPr>
        <w:t>、</w:t>
      </w:r>
      <w:r>
        <w:rPr>
          <w:rFonts w:eastAsiaTheme="minorEastAsia"/>
          <w:color w:val="000000" w:themeColor="text1"/>
          <w:szCs w:val="21"/>
        </w:rPr>
        <w:t>21.40%</w:t>
      </w:r>
      <w:r>
        <w:rPr>
          <w:rFonts w:eastAsiaTheme="minorEastAsia"/>
          <w:color w:val="000000" w:themeColor="text1"/>
          <w:szCs w:val="21"/>
        </w:rPr>
        <w:t>、</w:t>
      </w:r>
      <w:r>
        <w:rPr>
          <w:rFonts w:eastAsiaTheme="minorEastAsia"/>
          <w:color w:val="000000" w:themeColor="text1"/>
          <w:szCs w:val="21"/>
        </w:rPr>
        <w:t>20.49%</w:t>
      </w:r>
      <w:r>
        <w:rPr>
          <w:rFonts w:eastAsiaTheme="minorEastAsia"/>
          <w:color w:val="000000" w:themeColor="text1"/>
          <w:szCs w:val="21"/>
        </w:rPr>
        <w:t>。本基金继续采用完全复制的方法跟踪标的指数，跟踪误差保持在合理范围内。</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展望</w:t>
      </w:r>
      <w:r w:rsidRPr="00473486">
        <w:rPr>
          <w:rFonts w:eastAsiaTheme="minorEastAsia"/>
          <w:color w:val="000000" w:themeColor="text1"/>
          <w:szCs w:val="21"/>
        </w:rPr>
        <w:t>2022</w:t>
      </w:r>
      <w:r w:rsidRPr="00473486">
        <w:rPr>
          <w:rFonts w:eastAsiaTheme="minorEastAsia"/>
          <w:color w:val="000000" w:themeColor="text1"/>
          <w:szCs w:val="21"/>
        </w:rPr>
        <w:t>年二季度，随着疫情的缓解、稳增长政策逐步落地，有望扭转对于企业盈利的悲观预期，同时，压制</w:t>
      </w:r>
      <w:r w:rsidRPr="00473486">
        <w:rPr>
          <w:rFonts w:eastAsiaTheme="minorEastAsia"/>
          <w:color w:val="000000" w:themeColor="text1"/>
          <w:szCs w:val="21"/>
        </w:rPr>
        <w:t>A</w:t>
      </w:r>
      <w:r w:rsidRPr="00473486">
        <w:rPr>
          <w:rFonts w:eastAsiaTheme="minorEastAsia"/>
          <w:color w:val="000000" w:themeColor="text1"/>
          <w:szCs w:val="21"/>
        </w:rPr>
        <w:t>股表现的负面因素有望逐步落地，</w:t>
      </w:r>
      <w:r w:rsidRPr="00473486">
        <w:rPr>
          <w:rFonts w:eastAsiaTheme="minorEastAsia"/>
          <w:color w:val="000000" w:themeColor="text1"/>
          <w:szCs w:val="21"/>
        </w:rPr>
        <w:t>A</w:t>
      </w:r>
      <w:r w:rsidRPr="00473486">
        <w:rPr>
          <w:rFonts w:eastAsiaTheme="minorEastAsia"/>
          <w:color w:val="000000" w:themeColor="text1"/>
          <w:szCs w:val="21"/>
        </w:rPr>
        <w:t>股预计将会逐步扭转下跌趋势。主要的风险来自于：</w:t>
      </w:r>
      <w:r w:rsidRPr="00473486">
        <w:rPr>
          <w:rFonts w:eastAsiaTheme="minorEastAsia"/>
          <w:color w:val="000000" w:themeColor="text1"/>
          <w:szCs w:val="21"/>
        </w:rPr>
        <w:t>Omicron</w:t>
      </w:r>
      <w:r w:rsidRPr="00473486">
        <w:rPr>
          <w:rFonts w:eastAsiaTheme="minorEastAsia"/>
          <w:color w:val="000000" w:themeColor="text1"/>
          <w:szCs w:val="21"/>
        </w:rPr>
        <w:t>疫情的反复，国内稳增长政策不达预期，以及美联储加息节奏的变化。</w:t>
      </w:r>
    </w:p>
    <w:p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4.4.2</w:t>
      </w:r>
      <w:r w:rsidRPr="00473486">
        <w:rPr>
          <w:rFonts w:eastAsiaTheme="minorEastAsia"/>
          <w:color w:val="000000" w:themeColor="text1"/>
          <w:szCs w:val="21"/>
        </w:rPr>
        <w:t>报告期内基金的业绩表现</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本报告期上投摩根</w:t>
      </w:r>
      <w:r w:rsidRPr="00473486">
        <w:rPr>
          <w:rFonts w:eastAsiaTheme="minorEastAsia"/>
          <w:color w:val="000000" w:themeColor="text1"/>
          <w:szCs w:val="21"/>
        </w:rPr>
        <w:t>MSCI</w:t>
      </w:r>
      <w:r w:rsidRPr="00473486">
        <w:rPr>
          <w:rFonts w:eastAsiaTheme="minorEastAsia"/>
          <w:color w:val="000000" w:themeColor="text1"/>
          <w:szCs w:val="21"/>
        </w:rPr>
        <w:t>中国</w:t>
      </w:r>
      <w:r w:rsidRPr="00473486">
        <w:rPr>
          <w:rFonts w:eastAsiaTheme="minorEastAsia"/>
          <w:color w:val="000000" w:themeColor="text1"/>
          <w:szCs w:val="21"/>
        </w:rPr>
        <w:t>A</w:t>
      </w:r>
      <w:r w:rsidRPr="00473486">
        <w:rPr>
          <w:rFonts w:eastAsiaTheme="minorEastAsia"/>
          <w:color w:val="000000" w:themeColor="text1"/>
          <w:szCs w:val="21"/>
        </w:rPr>
        <w:t>股</w:t>
      </w:r>
      <w:r w:rsidRPr="00473486">
        <w:rPr>
          <w:rFonts w:eastAsiaTheme="minorEastAsia"/>
          <w:color w:val="000000" w:themeColor="text1"/>
          <w:szCs w:val="21"/>
        </w:rPr>
        <w:t>ETF</w:t>
      </w:r>
      <w:r w:rsidRPr="00473486">
        <w:rPr>
          <w:rFonts w:eastAsiaTheme="minorEastAsia"/>
          <w:color w:val="000000" w:themeColor="text1"/>
          <w:szCs w:val="21"/>
        </w:rPr>
        <w:t>份额净值增长率为</w:t>
      </w:r>
      <w:r w:rsidRPr="00473486">
        <w:rPr>
          <w:rFonts w:eastAsiaTheme="minorEastAsia"/>
          <w:color w:val="000000" w:themeColor="text1"/>
          <w:szCs w:val="21"/>
        </w:rPr>
        <w:t>:-14.46%</w:t>
      </w:r>
      <w:r w:rsidRPr="00473486">
        <w:rPr>
          <w:rFonts w:eastAsiaTheme="minorEastAsia"/>
          <w:color w:val="000000" w:themeColor="text1"/>
          <w:szCs w:val="21"/>
        </w:rPr>
        <w:t>，同期业绩比较基准收益率为</w:t>
      </w:r>
      <w:r w:rsidRPr="00473486">
        <w:rPr>
          <w:rFonts w:eastAsiaTheme="minorEastAsia"/>
          <w:color w:val="000000" w:themeColor="text1"/>
          <w:szCs w:val="21"/>
        </w:rPr>
        <w:t>:</w:t>
      </w:r>
      <w:r w:rsidR="008A4C93">
        <w:rPr>
          <w:rFonts w:eastAsiaTheme="minorEastAsia"/>
          <w:color w:val="000000" w:themeColor="text1"/>
          <w:szCs w:val="21"/>
        </w:rPr>
        <w:t>-14.69</w:t>
      </w:r>
      <w:r w:rsidRPr="00473486">
        <w:rPr>
          <w:rFonts w:eastAsiaTheme="minorEastAsia"/>
          <w:color w:val="000000" w:themeColor="text1"/>
          <w:szCs w:val="21"/>
        </w:rPr>
        <w:t>%</w:t>
      </w:r>
      <w:r w:rsidRPr="00473486">
        <w:rPr>
          <w:rFonts w:eastAsiaTheme="minorEastAsia"/>
          <w:color w:val="000000" w:themeColor="text1"/>
          <w:szCs w:val="21"/>
        </w:rPr>
        <w:t>。</w:t>
      </w:r>
    </w:p>
    <w:p w:rsidR="00881A82" w:rsidRPr="00473486" w:rsidRDefault="00881A82">
      <w:pPr>
        <w:spacing w:line="360" w:lineRule="auto"/>
        <w:ind w:firstLineChars="200" w:firstLine="480"/>
        <w:rPr>
          <w:rFonts w:eastAsiaTheme="minorEastAsia"/>
          <w:color w:val="000000" w:themeColor="text1"/>
          <w:sz w:val="24"/>
        </w:rPr>
      </w:pPr>
    </w:p>
    <w:p w:rsidR="00881A82" w:rsidRPr="00473486" w:rsidRDefault="007D1E3A">
      <w:pPr>
        <w:spacing w:line="360" w:lineRule="auto"/>
        <w:rPr>
          <w:rFonts w:eastAsiaTheme="minorEastAsia"/>
          <w:color w:val="000000" w:themeColor="text1"/>
          <w:sz w:val="24"/>
        </w:rPr>
      </w:pPr>
      <w:r w:rsidRPr="00473486">
        <w:rPr>
          <w:rFonts w:eastAsiaTheme="minorEastAsia"/>
          <w:b/>
          <w:color w:val="000000" w:themeColor="text1"/>
          <w:kern w:val="0"/>
          <w:sz w:val="24"/>
        </w:rPr>
        <w:t>4.5</w:t>
      </w:r>
      <w:r w:rsidRPr="00473486">
        <w:rPr>
          <w:rFonts w:eastAsiaTheme="minorEastAsia"/>
          <w:b/>
          <w:color w:val="000000" w:themeColor="text1"/>
          <w:kern w:val="0"/>
          <w:sz w:val="24"/>
        </w:rPr>
        <w:t>报告期内基金持有人数或基金资产净值预警说明</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kern w:val="0"/>
          <w:szCs w:val="21"/>
        </w:rPr>
        <w:t>无。</w:t>
      </w:r>
    </w:p>
    <w:p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§5  </w:t>
      </w:r>
      <w:r w:rsidRPr="00473486">
        <w:rPr>
          <w:rFonts w:eastAsiaTheme="minorEastAsia"/>
          <w:color w:val="000000" w:themeColor="text1"/>
          <w:kern w:val="0"/>
          <w:sz w:val="24"/>
          <w:szCs w:val="24"/>
        </w:rPr>
        <w:t>投资组合报告</w:t>
      </w: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5.1 </w:t>
      </w:r>
      <w:r w:rsidRPr="00473486">
        <w:rPr>
          <w:rFonts w:eastAsiaTheme="minorEastAsia"/>
          <w:b/>
          <w:color w:val="000000" w:themeColor="text1"/>
          <w:kern w:val="0"/>
          <w:sz w:val="24"/>
        </w:rPr>
        <w:t>报告期末基金资产组合情况</w:t>
      </w:r>
    </w:p>
    <w:tbl>
      <w:tblPr>
        <w:tblStyle w:val="afa"/>
        <w:tblW w:w="8897" w:type="dxa"/>
        <w:jc w:val="center"/>
        <w:tblLayout w:type="fixed"/>
        <w:tblLook w:val="04A0" w:firstRow="1" w:lastRow="0" w:firstColumn="1" w:lastColumn="0" w:noHBand="0" w:noVBand="1"/>
      </w:tblPr>
      <w:tblGrid>
        <w:gridCol w:w="720"/>
        <w:gridCol w:w="3357"/>
        <w:gridCol w:w="2977"/>
        <w:gridCol w:w="1843"/>
      </w:tblGrid>
      <w:tr w:rsidR="00881A82" w:rsidRPr="00473486">
        <w:trPr>
          <w:jc w:val="center"/>
        </w:trPr>
        <w:tc>
          <w:tcPr>
            <w:tcW w:w="720"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序号</w:t>
            </w:r>
          </w:p>
        </w:tc>
        <w:tc>
          <w:tcPr>
            <w:tcW w:w="3357"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项目</w:t>
            </w:r>
          </w:p>
        </w:tc>
        <w:tc>
          <w:tcPr>
            <w:tcW w:w="2977"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金额</w:t>
            </w:r>
            <w:r w:rsidRPr="00473486">
              <w:rPr>
                <w:rFonts w:eastAsiaTheme="minorEastAsia"/>
                <w:color w:val="000000" w:themeColor="text1"/>
                <w:szCs w:val="21"/>
              </w:rPr>
              <w:t>(</w:t>
            </w:r>
            <w:r w:rsidRPr="00473486">
              <w:rPr>
                <w:rFonts w:eastAsiaTheme="minorEastAsia"/>
                <w:color w:val="000000" w:themeColor="text1"/>
                <w:szCs w:val="21"/>
              </w:rPr>
              <w:t>元</w:t>
            </w:r>
            <w:r w:rsidRPr="00473486">
              <w:rPr>
                <w:rFonts w:eastAsiaTheme="minorEastAsia"/>
                <w:color w:val="000000" w:themeColor="text1"/>
                <w:szCs w:val="21"/>
              </w:rPr>
              <w:t>)</w:t>
            </w:r>
          </w:p>
        </w:tc>
        <w:tc>
          <w:tcPr>
            <w:tcW w:w="1843"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占基金总资产的比例</w:t>
            </w:r>
            <w:r w:rsidRPr="00473486">
              <w:rPr>
                <w:rFonts w:eastAsiaTheme="minorEastAsia"/>
                <w:color w:val="000000" w:themeColor="text1"/>
                <w:szCs w:val="21"/>
              </w:rPr>
              <w:t>(%)</w:t>
            </w:r>
          </w:p>
        </w:tc>
      </w:tr>
      <w:tr w:rsidR="00881A82" w:rsidRPr="00473486">
        <w:trPr>
          <w:jc w:val="center"/>
        </w:trPr>
        <w:tc>
          <w:tcPr>
            <w:tcW w:w="720"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1</w:t>
            </w:r>
          </w:p>
        </w:tc>
        <w:tc>
          <w:tcPr>
            <w:tcW w:w="3357" w:type="dxa"/>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权益投资</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110,984,171.89</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91.63</w:t>
            </w:r>
          </w:p>
        </w:tc>
      </w:tr>
      <w:tr w:rsidR="00881A82" w:rsidRPr="00473486">
        <w:trPr>
          <w:jc w:val="center"/>
        </w:trPr>
        <w:tc>
          <w:tcPr>
            <w:tcW w:w="720" w:type="dxa"/>
            <w:vAlign w:val="center"/>
          </w:tcPr>
          <w:p w:rsidR="00881A82" w:rsidRPr="00473486" w:rsidRDefault="00881A82">
            <w:pPr>
              <w:spacing w:before="29" w:line="360" w:lineRule="auto"/>
              <w:ind w:left="17"/>
              <w:jc w:val="center"/>
              <w:rPr>
                <w:rFonts w:eastAsiaTheme="minorEastAsia"/>
                <w:color w:val="000000" w:themeColor="text1"/>
                <w:szCs w:val="21"/>
              </w:rPr>
            </w:pPr>
          </w:p>
        </w:tc>
        <w:tc>
          <w:tcPr>
            <w:tcW w:w="3357" w:type="dxa"/>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其中：股票</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110,984,171.89</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91.63</w:t>
            </w:r>
          </w:p>
        </w:tc>
      </w:tr>
      <w:tr w:rsidR="00881A82" w:rsidRPr="00473486">
        <w:trPr>
          <w:jc w:val="center"/>
        </w:trPr>
        <w:tc>
          <w:tcPr>
            <w:tcW w:w="720"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2</w:t>
            </w:r>
          </w:p>
        </w:tc>
        <w:tc>
          <w:tcPr>
            <w:tcW w:w="3357" w:type="dxa"/>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固定收益投资</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670,917.40</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0.55</w:t>
            </w:r>
          </w:p>
        </w:tc>
      </w:tr>
      <w:tr w:rsidR="00881A82" w:rsidRPr="00473486">
        <w:trPr>
          <w:jc w:val="center"/>
        </w:trPr>
        <w:tc>
          <w:tcPr>
            <w:tcW w:w="720" w:type="dxa"/>
            <w:vAlign w:val="center"/>
          </w:tcPr>
          <w:p w:rsidR="00881A82" w:rsidRPr="00473486" w:rsidRDefault="00881A82">
            <w:pPr>
              <w:spacing w:before="29" w:line="360" w:lineRule="auto"/>
              <w:ind w:left="17"/>
              <w:jc w:val="center"/>
              <w:rPr>
                <w:rFonts w:eastAsiaTheme="minorEastAsia"/>
                <w:color w:val="000000" w:themeColor="text1"/>
                <w:szCs w:val="21"/>
              </w:rPr>
            </w:pPr>
          </w:p>
        </w:tc>
        <w:tc>
          <w:tcPr>
            <w:tcW w:w="3357" w:type="dxa"/>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其中：债券</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670,917.40</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0.55</w:t>
            </w:r>
          </w:p>
        </w:tc>
      </w:tr>
      <w:tr w:rsidR="00881A82" w:rsidRPr="00473486">
        <w:trPr>
          <w:jc w:val="center"/>
        </w:trPr>
        <w:tc>
          <w:tcPr>
            <w:tcW w:w="720" w:type="dxa"/>
            <w:vAlign w:val="center"/>
          </w:tcPr>
          <w:p w:rsidR="00881A82" w:rsidRPr="00473486" w:rsidRDefault="00881A82">
            <w:pPr>
              <w:spacing w:before="29" w:line="360" w:lineRule="auto"/>
              <w:ind w:left="17"/>
              <w:jc w:val="center"/>
              <w:rPr>
                <w:rFonts w:eastAsiaTheme="minorEastAsia"/>
                <w:color w:val="000000" w:themeColor="text1"/>
                <w:szCs w:val="21"/>
              </w:rPr>
            </w:pPr>
          </w:p>
        </w:tc>
        <w:tc>
          <w:tcPr>
            <w:tcW w:w="3357" w:type="dxa"/>
            <w:vAlign w:val="center"/>
          </w:tcPr>
          <w:p w:rsidR="00881A82" w:rsidRPr="00473486" w:rsidRDefault="007D1E3A">
            <w:pPr>
              <w:autoSpaceDE w:val="0"/>
              <w:autoSpaceDN w:val="0"/>
              <w:adjustRightInd w:val="0"/>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资产支持证券</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jc w:val="center"/>
        </w:trPr>
        <w:tc>
          <w:tcPr>
            <w:tcW w:w="720" w:type="dxa"/>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3</w:t>
            </w:r>
          </w:p>
        </w:tc>
        <w:tc>
          <w:tcPr>
            <w:tcW w:w="3357" w:type="dxa"/>
          </w:tcPr>
          <w:p w:rsidR="00881A82" w:rsidRPr="00473486" w:rsidRDefault="007D1E3A">
            <w:pPr>
              <w:spacing w:before="29" w:line="360" w:lineRule="auto"/>
              <w:ind w:leftChars="50" w:left="105"/>
              <w:rPr>
                <w:rFonts w:eastAsiaTheme="minorEastAsia"/>
                <w:color w:val="000000" w:themeColor="text1"/>
                <w:szCs w:val="21"/>
              </w:rPr>
            </w:pPr>
            <w:r w:rsidRPr="00473486">
              <w:rPr>
                <w:rFonts w:eastAsiaTheme="minorEastAsia"/>
                <w:color w:val="000000" w:themeColor="text1"/>
                <w:szCs w:val="21"/>
              </w:rPr>
              <w:t>贵金属投资</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jc w:val="center"/>
        </w:trPr>
        <w:tc>
          <w:tcPr>
            <w:tcW w:w="720"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4</w:t>
            </w:r>
          </w:p>
        </w:tc>
        <w:tc>
          <w:tcPr>
            <w:tcW w:w="3357" w:type="dxa"/>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金融衍生品投资</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jc w:val="center"/>
        </w:trPr>
        <w:tc>
          <w:tcPr>
            <w:tcW w:w="720"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5</w:t>
            </w:r>
          </w:p>
        </w:tc>
        <w:tc>
          <w:tcPr>
            <w:tcW w:w="3357" w:type="dxa"/>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买入返售金融资产</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jc w:val="center"/>
        </w:trPr>
        <w:tc>
          <w:tcPr>
            <w:tcW w:w="720" w:type="dxa"/>
            <w:vAlign w:val="center"/>
          </w:tcPr>
          <w:p w:rsidR="00881A82" w:rsidRPr="00473486" w:rsidRDefault="00881A82">
            <w:pPr>
              <w:spacing w:before="29" w:line="360" w:lineRule="auto"/>
              <w:ind w:left="17"/>
              <w:jc w:val="center"/>
              <w:rPr>
                <w:rFonts w:eastAsiaTheme="minorEastAsia"/>
                <w:color w:val="000000" w:themeColor="text1"/>
                <w:szCs w:val="21"/>
              </w:rPr>
            </w:pPr>
          </w:p>
        </w:tc>
        <w:tc>
          <w:tcPr>
            <w:tcW w:w="3357" w:type="dxa"/>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其中：买断式回购的买入返售金融资产</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jc w:val="center"/>
        </w:trPr>
        <w:tc>
          <w:tcPr>
            <w:tcW w:w="720"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6</w:t>
            </w:r>
          </w:p>
        </w:tc>
        <w:tc>
          <w:tcPr>
            <w:tcW w:w="3357" w:type="dxa"/>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银行存款和结算备付金合计</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8,679,023.75</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7.17</w:t>
            </w:r>
          </w:p>
        </w:tc>
      </w:tr>
      <w:tr w:rsidR="00881A82" w:rsidRPr="00473486">
        <w:trPr>
          <w:jc w:val="center"/>
        </w:trPr>
        <w:tc>
          <w:tcPr>
            <w:tcW w:w="720"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7</w:t>
            </w:r>
          </w:p>
        </w:tc>
        <w:tc>
          <w:tcPr>
            <w:tcW w:w="3357" w:type="dxa"/>
            <w:vAlign w:val="center"/>
          </w:tcPr>
          <w:p w:rsidR="00881A82" w:rsidRPr="00473486" w:rsidRDefault="007D1E3A">
            <w:pPr>
              <w:jc w:val="left"/>
              <w:rPr>
                <w:rFonts w:eastAsiaTheme="minorEastAsia"/>
                <w:color w:val="000000" w:themeColor="text1"/>
                <w:szCs w:val="21"/>
              </w:rPr>
            </w:pPr>
            <w:r w:rsidRPr="00473486">
              <w:rPr>
                <w:rFonts w:eastAsiaTheme="minorEastAsia"/>
                <w:color w:val="000000" w:themeColor="text1"/>
                <w:szCs w:val="21"/>
              </w:rPr>
              <w:t>其他各项资产</w:t>
            </w:r>
          </w:p>
        </w:tc>
        <w:tc>
          <w:tcPr>
            <w:tcW w:w="2977" w:type="dxa"/>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793,137.65</w:t>
            </w:r>
          </w:p>
        </w:tc>
        <w:tc>
          <w:tcPr>
            <w:tcW w:w="1843" w:type="dxa"/>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0.65</w:t>
            </w:r>
          </w:p>
        </w:tc>
      </w:tr>
      <w:tr w:rsidR="00881A82" w:rsidRPr="00473486">
        <w:trPr>
          <w:jc w:val="center"/>
        </w:trPr>
        <w:tc>
          <w:tcPr>
            <w:tcW w:w="720"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8</w:t>
            </w:r>
          </w:p>
        </w:tc>
        <w:tc>
          <w:tcPr>
            <w:tcW w:w="3357" w:type="dxa"/>
            <w:vAlign w:val="center"/>
          </w:tcPr>
          <w:p w:rsidR="00881A82" w:rsidRPr="00473486" w:rsidRDefault="007D1E3A">
            <w:pPr>
              <w:jc w:val="left"/>
              <w:rPr>
                <w:rFonts w:eastAsiaTheme="minorEastAsia"/>
                <w:color w:val="000000" w:themeColor="text1"/>
                <w:szCs w:val="21"/>
              </w:rPr>
            </w:pPr>
            <w:r w:rsidRPr="00473486">
              <w:rPr>
                <w:rFonts w:eastAsiaTheme="minorEastAsia"/>
                <w:color w:val="000000" w:themeColor="text1"/>
                <w:szCs w:val="21"/>
              </w:rPr>
              <w:t>合计</w:t>
            </w:r>
          </w:p>
        </w:tc>
        <w:tc>
          <w:tcPr>
            <w:tcW w:w="2977" w:type="dxa"/>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121,127,250.69</w:t>
            </w:r>
          </w:p>
        </w:tc>
        <w:tc>
          <w:tcPr>
            <w:tcW w:w="1843" w:type="dxa"/>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100.00</w:t>
            </w:r>
          </w:p>
        </w:tc>
      </w:tr>
    </w:tbl>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5.2 </w:t>
      </w:r>
      <w:r w:rsidRPr="00473486">
        <w:rPr>
          <w:rFonts w:eastAsiaTheme="minorEastAsia"/>
          <w:b/>
          <w:color w:val="000000" w:themeColor="text1"/>
          <w:kern w:val="0"/>
          <w:sz w:val="24"/>
        </w:rPr>
        <w:t>报告期末按行业分类的股票投资组合</w:t>
      </w: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5.2.1</w:t>
      </w:r>
      <w:r w:rsidRPr="00473486">
        <w:rPr>
          <w:rFonts w:eastAsiaTheme="minorEastAsia"/>
          <w:b/>
          <w:color w:val="000000" w:themeColor="text1"/>
          <w:kern w:val="0"/>
          <w:sz w:val="24"/>
        </w:rPr>
        <w:t>积极投资按行业分类的股票投资组合</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881A82" w:rsidRPr="00473486">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占基金资产净值比例（％）</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109,664.96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0.09</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6,494.40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0.01</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5,014.10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0.00</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881A82">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121,173.46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0.10</w:t>
            </w:r>
          </w:p>
        </w:tc>
      </w:tr>
    </w:tbl>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5.2.2</w:t>
      </w:r>
      <w:r w:rsidRPr="00473486">
        <w:rPr>
          <w:rFonts w:eastAsiaTheme="minorEastAsia"/>
          <w:b/>
          <w:color w:val="000000" w:themeColor="text1"/>
          <w:kern w:val="0"/>
          <w:sz w:val="24"/>
        </w:rPr>
        <w:t>指数投资按行业分类的股票投资组合</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881A82" w:rsidRPr="00473486">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占基金资产净值比例（％）</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szCs w:val="21"/>
              </w:rPr>
            </w:pPr>
            <w:r w:rsidRPr="00473486">
              <w:rPr>
                <w:rFonts w:eastAsiaTheme="minorEastAsia"/>
                <w:color w:val="000000" w:themeColor="text1"/>
                <w:szCs w:val="21"/>
              </w:rPr>
              <w:t>1,539,716.76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szCs w:val="21"/>
              </w:rPr>
            </w:pPr>
            <w:r w:rsidRPr="00473486">
              <w:rPr>
                <w:rFonts w:eastAsiaTheme="minorEastAsia"/>
                <w:color w:val="000000" w:themeColor="text1"/>
                <w:szCs w:val="21"/>
              </w:rPr>
              <w:t>1.27</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4,047,157.40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3.35</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63,526,855.89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52.58</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3,319,381.00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2.75</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2,259,141.60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1.87</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1,123,605.00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0.93</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3,331,700.00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2.76</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129,324.00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0.11</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3,759,353.80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3.11</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21,332,737.54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17.66</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2,296,959.98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1.90</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1,297,478.28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1.07</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1,450,750.48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1.20</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248,619.00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0.21</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784,302.30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0.65</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333,109.40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0.28</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82,806.00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0.07</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881A82">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110,862,998.43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91.77</w:t>
            </w:r>
          </w:p>
        </w:tc>
      </w:tr>
    </w:tbl>
    <w:p w:rsidR="00881A82" w:rsidRPr="00473486" w:rsidRDefault="00881A82">
      <w:pPr>
        <w:autoSpaceDE w:val="0"/>
        <w:autoSpaceDN w:val="0"/>
        <w:adjustRightInd w:val="0"/>
        <w:spacing w:line="360" w:lineRule="auto"/>
        <w:jc w:val="left"/>
        <w:rPr>
          <w:rFonts w:eastAsiaTheme="minorEastAsia"/>
          <w:color w:val="000000" w:themeColor="text1"/>
          <w:sz w:val="24"/>
        </w:rPr>
      </w:pP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5.3</w:t>
      </w:r>
      <w:r w:rsidRPr="00473486">
        <w:rPr>
          <w:rFonts w:eastAsiaTheme="minorEastAsia"/>
          <w:b/>
          <w:color w:val="000000" w:themeColor="text1"/>
          <w:kern w:val="0"/>
          <w:sz w:val="24"/>
        </w:rPr>
        <w:t>报告期末按公允价值占基金资产净值比例大小排序的股票投资明细</w:t>
      </w:r>
    </w:p>
    <w:p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kern w:val="0"/>
          <w:sz w:val="24"/>
        </w:rPr>
        <w:t>5.3.1</w:t>
      </w:r>
      <w:r w:rsidRPr="00473486">
        <w:rPr>
          <w:rFonts w:eastAsiaTheme="minorEastAsia"/>
          <w:b/>
          <w:color w:val="000000" w:themeColor="text1"/>
          <w:kern w:val="0"/>
          <w:sz w:val="24"/>
        </w:rPr>
        <w:t>期末</w:t>
      </w:r>
      <w:r w:rsidRPr="00473486">
        <w:rPr>
          <w:rFonts w:eastAsiaTheme="minorEastAsia"/>
          <w:b/>
          <w:color w:val="000000" w:themeColor="text1"/>
          <w:sz w:val="24"/>
        </w:rPr>
        <w:t>指数投资按公允价值占基金资产净值比例大小排序的前十名股票投资明细</w:t>
      </w:r>
    </w:p>
    <w:tbl>
      <w:tblPr>
        <w:tblStyle w:val="afa"/>
        <w:tblW w:w="8528" w:type="dxa"/>
        <w:tblLayout w:type="fixed"/>
        <w:tblLook w:val="04A0" w:firstRow="1" w:lastRow="0" w:firstColumn="1" w:lastColumn="0" w:noHBand="0" w:noVBand="1"/>
      </w:tblPr>
      <w:tblGrid>
        <w:gridCol w:w="817"/>
        <w:gridCol w:w="1276"/>
        <w:gridCol w:w="1701"/>
        <w:gridCol w:w="1276"/>
        <w:gridCol w:w="1842"/>
        <w:gridCol w:w="1616"/>
      </w:tblGrid>
      <w:tr w:rsidR="00881A82" w:rsidRPr="00473486">
        <w:tc>
          <w:tcPr>
            <w:tcW w:w="817"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序号</w:t>
            </w:r>
          </w:p>
        </w:tc>
        <w:tc>
          <w:tcPr>
            <w:tcW w:w="1276"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股票代码</w:t>
            </w:r>
          </w:p>
        </w:tc>
        <w:tc>
          <w:tcPr>
            <w:tcW w:w="1701"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股票名称</w:t>
            </w:r>
          </w:p>
        </w:tc>
        <w:tc>
          <w:tcPr>
            <w:tcW w:w="1276"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数量</w:t>
            </w:r>
            <w:r w:rsidRPr="00473486">
              <w:rPr>
                <w:rFonts w:eastAsiaTheme="minorEastAsia"/>
                <w:color w:val="000000" w:themeColor="text1"/>
                <w:szCs w:val="21"/>
              </w:rPr>
              <w:t>(</w:t>
            </w:r>
            <w:r w:rsidRPr="00473486">
              <w:rPr>
                <w:rFonts w:eastAsiaTheme="minorEastAsia"/>
                <w:color w:val="000000" w:themeColor="text1"/>
                <w:szCs w:val="21"/>
              </w:rPr>
              <w:t>股</w:t>
            </w:r>
            <w:r w:rsidRPr="00473486">
              <w:rPr>
                <w:rFonts w:eastAsiaTheme="minorEastAsia"/>
                <w:color w:val="000000" w:themeColor="text1"/>
                <w:szCs w:val="21"/>
              </w:rPr>
              <w:t>)</w:t>
            </w:r>
          </w:p>
        </w:tc>
        <w:tc>
          <w:tcPr>
            <w:tcW w:w="1842"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公允价值</w:t>
            </w:r>
            <w:r w:rsidRPr="00473486">
              <w:rPr>
                <w:rFonts w:eastAsiaTheme="minorEastAsia"/>
                <w:color w:val="000000" w:themeColor="text1"/>
                <w:szCs w:val="21"/>
              </w:rPr>
              <w:t>(</w:t>
            </w:r>
            <w:r w:rsidRPr="00473486">
              <w:rPr>
                <w:rFonts w:eastAsiaTheme="minorEastAsia"/>
                <w:color w:val="000000" w:themeColor="text1"/>
                <w:szCs w:val="21"/>
              </w:rPr>
              <w:t>元</w:t>
            </w:r>
            <w:r w:rsidRPr="00473486">
              <w:rPr>
                <w:rFonts w:eastAsiaTheme="minorEastAsia"/>
                <w:color w:val="000000" w:themeColor="text1"/>
                <w:szCs w:val="21"/>
              </w:rPr>
              <w:t>)</w:t>
            </w:r>
          </w:p>
        </w:tc>
        <w:tc>
          <w:tcPr>
            <w:tcW w:w="1616"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占基金资产净值比例</w:t>
            </w:r>
            <w:r w:rsidRPr="00473486">
              <w:rPr>
                <w:rFonts w:eastAsiaTheme="minorEastAsia"/>
                <w:color w:val="000000" w:themeColor="text1"/>
                <w:szCs w:val="21"/>
              </w:rPr>
              <w:t>(</w:t>
            </w:r>
            <w:r w:rsidRPr="00473486">
              <w:rPr>
                <w:rFonts w:eastAsiaTheme="minorEastAsia"/>
                <w:color w:val="000000" w:themeColor="text1"/>
                <w:szCs w:val="21"/>
              </w:rPr>
              <w:t>％</w:t>
            </w:r>
            <w:r w:rsidRPr="00473486">
              <w:rPr>
                <w:rFonts w:eastAsiaTheme="minorEastAsia"/>
                <w:color w:val="000000" w:themeColor="text1"/>
                <w:szCs w:val="21"/>
              </w:rPr>
              <w:t>)</w:t>
            </w:r>
          </w:p>
        </w:tc>
      </w:tr>
      <w:tr w:rsidR="0045275A">
        <w:tc>
          <w:tcPr>
            <w:tcW w:w="817" w:type="dxa"/>
            <w:vAlign w:val="center"/>
          </w:tcPr>
          <w:p w:rsidR="0045275A" w:rsidRDefault="00BA39A9">
            <w:pPr>
              <w:jc w:val="center"/>
            </w:pPr>
            <w:r>
              <w:rPr>
                <w:rFonts w:eastAsiaTheme="minorEastAsia"/>
                <w:color w:val="000000" w:themeColor="text1"/>
                <w:szCs w:val="21"/>
              </w:rPr>
              <w:t>1</w:t>
            </w:r>
          </w:p>
        </w:tc>
        <w:tc>
          <w:tcPr>
            <w:tcW w:w="1276" w:type="dxa"/>
            <w:vAlign w:val="center"/>
          </w:tcPr>
          <w:p w:rsidR="0045275A" w:rsidRDefault="00BA39A9">
            <w:pPr>
              <w:jc w:val="center"/>
            </w:pPr>
            <w:r>
              <w:rPr>
                <w:rFonts w:eastAsiaTheme="minorEastAsia"/>
                <w:color w:val="000000" w:themeColor="text1"/>
                <w:szCs w:val="21"/>
              </w:rPr>
              <w:t>600519</w:t>
            </w:r>
          </w:p>
        </w:tc>
        <w:tc>
          <w:tcPr>
            <w:tcW w:w="1701" w:type="dxa"/>
            <w:vAlign w:val="center"/>
          </w:tcPr>
          <w:p w:rsidR="0045275A" w:rsidRDefault="00BA39A9">
            <w:pPr>
              <w:jc w:val="center"/>
            </w:pPr>
            <w:r>
              <w:rPr>
                <w:rFonts w:eastAsiaTheme="minorEastAsia"/>
                <w:color w:val="000000" w:themeColor="text1"/>
                <w:szCs w:val="21"/>
              </w:rPr>
              <w:t>贵州茅台</w:t>
            </w:r>
          </w:p>
        </w:tc>
        <w:tc>
          <w:tcPr>
            <w:tcW w:w="1276" w:type="dxa"/>
            <w:vAlign w:val="center"/>
          </w:tcPr>
          <w:p w:rsidR="0045275A" w:rsidRDefault="00BA39A9">
            <w:pPr>
              <w:jc w:val="right"/>
            </w:pPr>
            <w:r>
              <w:rPr>
                <w:rFonts w:eastAsiaTheme="minorEastAsia"/>
                <w:color w:val="000000" w:themeColor="text1"/>
                <w:szCs w:val="21"/>
              </w:rPr>
              <w:t>3,548.00</w:t>
            </w:r>
          </w:p>
        </w:tc>
        <w:tc>
          <w:tcPr>
            <w:tcW w:w="1842" w:type="dxa"/>
            <w:vAlign w:val="center"/>
          </w:tcPr>
          <w:p w:rsidR="0045275A" w:rsidRDefault="00BA39A9">
            <w:pPr>
              <w:jc w:val="right"/>
            </w:pPr>
            <w:r>
              <w:rPr>
                <w:rFonts w:eastAsiaTheme="minorEastAsia"/>
                <w:color w:val="000000" w:themeColor="text1"/>
                <w:szCs w:val="21"/>
              </w:rPr>
              <w:t>6,099,012.00</w:t>
            </w:r>
          </w:p>
        </w:tc>
        <w:tc>
          <w:tcPr>
            <w:tcW w:w="1616" w:type="dxa"/>
            <w:vAlign w:val="center"/>
          </w:tcPr>
          <w:p w:rsidR="0045275A" w:rsidRDefault="00BA39A9">
            <w:pPr>
              <w:jc w:val="right"/>
            </w:pPr>
            <w:r>
              <w:rPr>
                <w:rFonts w:eastAsiaTheme="minorEastAsia"/>
                <w:color w:val="000000" w:themeColor="text1"/>
                <w:szCs w:val="21"/>
              </w:rPr>
              <w:t>5.05</w:t>
            </w:r>
          </w:p>
        </w:tc>
      </w:tr>
      <w:tr w:rsidR="0045275A">
        <w:tc>
          <w:tcPr>
            <w:tcW w:w="817" w:type="dxa"/>
            <w:vAlign w:val="center"/>
          </w:tcPr>
          <w:p w:rsidR="0045275A" w:rsidRDefault="00BA39A9">
            <w:pPr>
              <w:jc w:val="center"/>
            </w:pPr>
            <w:r>
              <w:rPr>
                <w:rFonts w:eastAsiaTheme="minorEastAsia"/>
                <w:color w:val="000000" w:themeColor="text1"/>
                <w:szCs w:val="21"/>
              </w:rPr>
              <w:t>2</w:t>
            </w:r>
          </w:p>
        </w:tc>
        <w:tc>
          <w:tcPr>
            <w:tcW w:w="1276" w:type="dxa"/>
            <w:vAlign w:val="center"/>
          </w:tcPr>
          <w:p w:rsidR="0045275A" w:rsidRDefault="00BA39A9">
            <w:pPr>
              <w:jc w:val="center"/>
            </w:pPr>
            <w:r>
              <w:rPr>
                <w:rFonts w:eastAsiaTheme="minorEastAsia"/>
                <w:color w:val="000000" w:themeColor="text1"/>
                <w:szCs w:val="21"/>
              </w:rPr>
              <w:t>300750</w:t>
            </w:r>
          </w:p>
        </w:tc>
        <w:tc>
          <w:tcPr>
            <w:tcW w:w="1701" w:type="dxa"/>
            <w:vAlign w:val="center"/>
          </w:tcPr>
          <w:p w:rsidR="0045275A" w:rsidRDefault="00BA39A9">
            <w:pPr>
              <w:jc w:val="center"/>
            </w:pPr>
            <w:r>
              <w:rPr>
                <w:rFonts w:eastAsiaTheme="minorEastAsia"/>
                <w:color w:val="000000" w:themeColor="text1"/>
                <w:szCs w:val="21"/>
              </w:rPr>
              <w:t>宁德时代</w:t>
            </w:r>
          </w:p>
        </w:tc>
        <w:tc>
          <w:tcPr>
            <w:tcW w:w="1276" w:type="dxa"/>
            <w:vAlign w:val="center"/>
          </w:tcPr>
          <w:p w:rsidR="0045275A" w:rsidRDefault="00BA39A9">
            <w:pPr>
              <w:jc w:val="right"/>
            </w:pPr>
            <w:r>
              <w:rPr>
                <w:rFonts w:eastAsiaTheme="minorEastAsia"/>
                <w:color w:val="000000" w:themeColor="text1"/>
                <w:szCs w:val="21"/>
              </w:rPr>
              <w:t>6,644.00</w:t>
            </w:r>
          </w:p>
        </w:tc>
        <w:tc>
          <w:tcPr>
            <w:tcW w:w="1842" w:type="dxa"/>
            <w:vAlign w:val="center"/>
          </w:tcPr>
          <w:p w:rsidR="0045275A" w:rsidRDefault="00BA39A9">
            <w:pPr>
              <w:jc w:val="right"/>
            </w:pPr>
            <w:r>
              <w:rPr>
                <w:rFonts w:eastAsiaTheme="minorEastAsia"/>
                <w:color w:val="000000" w:themeColor="text1"/>
                <w:szCs w:val="21"/>
              </w:rPr>
              <w:t>3,403,721.20</w:t>
            </w:r>
          </w:p>
        </w:tc>
        <w:tc>
          <w:tcPr>
            <w:tcW w:w="1616" w:type="dxa"/>
            <w:vAlign w:val="center"/>
          </w:tcPr>
          <w:p w:rsidR="0045275A" w:rsidRDefault="00BA39A9">
            <w:pPr>
              <w:jc w:val="right"/>
            </w:pPr>
            <w:r>
              <w:rPr>
                <w:rFonts w:eastAsiaTheme="minorEastAsia"/>
                <w:color w:val="000000" w:themeColor="text1"/>
                <w:szCs w:val="21"/>
              </w:rPr>
              <w:t>2.82</w:t>
            </w:r>
          </w:p>
        </w:tc>
      </w:tr>
      <w:tr w:rsidR="0045275A">
        <w:tc>
          <w:tcPr>
            <w:tcW w:w="817" w:type="dxa"/>
            <w:vAlign w:val="center"/>
          </w:tcPr>
          <w:p w:rsidR="0045275A" w:rsidRDefault="00BA39A9">
            <w:pPr>
              <w:jc w:val="center"/>
            </w:pPr>
            <w:r>
              <w:rPr>
                <w:rFonts w:eastAsiaTheme="minorEastAsia"/>
                <w:color w:val="000000" w:themeColor="text1"/>
                <w:szCs w:val="21"/>
              </w:rPr>
              <w:t>3</w:t>
            </w:r>
          </w:p>
        </w:tc>
        <w:tc>
          <w:tcPr>
            <w:tcW w:w="1276" w:type="dxa"/>
            <w:vAlign w:val="center"/>
          </w:tcPr>
          <w:p w:rsidR="0045275A" w:rsidRDefault="00BA39A9">
            <w:pPr>
              <w:jc w:val="center"/>
            </w:pPr>
            <w:r>
              <w:rPr>
                <w:rFonts w:eastAsiaTheme="minorEastAsia"/>
                <w:color w:val="000000" w:themeColor="text1"/>
                <w:szCs w:val="21"/>
              </w:rPr>
              <w:t>600036</w:t>
            </w:r>
          </w:p>
        </w:tc>
        <w:tc>
          <w:tcPr>
            <w:tcW w:w="1701" w:type="dxa"/>
            <w:vAlign w:val="center"/>
          </w:tcPr>
          <w:p w:rsidR="0045275A" w:rsidRDefault="00BA39A9">
            <w:pPr>
              <w:jc w:val="center"/>
            </w:pPr>
            <w:r>
              <w:rPr>
                <w:rFonts w:eastAsiaTheme="minorEastAsia"/>
                <w:color w:val="000000" w:themeColor="text1"/>
                <w:szCs w:val="21"/>
              </w:rPr>
              <w:t>招商银行</w:t>
            </w:r>
          </w:p>
        </w:tc>
        <w:tc>
          <w:tcPr>
            <w:tcW w:w="1276" w:type="dxa"/>
            <w:vAlign w:val="center"/>
          </w:tcPr>
          <w:p w:rsidR="0045275A" w:rsidRDefault="00BA39A9">
            <w:pPr>
              <w:jc w:val="right"/>
            </w:pPr>
            <w:r>
              <w:rPr>
                <w:rFonts w:eastAsiaTheme="minorEastAsia"/>
                <w:color w:val="000000" w:themeColor="text1"/>
                <w:szCs w:val="21"/>
              </w:rPr>
              <w:t>58,825.00</w:t>
            </w:r>
          </w:p>
        </w:tc>
        <w:tc>
          <w:tcPr>
            <w:tcW w:w="1842" w:type="dxa"/>
            <w:vAlign w:val="center"/>
          </w:tcPr>
          <w:p w:rsidR="0045275A" w:rsidRDefault="00BA39A9">
            <w:pPr>
              <w:jc w:val="right"/>
            </w:pPr>
            <w:r>
              <w:rPr>
                <w:rFonts w:eastAsiaTheme="minorEastAsia"/>
                <w:color w:val="000000" w:themeColor="text1"/>
                <w:szCs w:val="21"/>
              </w:rPr>
              <w:t>2,753,010.00</w:t>
            </w:r>
          </w:p>
        </w:tc>
        <w:tc>
          <w:tcPr>
            <w:tcW w:w="1616" w:type="dxa"/>
            <w:vAlign w:val="center"/>
          </w:tcPr>
          <w:p w:rsidR="0045275A" w:rsidRDefault="00BA39A9">
            <w:pPr>
              <w:jc w:val="right"/>
            </w:pPr>
            <w:r>
              <w:rPr>
                <w:rFonts w:eastAsiaTheme="minorEastAsia"/>
                <w:color w:val="000000" w:themeColor="text1"/>
                <w:szCs w:val="21"/>
              </w:rPr>
              <w:t>2.28</w:t>
            </w:r>
          </w:p>
        </w:tc>
      </w:tr>
      <w:tr w:rsidR="0045275A">
        <w:tc>
          <w:tcPr>
            <w:tcW w:w="817" w:type="dxa"/>
            <w:vAlign w:val="center"/>
          </w:tcPr>
          <w:p w:rsidR="0045275A" w:rsidRDefault="00BA39A9">
            <w:pPr>
              <w:jc w:val="center"/>
            </w:pPr>
            <w:r>
              <w:rPr>
                <w:rFonts w:eastAsiaTheme="minorEastAsia"/>
                <w:color w:val="000000" w:themeColor="text1"/>
                <w:szCs w:val="21"/>
              </w:rPr>
              <w:t>4</w:t>
            </w:r>
          </w:p>
        </w:tc>
        <w:tc>
          <w:tcPr>
            <w:tcW w:w="1276" w:type="dxa"/>
            <w:vAlign w:val="center"/>
          </w:tcPr>
          <w:p w:rsidR="0045275A" w:rsidRDefault="00BA39A9">
            <w:pPr>
              <w:jc w:val="center"/>
            </w:pPr>
            <w:r>
              <w:rPr>
                <w:rFonts w:eastAsiaTheme="minorEastAsia"/>
                <w:color w:val="000000" w:themeColor="text1"/>
                <w:szCs w:val="21"/>
              </w:rPr>
              <w:t>000858</w:t>
            </w:r>
          </w:p>
        </w:tc>
        <w:tc>
          <w:tcPr>
            <w:tcW w:w="1701" w:type="dxa"/>
            <w:vAlign w:val="center"/>
          </w:tcPr>
          <w:p w:rsidR="0045275A" w:rsidRDefault="00BA39A9">
            <w:pPr>
              <w:jc w:val="center"/>
            </w:pPr>
            <w:r>
              <w:rPr>
                <w:rFonts w:eastAsiaTheme="minorEastAsia"/>
                <w:color w:val="000000" w:themeColor="text1"/>
                <w:szCs w:val="21"/>
              </w:rPr>
              <w:t>五粮液</w:t>
            </w:r>
          </w:p>
        </w:tc>
        <w:tc>
          <w:tcPr>
            <w:tcW w:w="1276" w:type="dxa"/>
            <w:vAlign w:val="center"/>
          </w:tcPr>
          <w:p w:rsidR="0045275A" w:rsidRDefault="00BA39A9">
            <w:pPr>
              <w:jc w:val="right"/>
            </w:pPr>
            <w:r>
              <w:rPr>
                <w:rFonts w:eastAsiaTheme="minorEastAsia"/>
                <w:color w:val="000000" w:themeColor="text1"/>
                <w:szCs w:val="21"/>
              </w:rPr>
              <w:t>11,000.00</w:t>
            </w:r>
          </w:p>
        </w:tc>
        <w:tc>
          <w:tcPr>
            <w:tcW w:w="1842" w:type="dxa"/>
            <w:vAlign w:val="center"/>
          </w:tcPr>
          <w:p w:rsidR="0045275A" w:rsidRDefault="00BA39A9">
            <w:pPr>
              <w:jc w:val="right"/>
            </w:pPr>
            <w:r>
              <w:rPr>
                <w:rFonts w:eastAsiaTheme="minorEastAsia"/>
                <w:color w:val="000000" w:themeColor="text1"/>
                <w:szCs w:val="21"/>
              </w:rPr>
              <w:t>1,705,660.00</w:t>
            </w:r>
          </w:p>
        </w:tc>
        <w:tc>
          <w:tcPr>
            <w:tcW w:w="1616" w:type="dxa"/>
            <w:vAlign w:val="center"/>
          </w:tcPr>
          <w:p w:rsidR="0045275A" w:rsidRDefault="00BA39A9">
            <w:pPr>
              <w:jc w:val="right"/>
            </w:pPr>
            <w:r>
              <w:rPr>
                <w:rFonts w:eastAsiaTheme="minorEastAsia"/>
                <w:color w:val="000000" w:themeColor="text1"/>
                <w:szCs w:val="21"/>
              </w:rPr>
              <w:t>1.41</w:t>
            </w:r>
          </w:p>
        </w:tc>
      </w:tr>
      <w:tr w:rsidR="0045275A">
        <w:tc>
          <w:tcPr>
            <w:tcW w:w="817" w:type="dxa"/>
            <w:vAlign w:val="center"/>
          </w:tcPr>
          <w:p w:rsidR="0045275A" w:rsidRDefault="00BA39A9">
            <w:pPr>
              <w:jc w:val="center"/>
            </w:pPr>
            <w:r>
              <w:rPr>
                <w:rFonts w:eastAsiaTheme="minorEastAsia"/>
                <w:color w:val="000000" w:themeColor="text1"/>
                <w:szCs w:val="21"/>
              </w:rPr>
              <w:t>5</w:t>
            </w:r>
          </w:p>
        </w:tc>
        <w:tc>
          <w:tcPr>
            <w:tcW w:w="1276" w:type="dxa"/>
            <w:vAlign w:val="center"/>
          </w:tcPr>
          <w:p w:rsidR="0045275A" w:rsidRDefault="00BA39A9">
            <w:pPr>
              <w:jc w:val="center"/>
            </w:pPr>
            <w:r>
              <w:rPr>
                <w:rFonts w:eastAsiaTheme="minorEastAsia"/>
                <w:color w:val="000000" w:themeColor="text1"/>
                <w:szCs w:val="21"/>
              </w:rPr>
              <w:t>601318</w:t>
            </w:r>
          </w:p>
        </w:tc>
        <w:tc>
          <w:tcPr>
            <w:tcW w:w="1701" w:type="dxa"/>
            <w:vAlign w:val="center"/>
          </w:tcPr>
          <w:p w:rsidR="0045275A" w:rsidRDefault="00BA39A9">
            <w:pPr>
              <w:jc w:val="center"/>
            </w:pPr>
            <w:r>
              <w:rPr>
                <w:rFonts w:eastAsiaTheme="minorEastAsia"/>
                <w:color w:val="000000" w:themeColor="text1"/>
                <w:szCs w:val="21"/>
              </w:rPr>
              <w:t>中国平安</w:t>
            </w:r>
          </w:p>
        </w:tc>
        <w:tc>
          <w:tcPr>
            <w:tcW w:w="1276" w:type="dxa"/>
            <w:vAlign w:val="center"/>
          </w:tcPr>
          <w:p w:rsidR="0045275A" w:rsidRDefault="00BA39A9">
            <w:pPr>
              <w:jc w:val="right"/>
            </w:pPr>
            <w:r>
              <w:rPr>
                <w:rFonts w:eastAsiaTheme="minorEastAsia"/>
                <w:color w:val="000000" w:themeColor="text1"/>
                <w:szCs w:val="21"/>
              </w:rPr>
              <w:t>30,920.00</w:t>
            </w:r>
          </w:p>
        </w:tc>
        <w:tc>
          <w:tcPr>
            <w:tcW w:w="1842" w:type="dxa"/>
            <w:vAlign w:val="center"/>
          </w:tcPr>
          <w:p w:rsidR="0045275A" w:rsidRDefault="00BA39A9">
            <w:pPr>
              <w:jc w:val="right"/>
            </w:pPr>
            <w:r>
              <w:rPr>
                <w:rFonts w:eastAsiaTheme="minorEastAsia"/>
                <w:color w:val="000000" w:themeColor="text1"/>
                <w:szCs w:val="21"/>
              </w:rPr>
              <w:t>1,498,074.00</w:t>
            </w:r>
          </w:p>
        </w:tc>
        <w:tc>
          <w:tcPr>
            <w:tcW w:w="1616" w:type="dxa"/>
            <w:vAlign w:val="center"/>
          </w:tcPr>
          <w:p w:rsidR="0045275A" w:rsidRDefault="00BA39A9">
            <w:pPr>
              <w:jc w:val="right"/>
            </w:pPr>
            <w:r>
              <w:rPr>
                <w:rFonts w:eastAsiaTheme="minorEastAsia"/>
                <w:color w:val="000000" w:themeColor="text1"/>
                <w:szCs w:val="21"/>
              </w:rPr>
              <w:t>1.24</w:t>
            </w:r>
          </w:p>
        </w:tc>
      </w:tr>
      <w:tr w:rsidR="0045275A">
        <w:tc>
          <w:tcPr>
            <w:tcW w:w="817" w:type="dxa"/>
            <w:vAlign w:val="center"/>
          </w:tcPr>
          <w:p w:rsidR="0045275A" w:rsidRDefault="00BA39A9">
            <w:pPr>
              <w:jc w:val="center"/>
            </w:pPr>
            <w:r>
              <w:rPr>
                <w:rFonts w:eastAsiaTheme="minorEastAsia"/>
                <w:color w:val="000000" w:themeColor="text1"/>
                <w:szCs w:val="21"/>
              </w:rPr>
              <w:t>6</w:t>
            </w:r>
          </w:p>
        </w:tc>
        <w:tc>
          <w:tcPr>
            <w:tcW w:w="1276" w:type="dxa"/>
            <w:vAlign w:val="center"/>
          </w:tcPr>
          <w:p w:rsidR="0045275A" w:rsidRDefault="00BA39A9">
            <w:pPr>
              <w:jc w:val="center"/>
            </w:pPr>
            <w:r>
              <w:rPr>
                <w:rFonts w:eastAsiaTheme="minorEastAsia"/>
                <w:color w:val="000000" w:themeColor="text1"/>
                <w:szCs w:val="21"/>
              </w:rPr>
              <w:t>600900</w:t>
            </w:r>
          </w:p>
        </w:tc>
        <w:tc>
          <w:tcPr>
            <w:tcW w:w="1701" w:type="dxa"/>
            <w:vAlign w:val="center"/>
          </w:tcPr>
          <w:p w:rsidR="0045275A" w:rsidRDefault="00BA39A9">
            <w:pPr>
              <w:jc w:val="center"/>
            </w:pPr>
            <w:r>
              <w:rPr>
                <w:rFonts w:eastAsiaTheme="minorEastAsia"/>
                <w:color w:val="000000" w:themeColor="text1"/>
                <w:szCs w:val="21"/>
              </w:rPr>
              <w:t>长江电力</w:t>
            </w:r>
          </w:p>
        </w:tc>
        <w:tc>
          <w:tcPr>
            <w:tcW w:w="1276" w:type="dxa"/>
            <w:vAlign w:val="center"/>
          </w:tcPr>
          <w:p w:rsidR="0045275A" w:rsidRDefault="00BA39A9">
            <w:pPr>
              <w:jc w:val="right"/>
            </w:pPr>
            <w:r>
              <w:rPr>
                <w:rFonts w:eastAsiaTheme="minorEastAsia"/>
                <w:color w:val="000000" w:themeColor="text1"/>
                <w:szCs w:val="21"/>
              </w:rPr>
              <w:t>64,880.00</w:t>
            </w:r>
          </w:p>
        </w:tc>
        <w:tc>
          <w:tcPr>
            <w:tcW w:w="1842" w:type="dxa"/>
            <w:vAlign w:val="center"/>
          </w:tcPr>
          <w:p w:rsidR="0045275A" w:rsidRDefault="00BA39A9">
            <w:pPr>
              <w:jc w:val="right"/>
            </w:pPr>
            <w:r>
              <w:rPr>
                <w:rFonts w:eastAsiaTheme="minorEastAsia"/>
                <w:color w:val="000000" w:themeColor="text1"/>
                <w:szCs w:val="21"/>
              </w:rPr>
              <w:t>1,427,360.00</w:t>
            </w:r>
          </w:p>
        </w:tc>
        <w:tc>
          <w:tcPr>
            <w:tcW w:w="1616" w:type="dxa"/>
            <w:vAlign w:val="center"/>
          </w:tcPr>
          <w:p w:rsidR="0045275A" w:rsidRDefault="00BA39A9">
            <w:pPr>
              <w:jc w:val="right"/>
            </w:pPr>
            <w:r>
              <w:rPr>
                <w:rFonts w:eastAsiaTheme="minorEastAsia"/>
                <w:color w:val="000000" w:themeColor="text1"/>
                <w:szCs w:val="21"/>
              </w:rPr>
              <w:t>1.18</w:t>
            </w:r>
          </w:p>
        </w:tc>
      </w:tr>
      <w:tr w:rsidR="0045275A">
        <w:tc>
          <w:tcPr>
            <w:tcW w:w="817" w:type="dxa"/>
            <w:vAlign w:val="center"/>
          </w:tcPr>
          <w:p w:rsidR="0045275A" w:rsidRDefault="00BA39A9">
            <w:pPr>
              <w:jc w:val="center"/>
            </w:pPr>
            <w:r>
              <w:rPr>
                <w:rFonts w:eastAsiaTheme="minorEastAsia"/>
                <w:color w:val="000000" w:themeColor="text1"/>
                <w:szCs w:val="21"/>
              </w:rPr>
              <w:t>7</w:t>
            </w:r>
          </w:p>
        </w:tc>
        <w:tc>
          <w:tcPr>
            <w:tcW w:w="1276" w:type="dxa"/>
            <w:vAlign w:val="center"/>
          </w:tcPr>
          <w:p w:rsidR="0045275A" w:rsidRDefault="00BA39A9">
            <w:pPr>
              <w:jc w:val="center"/>
            </w:pPr>
            <w:r>
              <w:rPr>
                <w:rFonts w:eastAsiaTheme="minorEastAsia"/>
                <w:color w:val="000000" w:themeColor="text1"/>
                <w:szCs w:val="21"/>
              </w:rPr>
              <w:t>601166</w:t>
            </w:r>
          </w:p>
        </w:tc>
        <w:tc>
          <w:tcPr>
            <w:tcW w:w="1701" w:type="dxa"/>
            <w:vAlign w:val="center"/>
          </w:tcPr>
          <w:p w:rsidR="0045275A" w:rsidRDefault="00BA39A9">
            <w:pPr>
              <w:jc w:val="center"/>
            </w:pPr>
            <w:r>
              <w:rPr>
                <w:rFonts w:eastAsiaTheme="minorEastAsia"/>
                <w:color w:val="000000" w:themeColor="text1"/>
                <w:szCs w:val="21"/>
              </w:rPr>
              <w:t>兴业银行</w:t>
            </w:r>
          </w:p>
        </w:tc>
        <w:tc>
          <w:tcPr>
            <w:tcW w:w="1276" w:type="dxa"/>
            <w:vAlign w:val="center"/>
          </w:tcPr>
          <w:p w:rsidR="0045275A" w:rsidRDefault="00BA39A9">
            <w:pPr>
              <w:jc w:val="right"/>
            </w:pPr>
            <w:r>
              <w:rPr>
                <w:rFonts w:eastAsiaTheme="minorEastAsia"/>
                <w:color w:val="000000" w:themeColor="text1"/>
                <w:szCs w:val="21"/>
              </w:rPr>
              <w:t>59,300.00</w:t>
            </w:r>
          </w:p>
        </w:tc>
        <w:tc>
          <w:tcPr>
            <w:tcW w:w="1842" w:type="dxa"/>
            <w:vAlign w:val="center"/>
          </w:tcPr>
          <w:p w:rsidR="0045275A" w:rsidRDefault="00BA39A9">
            <w:pPr>
              <w:jc w:val="right"/>
            </w:pPr>
            <w:r>
              <w:rPr>
                <w:rFonts w:eastAsiaTheme="minorEastAsia"/>
                <w:color w:val="000000" w:themeColor="text1"/>
                <w:szCs w:val="21"/>
              </w:rPr>
              <w:t>1,225,731.00</w:t>
            </w:r>
          </w:p>
        </w:tc>
        <w:tc>
          <w:tcPr>
            <w:tcW w:w="1616" w:type="dxa"/>
            <w:vAlign w:val="center"/>
          </w:tcPr>
          <w:p w:rsidR="0045275A" w:rsidRDefault="00BA39A9">
            <w:pPr>
              <w:jc w:val="right"/>
            </w:pPr>
            <w:r>
              <w:rPr>
                <w:rFonts w:eastAsiaTheme="minorEastAsia"/>
                <w:color w:val="000000" w:themeColor="text1"/>
                <w:szCs w:val="21"/>
              </w:rPr>
              <w:t>1.01</w:t>
            </w:r>
          </w:p>
        </w:tc>
      </w:tr>
      <w:tr w:rsidR="0045275A">
        <w:tc>
          <w:tcPr>
            <w:tcW w:w="817" w:type="dxa"/>
            <w:vAlign w:val="center"/>
          </w:tcPr>
          <w:p w:rsidR="0045275A" w:rsidRDefault="00BA39A9">
            <w:pPr>
              <w:jc w:val="center"/>
            </w:pPr>
            <w:r>
              <w:rPr>
                <w:rFonts w:eastAsiaTheme="minorEastAsia"/>
                <w:color w:val="000000" w:themeColor="text1"/>
                <w:szCs w:val="21"/>
              </w:rPr>
              <w:t>8</w:t>
            </w:r>
          </w:p>
        </w:tc>
        <w:tc>
          <w:tcPr>
            <w:tcW w:w="1276" w:type="dxa"/>
            <w:vAlign w:val="center"/>
          </w:tcPr>
          <w:p w:rsidR="0045275A" w:rsidRDefault="00BA39A9">
            <w:pPr>
              <w:jc w:val="center"/>
            </w:pPr>
            <w:r>
              <w:rPr>
                <w:rFonts w:eastAsiaTheme="minorEastAsia"/>
                <w:color w:val="000000" w:themeColor="text1"/>
                <w:szCs w:val="21"/>
              </w:rPr>
              <w:t>002594</w:t>
            </w:r>
          </w:p>
        </w:tc>
        <w:tc>
          <w:tcPr>
            <w:tcW w:w="1701" w:type="dxa"/>
            <w:vAlign w:val="center"/>
          </w:tcPr>
          <w:p w:rsidR="0045275A" w:rsidRDefault="00BA39A9">
            <w:pPr>
              <w:jc w:val="center"/>
            </w:pPr>
            <w:r>
              <w:rPr>
                <w:rFonts w:eastAsiaTheme="minorEastAsia"/>
                <w:color w:val="000000" w:themeColor="text1"/>
                <w:szCs w:val="21"/>
              </w:rPr>
              <w:t>比亚迪</w:t>
            </w:r>
          </w:p>
        </w:tc>
        <w:tc>
          <w:tcPr>
            <w:tcW w:w="1276" w:type="dxa"/>
            <w:vAlign w:val="center"/>
          </w:tcPr>
          <w:p w:rsidR="0045275A" w:rsidRDefault="00BA39A9">
            <w:pPr>
              <w:jc w:val="right"/>
            </w:pPr>
            <w:r>
              <w:rPr>
                <w:rFonts w:eastAsiaTheme="minorEastAsia"/>
                <w:color w:val="000000" w:themeColor="text1"/>
                <w:szCs w:val="21"/>
              </w:rPr>
              <w:t>5,153.00</w:t>
            </w:r>
          </w:p>
        </w:tc>
        <w:tc>
          <w:tcPr>
            <w:tcW w:w="1842" w:type="dxa"/>
            <w:vAlign w:val="center"/>
          </w:tcPr>
          <w:p w:rsidR="0045275A" w:rsidRDefault="00BA39A9">
            <w:pPr>
              <w:jc w:val="right"/>
            </w:pPr>
            <w:r>
              <w:rPr>
                <w:rFonts w:eastAsiaTheme="minorEastAsia"/>
                <w:color w:val="000000" w:themeColor="text1"/>
                <w:szCs w:val="21"/>
              </w:rPr>
              <w:t>1,184,159.40</w:t>
            </w:r>
          </w:p>
        </w:tc>
        <w:tc>
          <w:tcPr>
            <w:tcW w:w="1616" w:type="dxa"/>
            <w:vAlign w:val="center"/>
          </w:tcPr>
          <w:p w:rsidR="0045275A" w:rsidRDefault="00BA39A9">
            <w:pPr>
              <w:jc w:val="right"/>
            </w:pPr>
            <w:r>
              <w:rPr>
                <w:rFonts w:eastAsiaTheme="minorEastAsia"/>
                <w:color w:val="000000" w:themeColor="text1"/>
                <w:szCs w:val="21"/>
              </w:rPr>
              <w:t>0.98</w:t>
            </w:r>
          </w:p>
        </w:tc>
      </w:tr>
      <w:tr w:rsidR="0045275A">
        <w:tc>
          <w:tcPr>
            <w:tcW w:w="817" w:type="dxa"/>
            <w:vAlign w:val="center"/>
          </w:tcPr>
          <w:p w:rsidR="0045275A" w:rsidRDefault="00BA39A9">
            <w:pPr>
              <w:jc w:val="center"/>
            </w:pPr>
            <w:r>
              <w:rPr>
                <w:rFonts w:eastAsiaTheme="minorEastAsia"/>
                <w:color w:val="000000" w:themeColor="text1"/>
                <w:szCs w:val="21"/>
              </w:rPr>
              <w:t>9</w:t>
            </w:r>
          </w:p>
        </w:tc>
        <w:tc>
          <w:tcPr>
            <w:tcW w:w="1276" w:type="dxa"/>
            <w:vAlign w:val="center"/>
          </w:tcPr>
          <w:p w:rsidR="0045275A" w:rsidRDefault="00BA39A9">
            <w:pPr>
              <w:jc w:val="center"/>
            </w:pPr>
            <w:r>
              <w:rPr>
                <w:rFonts w:eastAsiaTheme="minorEastAsia"/>
                <w:color w:val="000000" w:themeColor="text1"/>
                <w:szCs w:val="21"/>
              </w:rPr>
              <w:t>601012</w:t>
            </w:r>
          </w:p>
        </w:tc>
        <w:tc>
          <w:tcPr>
            <w:tcW w:w="1701" w:type="dxa"/>
            <w:vAlign w:val="center"/>
          </w:tcPr>
          <w:p w:rsidR="0045275A" w:rsidRDefault="00BA39A9">
            <w:pPr>
              <w:jc w:val="center"/>
            </w:pPr>
            <w:r>
              <w:rPr>
                <w:rFonts w:eastAsiaTheme="minorEastAsia"/>
                <w:color w:val="000000" w:themeColor="text1"/>
                <w:szCs w:val="21"/>
              </w:rPr>
              <w:t>隆基股份</w:t>
            </w:r>
          </w:p>
        </w:tc>
        <w:tc>
          <w:tcPr>
            <w:tcW w:w="1276" w:type="dxa"/>
            <w:vAlign w:val="center"/>
          </w:tcPr>
          <w:p w:rsidR="0045275A" w:rsidRDefault="00BA39A9">
            <w:pPr>
              <w:jc w:val="right"/>
            </w:pPr>
            <w:r>
              <w:rPr>
                <w:rFonts w:eastAsiaTheme="minorEastAsia"/>
                <w:color w:val="000000" w:themeColor="text1"/>
                <w:szCs w:val="21"/>
              </w:rPr>
              <w:t>15,400.00</w:t>
            </w:r>
          </w:p>
        </w:tc>
        <w:tc>
          <w:tcPr>
            <w:tcW w:w="1842" w:type="dxa"/>
            <w:vAlign w:val="center"/>
          </w:tcPr>
          <w:p w:rsidR="0045275A" w:rsidRDefault="00BA39A9">
            <w:pPr>
              <w:jc w:val="right"/>
            </w:pPr>
            <w:r>
              <w:rPr>
                <w:rFonts w:eastAsiaTheme="minorEastAsia"/>
                <w:color w:val="000000" w:themeColor="text1"/>
                <w:szCs w:val="21"/>
              </w:rPr>
              <w:t>1,111,726.00</w:t>
            </w:r>
          </w:p>
        </w:tc>
        <w:tc>
          <w:tcPr>
            <w:tcW w:w="1616" w:type="dxa"/>
            <w:vAlign w:val="center"/>
          </w:tcPr>
          <w:p w:rsidR="0045275A" w:rsidRDefault="00BA39A9">
            <w:pPr>
              <w:jc w:val="right"/>
            </w:pPr>
            <w:r>
              <w:rPr>
                <w:rFonts w:eastAsiaTheme="minorEastAsia"/>
                <w:color w:val="000000" w:themeColor="text1"/>
                <w:szCs w:val="21"/>
              </w:rPr>
              <w:t>0.92</w:t>
            </w:r>
          </w:p>
        </w:tc>
      </w:tr>
      <w:tr w:rsidR="0045275A">
        <w:tc>
          <w:tcPr>
            <w:tcW w:w="817" w:type="dxa"/>
            <w:vAlign w:val="center"/>
          </w:tcPr>
          <w:p w:rsidR="0045275A" w:rsidRDefault="00BA39A9">
            <w:pPr>
              <w:jc w:val="center"/>
            </w:pPr>
            <w:r>
              <w:rPr>
                <w:rFonts w:eastAsiaTheme="minorEastAsia"/>
                <w:color w:val="000000" w:themeColor="text1"/>
                <w:szCs w:val="21"/>
              </w:rPr>
              <w:t>10</w:t>
            </w:r>
          </w:p>
        </w:tc>
        <w:tc>
          <w:tcPr>
            <w:tcW w:w="1276" w:type="dxa"/>
            <w:vAlign w:val="center"/>
          </w:tcPr>
          <w:p w:rsidR="0045275A" w:rsidRDefault="00BA39A9">
            <w:pPr>
              <w:jc w:val="center"/>
            </w:pPr>
            <w:r>
              <w:rPr>
                <w:rFonts w:eastAsiaTheme="minorEastAsia"/>
                <w:color w:val="000000" w:themeColor="text1"/>
                <w:szCs w:val="21"/>
              </w:rPr>
              <w:t>300760</w:t>
            </w:r>
          </w:p>
        </w:tc>
        <w:tc>
          <w:tcPr>
            <w:tcW w:w="1701" w:type="dxa"/>
            <w:vAlign w:val="center"/>
          </w:tcPr>
          <w:p w:rsidR="0045275A" w:rsidRDefault="00BA39A9">
            <w:pPr>
              <w:jc w:val="center"/>
            </w:pPr>
            <w:r>
              <w:rPr>
                <w:rFonts w:eastAsiaTheme="minorEastAsia"/>
                <w:color w:val="000000" w:themeColor="text1"/>
                <w:szCs w:val="21"/>
              </w:rPr>
              <w:t>迈瑞医疗</w:t>
            </w:r>
          </w:p>
        </w:tc>
        <w:tc>
          <w:tcPr>
            <w:tcW w:w="1276" w:type="dxa"/>
            <w:vAlign w:val="center"/>
          </w:tcPr>
          <w:p w:rsidR="0045275A" w:rsidRDefault="00BA39A9">
            <w:pPr>
              <w:jc w:val="right"/>
            </w:pPr>
            <w:r>
              <w:rPr>
                <w:rFonts w:eastAsiaTheme="minorEastAsia"/>
                <w:color w:val="000000" w:themeColor="text1"/>
                <w:szCs w:val="21"/>
              </w:rPr>
              <w:t>3,467.00</w:t>
            </w:r>
          </w:p>
        </w:tc>
        <w:tc>
          <w:tcPr>
            <w:tcW w:w="1842" w:type="dxa"/>
            <w:vAlign w:val="center"/>
          </w:tcPr>
          <w:p w:rsidR="0045275A" w:rsidRDefault="00BA39A9">
            <w:pPr>
              <w:jc w:val="right"/>
            </w:pPr>
            <w:r>
              <w:rPr>
                <w:rFonts w:eastAsiaTheme="minorEastAsia"/>
                <w:color w:val="000000" w:themeColor="text1"/>
                <w:szCs w:val="21"/>
              </w:rPr>
              <w:t>1,065,235.75</w:t>
            </w:r>
          </w:p>
        </w:tc>
        <w:tc>
          <w:tcPr>
            <w:tcW w:w="1616" w:type="dxa"/>
            <w:vAlign w:val="center"/>
          </w:tcPr>
          <w:p w:rsidR="0045275A" w:rsidRDefault="00BA39A9">
            <w:pPr>
              <w:jc w:val="right"/>
            </w:pPr>
            <w:r>
              <w:rPr>
                <w:rFonts w:eastAsiaTheme="minorEastAsia"/>
                <w:color w:val="000000" w:themeColor="text1"/>
                <w:szCs w:val="21"/>
              </w:rPr>
              <w:t>0.88</w:t>
            </w:r>
          </w:p>
        </w:tc>
      </w:tr>
    </w:tbl>
    <w:p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kern w:val="0"/>
          <w:sz w:val="24"/>
        </w:rPr>
        <w:t>5.3.2</w:t>
      </w:r>
      <w:r w:rsidRPr="00473486">
        <w:rPr>
          <w:rFonts w:eastAsiaTheme="minorEastAsia"/>
          <w:b/>
          <w:color w:val="000000" w:themeColor="text1"/>
          <w:kern w:val="0"/>
          <w:sz w:val="24"/>
        </w:rPr>
        <w:t>期末</w:t>
      </w:r>
      <w:r w:rsidRPr="00473486">
        <w:rPr>
          <w:rFonts w:eastAsiaTheme="minorEastAsia"/>
          <w:b/>
          <w:color w:val="000000" w:themeColor="text1"/>
          <w:sz w:val="24"/>
        </w:rPr>
        <w:t>积极投资按公允价值占基金资产净值比例大小排序的前五名股票投资明细</w:t>
      </w:r>
    </w:p>
    <w:tbl>
      <w:tblPr>
        <w:tblStyle w:val="afa"/>
        <w:tblW w:w="8528" w:type="dxa"/>
        <w:tblLayout w:type="fixed"/>
        <w:tblLook w:val="04A0" w:firstRow="1" w:lastRow="0" w:firstColumn="1" w:lastColumn="0" w:noHBand="0" w:noVBand="1"/>
      </w:tblPr>
      <w:tblGrid>
        <w:gridCol w:w="817"/>
        <w:gridCol w:w="1276"/>
        <w:gridCol w:w="1701"/>
        <w:gridCol w:w="1276"/>
        <w:gridCol w:w="1842"/>
        <w:gridCol w:w="1616"/>
      </w:tblGrid>
      <w:tr w:rsidR="00881A82" w:rsidRPr="00473486">
        <w:tc>
          <w:tcPr>
            <w:tcW w:w="817"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序号</w:t>
            </w:r>
          </w:p>
        </w:tc>
        <w:tc>
          <w:tcPr>
            <w:tcW w:w="1276"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股票代码</w:t>
            </w:r>
          </w:p>
        </w:tc>
        <w:tc>
          <w:tcPr>
            <w:tcW w:w="1701"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股票名称</w:t>
            </w:r>
          </w:p>
        </w:tc>
        <w:tc>
          <w:tcPr>
            <w:tcW w:w="1276"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数量</w:t>
            </w:r>
            <w:r w:rsidRPr="00473486">
              <w:rPr>
                <w:rFonts w:eastAsiaTheme="minorEastAsia"/>
                <w:color w:val="000000" w:themeColor="text1"/>
                <w:szCs w:val="21"/>
              </w:rPr>
              <w:t>(</w:t>
            </w:r>
            <w:r w:rsidRPr="00473486">
              <w:rPr>
                <w:rFonts w:eastAsiaTheme="minorEastAsia"/>
                <w:color w:val="000000" w:themeColor="text1"/>
                <w:szCs w:val="21"/>
              </w:rPr>
              <w:t>股</w:t>
            </w:r>
            <w:r w:rsidRPr="00473486">
              <w:rPr>
                <w:rFonts w:eastAsiaTheme="minorEastAsia"/>
                <w:color w:val="000000" w:themeColor="text1"/>
                <w:szCs w:val="21"/>
              </w:rPr>
              <w:t>)</w:t>
            </w:r>
          </w:p>
        </w:tc>
        <w:tc>
          <w:tcPr>
            <w:tcW w:w="1842"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公允价值</w:t>
            </w:r>
            <w:r w:rsidRPr="00473486">
              <w:rPr>
                <w:rFonts w:eastAsiaTheme="minorEastAsia"/>
                <w:color w:val="000000" w:themeColor="text1"/>
                <w:szCs w:val="21"/>
              </w:rPr>
              <w:t>(</w:t>
            </w:r>
            <w:r w:rsidRPr="00473486">
              <w:rPr>
                <w:rFonts w:eastAsiaTheme="minorEastAsia"/>
                <w:color w:val="000000" w:themeColor="text1"/>
                <w:szCs w:val="21"/>
              </w:rPr>
              <w:t>元</w:t>
            </w:r>
            <w:r w:rsidRPr="00473486">
              <w:rPr>
                <w:rFonts w:eastAsiaTheme="minorEastAsia"/>
                <w:color w:val="000000" w:themeColor="text1"/>
                <w:szCs w:val="21"/>
              </w:rPr>
              <w:t>)</w:t>
            </w:r>
          </w:p>
        </w:tc>
        <w:tc>
          <w:tcPr>
            <w:tcW w:w="1616"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占基金资产净值比例</w:t>
            </w:r>
            <w:r w:rsidRPr="00473486">
              <w:rPr>
                <w:rFonts w:eastAsiaTheme="minorEastAsia"/>
                <w:color w:val="000000" w:themeColor="text1"/>
                <w:szCs w:val="21"/>
              </w:rPr>
              <w:t>(</w:t>
            </w:r>
            <w:r w:rsidRPr="00473486">
              <w:rPr>
                <w:rFonts w:eastAsiaTheme="minorEastAsia"/>
                <w:color w:val="000000" w:themeColor="text1"/>
                <w:szCs w:val="21"/>
              </w:rPr>
              <w:t>％</w:t>
            </w:r>
            <w:r w:rsidRPr="00473486">
              <w:rPr>
                <w:rFonts w:eastAsiaTheme="minorEastAsia"/>
                <w:color w:val="000000" w:themeColor="text1"/>
                <w:szCs w:val="21"/>
              </w:rPr>
              <w:t>)</w:t>
            </w:r>
          </w:p>
        </w:tc>
      </w:tr>
      <w:tr w:rsidR="0045275A">
        <w:tc>
          <w:tcPr>
            <w:tcW w:w="817" w:type="dxa"/>
            <w:vAlign w:val="center"/>
          </w:tcPr>
          <w:p w:rsidR="0045275A" w:rsidRDefault="00BA39A9">
            <w:pPr>
              <w:jc w:val="center"/>
            </w:pPr>
            <w:r>
              <w:rPr>
                <w:rFonts w:eastAsiaTheme="minorEastAsia"/>
                <w:color w:val="000000" w:themeColor="text1"/>
                <w:szCs w:val="21"/>
              </w:rPr>
              <w:t>1</w:t>
            </w:r>
          </w:p>
        </w:tc>
        <w:tc>
          <w:tcPr>
            <w:tcW w:w="1276" w:type="dxa"/>
            <w:vAlign w:val="center"/>
          </w:tcPr>
          <w:p w:rsidR="0045275A" w:rsidRDefault="00BA39A9">
            <w:pPr>
              <w:jc w:val="center"/>
            </w:pPr>
            <w:r>
              <w:rPr>
                <w:rFonts w:eastAsiaTheme="minorEastAsia"/>
                <w:color w:val="000000" w:themeColor="text1"/>
                <w:szCs w:val="21"/>
              </w:rPr>
              <w:t>688622</w:t>
            </w:r>
          </w:p>
        </w:tc>
        <w:tc>
          <w:tcPr>
            <w:tcW w:w="1701" w:type="dxa"/>
            <w:vAlign w:val="center"/>
          </w:tcPr>
          <w:p w:rsidR="0045275A" w:rsidRDefault="00BA39A9">
            <w:pPr>
              <w:jc w:val="center"/>
            </w:pPr>
            <w:r>
              <w:rPr>
                <w:rFonts w:eastAsiaTheme="minorEastAsia"/>
                <w:color w:val="000000" w:themeColor="text1"/>
                <w:szCs w:val="21"/>
              </w:rPr>
              <w:t>禾信仪器</w:t>
            </w:r>
          </w:p>
        </w:tc>
        <w:tc>
          <w:tcPr>
            <w:tcW w:w="1276" w:type="dxa"/>
            <w:vAlign w:val="center"/>
          </w:tcPr>
          <w:p w:rsidR="0045275A" w:rsidRDefault="00BA39A9">
            <w:pPr>
              <w:jc w:val="right"/>
            </w:pPr>
            <w:r>
              <w:rPr>
                <w:rFonts w:eastAsiaTheme="minorEastAsia"/>
                <w:color w:val="000000" w:themeColor="text1"/>
                <w:szCs w:val="21"/>
              </w:rPr>
              <w:t>1,204.00</w:t>
            </w:r>
          </w:p>
        </w:tc>
        <w:tc>
          <w:tcPr>
            <w:tcW w:w="1842" w:type="dxa"/>
            <w:vAlign w:val="center"/>
          </w:tcPr>
          <w:p w:rsidR="0045275A" w:rsidRDefault="00BA39A9">
            <w:pPr>
              <w:jc w:val="right"/>
            </w:pPr>
            <w:r>
              <w:rPr>
                <w:rFonts w:eastAsiaTheme="minorEastAsia"/>
                <w:color w:val="000000" w:themeColor="text1"/>
                <w:szCs w:val="21"/>
              </w:rPr>
              <w:t>43,705.20</w:t>
            </w:r>
          </w:p>
        </w:tc>
        <w:tc>
          <w:tcPr>
            <w:tcW w:w="1616" w:type="dxa"/>
            <w:vAlign w:val="center"/>
          </w:tcPr>
          <w:p w:rsidR="0045275A" w:rsidRDefault="00BA39A9">
            <w:pPr>
              <w:jc w:val="right"/>
            </w:pPr>
            <w:r>
              <w:rPr>
                <w:rFonts w:eastAsiaTheme="minorEastAsia"/>
                <w:color w:val="000000" w:themeColor="text1"/>
                <w:szCs w:val="21"/>
              </w:rPr>
              <w:t>0.04</w:t>
            </w:r>
          </w:p>
        </w:tc>
      </w:tr>
      <w:tr w:rsidR="0045275A">
        <w:tc>
          <w:tcPr>
            <w:tcW w:w="817" w:type="dxa"/>
            <w:vAlign w:val="center"/>
          </w:tcPr>
          <w:p w:rsidR="0045275A" w:rsidRDefault="00BA39A9">
            <w:pPr>
              <w:jc w:val="center"/>
            </w:pPr>
            <w:r>
              <w:rPr>
                <w:rFonts w:eastAsiaTheme="minorEastAsia"/>
                <w:color w:val="000000" w:themeColor="text1"/>
                <w:szCs w:val="21"/>
              </w:rPr>
              <w:t>2</w:t>
            </w:r>
          </w:p>
        </w:tc>
        <w:tc>
          <w:tcPr>
            <w:tcW w:w="1276" w:type="dxa"/>
            <w:vAlign w:val="center"/>
          </w:tcPr>
          <w:p w:rsidR="0045275A" w:rsidRDefault="00BA39A9">
            <w:pPr>
              <w:jc w:val="center"/>
            </w:pPr>
            <w:r>
              <w:rPr>
                <w:rFonts w:eastAsiaTheme="minorEastAsia"/>
                <w:color w:val="000000" w:themeColor="text1"/>
                <w:szCs w:val="21"/>
              </w:rPr>
              <w:t>301089</w:t>
            </w:r>
          </w:p>
        </w:tc>
        <w:tc>
          <w:tcPr>
            <w:tcW w:w="1701" w:type="dxa"/>
            <w:vAlign w:val="center"/>
          </w:tcPr>
          <w:p w:rsidR="0045275A" w:rsidRDefault="00BA39A9">
            <w:pPr>
              <w:jc w:val="center"/>
            </w:pPr>
            <w:r>
              <w:rPr>
                <w:rFonts w:eastAsiaTheme="minorEastAsia"/>
                <w:color w:val="000000" w:themeColor="text1"/>
                <w:szCs w:val="21"/>
              </w:rPr>
              <w:t>拓新药业</w:t>
            </w:r>
          </w:p>
        </w:tc>
        <w:tc>
          <w:tcPr>
            <w:tcW w:w="1276" w:type="dxa"/>
            <w:vAlign w:val="center"/>
          </w:tcPr>
          <w:p w:rsidR="0045275A" w:rsidRDefault="00BA39A9">
            <w:pPr>
              <w:jc w:val="right"/>
            </w:pPr>
            <w:r>
              <w:rPr>
                <w:rFonts w:eastAsiaTheme="minorEastAsia"/>
                <w:color w:val="000000" w:themeColor="text1"/>
                <w:szCs w:val="21"/>
              </w:rPr>
              <w:t>130.00</w:t>
            </w:r>
          </w:p>
        </w:tc>
        <w:tc>
          <w:tcPr>
            <w:tcW w:w="1842" w:type="dxa"/>
            <w:vAlign w:val="center"/>
          </w:tcPr>
          <w:p w:rsidR="0045275A" w:rsidRDefault="00BA39A9">
            <w:pPr>
              <w:jc w:val="right"/>
            </w:pPr>
            <w:r>
              <w:rPr>
                <w:rFonts w:eastAsiaTheme="minorEastAsia"/>
                <w:color w:val="000000" w:themeColor="text1"/>
                <w:szCs w:val="21"/>
              </w:rPr>
              <w:t>22,490.00</w:t>
            </w:r>
          </w:p>
        </w:tc>
        <w:tc>
          <w:tcPr>
            <w:tcW w:w="1616" w:type="dxa"/>
            <w:vAlign w:val="center"/>
          </w:tcPr>
          <w:p w:rsidR="0045275A" w:rsidRDefault="00BA39A9">
            <w:pPr>
              <w:jc w:val="right"/>
            </w:pPr>
            <w:r>
              <w:rPr>
                <w:rFonts w:eastAsiaTheme="minorEastAsia"/>
                <w:color w:val="000000" w:themeColor="text1"/>
                <w:szCs w:val="21"/>
              </w:rPr>
              <w:t>0.02</w:t>
            </w:r>
          </w:p>
        </w:tc>
      </w:tr>
      <w:tr w:rsidR="0045275A">
        <w:tc>
          <w:tcPr>
            <w:tcW w:w="817" w:type="dxa"/>
            <w:vAlign w:val="center"/>
          </w:tcPr>
          <w:p w:rsidR="0045275A" w:rsidRDefault="00BA39A9">
            <w:pPr>
              <w:jc w:val="center"/>
            </w:pPr>
            <w:r>
              <w:rPr>
                <w:rFonts w:eastAsiaTheme="minorEastAsia"/>
                <w:color w:val="000000" w:themeColor="text1"/>
                <w:szCs w:val="21"/>
              </w:rPr>
              <w:t>3</w:t>
            </w:r>
          </w:p>
        </w:tc>
        <w:tc>
          <w:tcPr>
            <w:tcW w:w="1276" w:type="dxa"/>
            <w:vAlign w:val="center"/>
          </w:tcPr>
          <w:p w:rsidR="0045275A" w:rsidRDefault="00BA39A9">
            <w:pPr>
              <w:jc w:val="center"/>
            </w:pPr>
            <w:r>
              <w:rPr>
                <w:rFonts w:eastAsiaTheme="minorEastAsia"/>
                <w:color w:val="000000" w:themeColor="text1"/>
                <w:szCs w:val="21"/>
              </w:rPr>
              <w:t>301062</w:t>
            </w:r>
          </w:p>
        </w:tc>
        <w:tc>
          <w:tcPr>
            <w:tcW w:w="1701" w:type="dxa"/>
            <w:vAlign w:val="center"/>
          </w:tcPr>
          <w:p w:rsidR="0045275A" w:rsidRDefault="00BA39A9">
            <w:pPr>
              <w:jc w:val="center"/>
            </w:pPr>
            <w:r>
              <w:rPr>
                <w:rFonts w:eastAsiaTheme="minorEastAsia"/>
                <w:color w:val="000000" w:themeColor="text1"/>
                <w:szCs w:val="21"/>
              </w:rPr>
              <w:t>上海艾录</w:t>
            </w:r>
          </w:p>
        </w:tc>
        <w:tc>
          <w:tcPr>
            <w:tcW w:w="1276" w:type="dxa"/>
            <w:vAlign w:val="center"/>
          </w:tcPr>
          <w:p w:rsidR="0045275A" w:rsidRDefault="00BA39A9">
            <w:pPr>
              <w:jc w:val="right"/>
            </w:pPr>
            <w:r>
              <w:rPr>
                <w:rFonts w:eastAsiaTheme="minorEastAsia"/>
                <w:color w:val="000000" w:themeColor="text1"/>
                <w:szCs w:val="21"/>
              </w:rPr>
              <w:t>523.00</w:t>
            </w:r>
          </w:p>
        </w:tc>
        <w:tc>
          <w:tcPr>
            <w:tcW w:w="1842" w:type="dxa"/>
            <w:vAlign w:val="center"/>
          </w:tcPr>
          <w:p w:rsidR="0045275A" w:rsidRDefault="00BA39A9">
            <w:pPr>
              <w:jc w:val="right"/>
            </w:pPr>
            <w:r>
              <w:rPr>
                <w:rFonts w:eastAsiaTheme="minorEastAsia"/>
                <w:color w:val="000000" w:themeColor="text1"/>
                <w:szCs w:val="21"/>
              </w:rPr>
              <w:t>6,605.49</w:t>
            </w:r>
          </w:p>
        </w:tc>
        <w:tc>
          <w:tcPr>
            <w:tcW w:w="1616" w:type="dxa"/>
            <w:vAlign w:val="center"/>
          </w:tcPr>
          <w:p w:rsidR="0045275A" w:rsidRDefault="00BA39A9">
            <w:pPr>
              <w:jc w:val="right"/>
            </w:pPr>
            <w:r>
              <w:rPr>
                <w:rFonts w:eastAsiaTheme="minorEastAsia"/>
                <w:color w:val="000000" w:themeColor="text1"/>
                <w:szCs w:val="21"/>
              </w:rPr>
              <w:t>0.01</w:t>
            </w:r>
          </w:p>
        </w:tc>
      </w:tr>
      <w:tr w:rsidR="0045275A">
        <w:tc>
          <w:tcPr>
            <w:tcW w:w="817" w:type="dxa"/>
            <w:vAlign w:val="center"/>
          </w:tcPr>
          <w:p w:rsidR="0045275A" w:rsidRDefault="00BA39A9">
            <w:pPr>
              <w:jc w:val="center"/>
            </w:pPr>
            <w:r>
              <w:rPr>
                <w:rFonts w:eastAsiaTheme="minorEastAsia"/>
                <w:color w:val="000000" w:themeColor="text1"/>
                <w:szCs w:val="21"/>
              </w:rPr>
              <w:t>4</w:t>
            </w:r>
          </w:p>
        </w:tc>
        <w:tc>
          <w:tcPr>
            <w:tcW w:w="1276" w:type="dxa"/>
            <w:vAlign w:val="center"/>
          </w:tcPr>
          <w:p w:rsidR="0045275A" w:rsidRDefault="00BA39A9">
            <w:pPr>
              <w:jc w:val="center"/>
            </w:pPr>
            <w:r>
              <w:rPr>
                <w:rFonts w:eastAsiaTheme="minorEastAsia"/>
                <w:color w:val="000000" w:themeColor="text1"/>
                <w:szCs w:val="21"/>
              </w:rPr>
              <w:t>301073</w:t>
            </w:r>
          </w:p>
        </w:tc>
        <w:tc>
          <w:tcPr>
            <w:tcW w:w="1701" w:type="dxa"/>
            <w:vAlign w:val="center"/>
          </w:tcPr>
          <w:p w:rsidR="0045275A" w:rsidRDefault="00BA39A9">
            <w:pPr>
              <w:jc w:val="center"/>
            </w:pPr>
            <w:r>
              <w:rPr>
                <w:rFonts w:eastAsiaTheme="minorEastAsia"/>
                <w:color w:val="000000" w:themeColor="text1"/>
                <w:szCs w:val="21"/>
              </w:rPr>
              <w:t>君亭酒店</w:t>
            </w:r>
          </w:p>
        </w:tc>
        <w:tc>
          <w:tcPr>
            <w:tcW w:w="1276" w:type="dxa"/>
            <w:vAlign w:val="center"/>
          </w:tcPr>
          <w:p w:rsidR="0045275A" w:rsidRDefault="00BA39A9">
            <w:pPr>
              <w:jc w:val="right"/>
            </w:pPr>
            <w:r>
              <w:rPr>
                <w:rFonts w:eastAsiaTheme="minorEastAsia"/>
                <w:color w:val="000000" w:themeColor="text1"/>
                <w:szCs w:val="21"/>
              </w:rPr>
              <w:t>123.00</w:t>
            </w:r>
          </w:p>
        </w:tc>
        <w:tc>
          <w:tcPr>
            <w:tcW w:w="1842" w:type="dxa"/>
            <w:vAlign w:val="center"/>
          </w:tcPr>
          <w:p w:rsidR="0045275A" w:rsidRDefault="00BA39A9">
            <w:pPr>
              <w:jc w:val="right"/>
            </w:pPr>
            <w:r>
              <w:rPr>
                <w:rFonts w:eastAsiaTheme="minorEastAsia"/>
                <w:color w:val="000000" w:themeColor="text1"/>
                <w:szCs w:val="21"/>
              </w:rPr>
              <w:t>6,494.40</w:t>
            </w:r>
          </w:p>
        </w:tc>
        <w:tc>
          <w:tcPr>
            <w:tcW w:w="1616" w:type="dxa"/>
            <w:vAlign w:val="center"/>
          </w:tcPr>
          <w:p w:rsidR="0045275A" w:rsidRDefault="00BA39A9">
            <w:pPr>
              <w:jc w:val="right"/>
            </w:pPr>
            <w:r>
              <w:rPr>
                <w:rFonts w:eastAsiaTheme="minorEastAsia"/>
                <w:color w:val="000000" w:themeColor="text1"/>
                <w:szCs w:val="21"/>
              </w:rPr>
              <w:t>0.01</w:t>
            </w:r>
          </w:p>
        </w:tc>
      </w:tr>
      <w:tr w:rsidR="0045275A">
        <w:tc>
          <w:tcPr>
            <w:tcW w:w="817" w:type="dxa"/>
            <w:vAlign w:val="center"/>
          </w:tcPr>
          <w:p w:rsidR="0045275A" w:rsidRDefault="00BA39A9">
            <w:pPr>
              <w:jc w:val="center"/>
            </w:pPr>
            <w:r>
              <w:rPr>
                <w:rFonts w:eastAsiaTheme="minorEastAsia"/>
                <w:color w:val="000000" w:themeColor="text1"/>
                <w:szCs w:val="21"/>
              </w:rPr>
              <w:t>5</w:t>
            </w:r>
          </w:p>
        </w:tc>
        <w:tc>
          <w:tcPr>
            <w:tcW w:w="1276" w:type="dxa"/>
            <w:vAlign w:val="center"/>
          </w:tcPr>
          <w:p w:rsidR="0045275A" w:rsidRDefault="00BA39A9">
            <w:pPr>
              <w:jc w:val="center"/>
            </w:pPr>
            <w:r>
              <w:rPr>
                <w:rFonts w:eastAsiaTheme="minorEastAsia"/>
                <w:color w:val="000000" w:themeColor="text1"/>
                <w:szCs w:val="21"/>
              </w:rPr>
              <w:t>301056</w:t>
            </w:r>
          </w:p>
        </w:tc>
        <w:tc>
          <w:tcPr>
            <w:tcW w:w="1701" w:type="dxa"/>
            <w:vAlign w:val="center"/>
          </w:tcPr>
          <w:p w:rsidR="0045275A" w:rsidRDefault="00BA39A9">
            <w:pPr>
              <w:jc w:val="center"/>
            </w:pPr>
            <w:r>
              <w:rPr>
                <w:rFonts w:eastAsiaTheme="minorEastAsia"/>
                <w:color w:val="000000" w:themeColor="text1"/>
                <w:szCs w:val="21"/>
              </w:rPr>
              <w:t>森赫股份</w:t>
            </w:r>
          </w:p>
        </w:tc>
        <w:tc>
          <w:tcPr>
            <w:tcW w:w="1276" w:type="dxa"/>
            <w:vAlign w:val="center"/>
          </w:tcPr>
          <w:p w:rsidR="0045275A" w:rsidRDefault="00BA39A9">
            <w:pPr>
              <w:jc w:val="right"/>
            </w:pPr>
            <w:r>
              <w:rPr>
                <w:rFonts w:eastAsiaTheme="minorEastAsia"/>
                <w:color w:val="000000" w:themeColor="text1"/>
                <w:szCs w:val="21"/>
              </w:rPr>
              <w:t>572.00</w:t>
            </w:r>
          </w:p>
        </w:tc>
        <w:tc>
          <w:tcPr>
            <w:tcW w:w="1842" w:type="dxa"/>
            <w:vAlign w:val="center"/>
          </w:tcPr>
          <w:p w:rsidR="0045275A" w:rsidRDefault="00BA39A9">
            <w:pPr>
              <w:jc w:val="right"/>
            </w:pPr>
            <w:r>
              <w:rPr>
                <w:rFonts w:eastAsiaTheme="minorEastAsia"/>
                <w:color w:val="000000" w:themeColor="text1"/>
                <w:szCs w:val="21"/>
              </w:rPr>
              <w:t>5,903.04</w:t>
            </w:r>
          </w:p>
        </w:tc>
        <w:tc>
          <w:tcPr>
            <w:tcW w:w="1616" w:type="dxa"/>
            <w:vAlign w:val="center"/>
          </w:tcPr>
          <w:p w:rsidR="0045275A" w:rsidRDefault="00BA39A9">
            <w:pPr>
              <w:jc w:val="right"/>
            </w:pPr>
            <w:r>
              <w:rPr>
                <w:rFonts w:eastAsiaTheme="minorEastAsia"/>
                <w:color w:val="000000" w:themeColor="text1"/>
                <w:szCs w:val="21"/>
              </w:rPr>
              <w:t>0.00</w:t>
            </w:r>
          </w:p>
        </w:tc>
      </w:tr>
    </w:tbl>
    <w:p w:rsidR="00881A82" w:rsidRPr="00473486" w:rsidRDefault="00881A82">
      <w:pPr>
        <w:autoSpaceDE w:val="0"/>
        <w:autoSpaceDN w:val="0"/>
        <w:adjustRightInd w:val="0"/>
        <w:spacing w:line="360" w:lineRule="auto"/>
        <w:jc w:val="left"/>
        <w:rPr>
          <w:rFonts w:eastAsiaTheme="minorEastAsia"/>
          <w:color w:val="000000" w:themeColor="text1"/>
          <w:szCs w:val="21"/>
        </w:rPr>
      </w:pP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5.4 </w:t>
      </w:r>
      <w:r w:rsidRPr="00473486">
        <w:rPr>
          <w:rFonts w:eastAsiaTheme="minorEastAsia"/>
          <w:b/>
          <w:color w:val="000000" w:themeColor="text1"/>
          <w:kern w:val="0"/>
          <w:sz w:val="24"/>
        </w:rPr>
        <w:t>报告期末按债券品种分类的债券投资组合</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835"/>
        <w:gridCol w:w="2694"/>
        <w:gridCol w:w="1757"/>
      </w:tblGrid>
      <w:tr w:rsidR="00881A82" w:rsidRPr="00473486">
        <w:tc>
          <w:tcPr>
            <w:tcW w:w="1242" w:type="dxa"/>
            <w:shd w:val="clear" w:color="auto" w:fill="auto"/>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序号</w:t>
            </w:r>
          </w:p>
        </w:tc>
        <w:tc>
          <w:tcPr>
            <w:tcW w:w="2835" w:type="dxa"/>
            <w:shd w:val="clear" w:color="auto" w:fill="auto"/>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债券品种</w:t>
            </w:r>
          </w:p>
        </w:tc>
        <w:tc>
          <w:tcPr>
            <w:tcW w:w="2694" w:type="dxa"/>
            <w:shd w:val="clear" w:color="auto" w:fill="auto"/>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公允价值</w:t>
            </w:r>
            <w:r w:rsidRPr="00473486">
              <w:rPr>
                <w:rFonts w:eastAsiaTheme="minorEastAsia"/>
                <w:color w:val="000000" w:themeColor="text1"/>
                <w:szCs w:val="21"/>
              </w:rPr>
              <w:t>(</w:t>
            </w:r>
            <w:r w:rsidRPr="00473486">
              <w:rPr>
                <w:rFonts w:eastAsiaTheme="minorEastAsia"/>
                <w:color w:val="000000" w:themeColor="text1"/>
                <w:szCs w:val="21"/>
              </w:rPr>
              <w:t>元</w:t>
            </w:r>
            <w:r w:rsidRPr="00473486">
              <w:rPr>
                <w:rFonts w:eastAsiaTheme="minorEastAsia"/>
                <w:color w:val="000000" w:themeColor="text1"/>
                <w:szCs w:val="21"/>
              </w:rPr>
              <w:t>)</w:t>
            </w:r>
          </w:p>
        </w:tc>
        <w:tc>
          <w:tcPr>
            <w:tcW w:w="1757" w:type="dxa"/>
            <w:shd w:val="clear" w:color="auto" w:fill="auto"/>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占基金资产净值比例</w:t>
            </w:r>
            <w:r w:rsidRPr="00473486">
              <w:rPr>
                <w:rFonts w:eastAsiaTheme="minorEastAsia"/>
                <w:color w:val="000000" w:themeColor="text1"/>
                <w:szCs w:val="21"/>
              </w:rPr>
              <w:t>(</w:t>
            </w:r>
            <w:r w:rsidRPr="00473486">
              <w:rPr>
                <w:rFonts w:eastAsiaTheme="minorEastAsia"/>
                <w:color w:val="000000" w:themeColor="text1"/>
                <w:szCs w:val="21"/>
              </w:rPr>
              <w:t>％</w:t>
            </w:r>
            <w:r w:rsidRPr="00473486">
              <w:rPr>
                <w:rFonts w:eastAsiaTheme="minorEastAsia"/>
                <w:color w:val="000000" w:themeColor="text1"/>
                <w:szCs w:val="21"/>
              </w:rPr>
              <w:t>)</w:t>
            </w:r>
          </w:p>
        </w:tc>
      </w:tr>
      <w:tr w:rsidR="00881A82" w:rsidRPr="00473486">
        <w:tc>
          <w:tcPr>
            <w:tcW w:w="1242" w:type="dxa"/>
            <w:shd w:val="clear" w:color="auto" w:fill="auto"/>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1</w:t>
            </w:r>
          </w:p>
        </w:tc>
        <w:tc>
          <w:tcPr>
            <w:tcW w:w="2835" w:type="dxa"/>
            <w:shd w:val="clear" w:color="auto" w:fill="auto"/>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国家债券</w:t>
            </w:r>
          </w:p>
        </w:tc>
        <w:tc>
          <w:tcPr>
            <w:tcW w:w="2694" w:type="dxa"/>
            <w:shd w:val="clear" w:color="auto" w:fill="auto"/>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757" w:type="dxa"/>
            <w:shd w:val="clear" w:color="auto" w:fill="auto"/>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c>
          <w:tcPr>
            <w:tcW w:w="1242" w:type="dxa"/>
            <w:shd w:val="clear" w:color="auto" w:fill="auto"/>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2</w:t>
            </w:r>
          </w:p>
        </w:tc>
        <w:tc>
          <w:tcPr>
            <w:tcW w:w="2835" w:type="dxa"/>
            <w:shd w:val="clear" w:color="auto" w:fill="auto"/>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央行票据</w:t>
            </w:r>
          </w:p>
        </w:tc>
        <w:tc>
          <w:tcPr>
            <w:tcW w:w="2694" w:type="dxa"/>
            <w:shd w:val="clear" w:color="auto" w:fill="auto"/>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757" w:type="dxa"/>
            <w:shd w:val="clear" w:color="auto" w:fill="auto"/>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c>
          <w:tcPr>
            <w:tcW w:w="1242" w:type="dxa"/>
            <w:shd w:val="clear" w:color="auto" w:fill="auto"/>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3</w:t>
            </w:r>
          </w:p>
        </w:tc>
        <w:tc>
          <w:tcPr>
            <w:tcW w:w="2835" w:type="dxa"/>
            <w:shd w:val="clear" w:color="auto" w:fill="auto"/>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金融债券</w:t>
            </w:r>
          </w:p>
        </w:tc>
        <w:tc>
          <w:tcPr>
            <w:tcW w:w="2694" w:type="dxa"/>
            <w:shd w:val="clear" w:color="auto" w:fill="auto"/>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757" w:type="dxa"/>
            <w:shd w:val="clear" w:color="auto" w:fill="auto"/>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c>
          <w:tcPr>
            <w:tcW w:w="1242" w:type="dxa"/>
            <w:shd w:val="clear" w:color="auto" w:fill="auto"/>
            <w:vAlign w:val="center"/>
          </w:tcPr>
          <w:p w:rsidR="00881A82" w:rsidRPr="00473486" w:rsidRDefault="00881A82">
            <w:pPr>
              <w:spacing w:before="29" w:line="360" w:lineRule="auto"/>
              <w:ind w:left="17"/>
              <w:jc w:val="center"/>
              <w:rPr>
                <w:rFonts w:eastAsiaTheme="minorEastAsia"/>
                <w:color w:val="000000" w:themeColor="text1"/>
                <w:szCs w:val="21"/>
              </w:rPr>
            </w:pPr>
          </w:p>
        </w:tc>
        <w:tc>
          <w:tcPr>
            <w:tcW w:w="2835" w:type="dxa"/>
            <w:shd w:val="clear" w:color="auto" w:fill="auto"/>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其中：政策性金融债</w:t>
            </w:r>
          </w:p>
        </w:tc>
        <w:tc>
          <w:tcPr>
            <w:tcW w:w="2694" w:type="dxa"/>
            <w:shd w:val="clear" w:color="auto" w:fill="auto"/>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757" w:type="dxa"/>
            <w:shd w:val="clear" w:color="auto" w:fill="auto"/>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c>
          <w:tcPr>
            <w:tcW w:w="1242" w:type="dxa"/>
            <w:shd w:val="clear" w:color="auto" w:fill="auto"/>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4</w:t>
            </w:r>
          </w:p>
        </w:tc>
        <w:tc>
          <w:tcPr>
            <w:tcW w:w="2835" w:type="dxa"/>
            <w:shd w:val="clear" w:color="auto" w:fill="auto"/>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企业债券</w:t>
            </w:r>
          </w:p>
        </w:tc>
        <w:tc>
          <w:tcPr>
            <w:tcW w:w="2694" w:type="dxa"/>
            <w:shd w:val="clear" w:color="auto" w:fill="auto"/>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757" w:type="dxa"/>
            <w:shd w:val="clear" w:color="auto" w:fill="auto"/>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c>
          <w:tcPr>
            <w:tcW w:w="1242" w:type="dxa"/>
            <w:shd w:val="clear" w:color="auto" w:fill="auto"/>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5</w:t>
            </w:r>
          </w:p>
        </w:tc>
        <w:tc>
          <w:tcPr>
            <w:tcW w:w="2835" w:type="dxa"/>
            <w:shd w:val="clear" w:color="auto" w:fill="auto"/>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企业短期融资券</w:t>
            </w:r>
          </w:p>
        </w:tc>
        <w:tc>
          <w:tcPr>
            <w:tcW w:w="2694" w:type="dxa"/>
            <w:shd w:val="clear" w:color="auto" w:fill="auto"/>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757" w:type="dxa"/>
            <w:shd w:val="clear" w:color="auto" w:fill="auto"/>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c>
          <w:tcPr>
            <w:tcW w:w="1242" w:type="dxa"/>
            <w:shd w:val="clear" w:color="auto" w:fill="auto"/>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6</w:t>
            </w:r>
          </w:p>
        </w:tc>
        <w:tc>
          <w:tcPr>
            <w:tcW w:w="2835" w:type="dxa"/>
            <w:shd w:val="clear" w:color="auto" w:fill="auto"/>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中期票据</w:t>
            </w:r>
          </w:p>
        </w:tc>
        <w:tc>
          <w:tcPr>
            <w:tcW w:w="2694" w:type="dxa"/>
            <w:shd w:val="clear" w:color="auto" w:fill="auto"/>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757" w:type="dxa"/>
            <w:shd w:val="clear" w:color="auto" w:fill="auto"/>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c>
          <w:tcPr>
            <w:tcW w:w="1242" w:type="dxa"/>
            <w:shd w:val="clear" w:color="auto" w:fill="auto"/>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7</w:t>
            </w:r>
          </w:p>
        </w:tc>
        <w:tc>
          <w:tcPr>
            <w:tcW w:w="2835" w:type="dxa"/>
            <w:shd w:val="clear" w:color="auto" w:fill="auto"/>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可转债（可交换债）</w:t>
            </w:r>
          </w:p>
        </w:tc>
        <w:tc>
          <w:tcPr>
            <w:tcW w:w="2694" w:type="dxa"/>
            <w:shd w:val="clear" w:color="auto" w:fill="auto"/>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670,917.40</w:t>
            </w:r>
          </w:p>
        </w:tc>
        <w:tc>
          <w:tcPr>
            <w:tcW w:w="1757" w:type="dxa"/>
            <w:shd w:val="clear" w:color="auto" w:fill="auto"/>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0.56</w:t>
            </w:r>
          </w:p>
        </w:tc>
      </w:tr>
      <w:tr w:rsidR="00881A82" w:rsidRPr="00473486">
        <w:tc>
          <w:tcPr>
            <w:tcW w:w="1242" w:type="dxa"/>
            <w:shd w:val="clear" w:color="auto" w:fill="auto"/>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8</w:t>
            </w:r>
          </w:p>
        </w:tc>
        <w:tc>
          <w:tcPr>
            <w:tcW w:w="2835" w:type="dxa"/>
            <w:shd w:val="clear" w:color="auto" w:fill="auto"/>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同业存单</w:t>
            </w:r>
          </w:p>
        </w:tc>
        <w:tc>
          <w:tcPr>
            <w:tcW w:w="2694" w:type="dxa"/>
            <w:shd w:val="clear" w:color="auto" w:fill="auto"/>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757" w:type="dxa"/>
            <w:shd w:val="clear" w:color="auto" w:fill="auto"/>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c>
          <w:tcPr>
            <w:tcW w:w="1242" w:type="dxa"/>
            <w:shd w:val="clear" w:color="auto" w:fill="auto"/>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9</w:t>
            </w:r>
          </w:p>
        </w:tc>
        <w:tc>
          <w:tcPr>
            <w:tcW w:w="2835" w:type="dxa"/>
            <w:shd w:val="clear" w:color="auto" w:fill="auto"/>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其他</w:t>
            </w:r>
          </w:p>
        </w:tc>
        <w:tc>
          <w:tcPr>
            <w:tcW w:w="2694" w:type="dxa"/>
            <w:shd w:val="clear" w:color="auto" w:fill="auto"/>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757" w:type="dxa"/>
            <w:shd w:val="clear" w:color="auto" w:fill="auto"/>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c>
          <w:tcPr>
            <w:tcW w:w="1242" w:type="dxa"/>
            <w:shd w:val="clear" w:color="auto" w:fill="auto"/>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10</w:t>
            </w:r>
          </w:p>
        </w:tc>
        <w:tc>
          <w:tcPr>
            <w:tcW w:w="2835" w:type="dxa"/>
            <w:shd w:val="clear" w:color="auto" w:fill="auto"/>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合计</w:t>
            </w:r>
          </w:p>
        </w:tc>
        <w:tc>
          <w:tcPr>
            <w:tcW w:w="2694" w:type="dxa"/>
            <w:shd w:val="clear" w:color="auto" w:fill="auto"/>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670,917.40</w:t>
            </w:r>
          </w:p>
        </w:tc>
        <w:tc>
          <w:tcPr>
            <w:tcW w:w="1757" w:type="dxa"/>
            <w:shd w:val="clear" w:color="auto" w:fill="auto"/>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0.56</w:t>
            </w:r>
          </w:p>
        </w:tc>
      </w:tr>
    </w:tbl>
    <w:p w:rsidR="00881A82" w:rsidRPr="00473486" w:rsidRDefault="00881A82">
      <w:pPr>
        <w:autoSpaceDE w:val="0"/>
        <w:autoSpaceDN w:val="0"/>
        <w:adjustRightInd w:val="0"/>
        <w:spacing w:line="360" w:lineRule="auto"/>
        <w:jc w:val="left"/>
        <w:rPr>
          <w:rFonts w:eastAsiaTheme="minorEastAsia"/>
          <w:color w:val="000000" w:themeColor="text1"/>
          <w:kern w:val="0"/>
          <w:szCs w:val="21"/>
        </w:rPr>
      </w:pP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5.5 </w:t>
      </w:r>
      <w:r w:rsidRPr="00473486">
        <w:rPr>
          <w:rFonts w:eastAsiaTheme="minorEastAsia"/>
          <w:b/>
          <w:color w:val="000000" w:themeColor="text1"/>
          <w:kern w:val="0"/>
          <w:sz w:val="24"/>
        </w:rPr>
        <w:t>报告期末按公允价值占基金资产净值比例大小排序的前五名债券投资明细</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
        <w:gridCol w:w="1310"/>
        <w:gridCol w:w="1282"/>
        <w:gridCol w:w="1426"/>
        <w:gridCol w:w="1646"/>
        <w:gridCol w:w="1612"/>
      </w:tblGrid>
      <w:tr w:rsidR="00881A82" w:rsidRPr="00473486">
        <w:tc>
          <w:tcPr>
            <w:tcW w:w="1252" w:type="dxa"/>
            <w:shd w:val="clear" w:color="auto" w:fill="auto"/>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序号</w:t>
            </w:r>
          </w:p>
        </w:tc>
        <w:tc>
          <w:tcPr>
            <w:tcW w:w="1310" w:type="dxa"/>
            <w:shd w:val="clear" w:color="auto" w:fill="auto"/>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债券代码</w:t>
            </w:r>
          </w:p>
        </w:tc>
        <w:tc>
          <w:tcPr>
            <w:tcW w:w="1282" w:type="dxa"/>
            <w:shd w:val="clear" w:color="auto" w:fill="auto"/>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债券名称</w:t>
            </w:r>
          </w:p>
        </w:tc>
        <w:tc>
          <w:tcPr>
            <w:tcW w:w="1426" w:type="dxa"/>
            <w:shd w:val="clear" w:color="auto" w:fill="auto"/>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数量</w:t>
            </w:r>
            <w:r w:rsidRPr="00473486">
              <w:rPr>
                <w:rFonts w:eastAsiaTheme="minorEastAsia"/>
                <w:color w:val="000000" w:themeColor="text1"/>
                <w:szCs w:val="21"/>
              </w:rPr>
              <w:t>(</w:t>
            </w:r>
            <w:r w:rsidRPr="00473486">
              <w:rPr>
                <w:rFonts w:eastAsiaTheme="minorEastAsia"/>
                <w:color w:val="000000" w:themeColor="text1"/>
                <w:szCs w:val="21"/>
              </w:rPr>
              <w:t>张</w:t>
            </w:r>
            <w:r w:rsidRPr="00473486">
              <w:rPr>
                <w:rFonts w:eastAsiaTheme="minorEastAsia"/>
                <w:color w:val="000000" w:themeColor="text1"/>
                <w:szCs w:val="21"/>
              </w:rPr>
              <w:t>)</w:t>
            </w:r>
          </w:p>
        </w:tc>
        <w:tc>
          <w:tcPr>
            <w:tcW w:w="1646" w:type="dxa"/>
            <w:shd w:val="clear" w:color="auto" w:fill="auto"/>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公允价值</w:t>
            </w:r>
            <w:r w:rsidRPr="00473486">
              <w:rPr>
                <w:rFonts w:eastAsiaTheme="minorEastAsia"/>
                <w:color w:val="000000" w:themeColor="text1"/>
                <w:szCs w:val="21"/>
              </w:rPr>
              <w:t>(</w:t>
            </w:r>
            <w:r w:rsidRPr="00473486">
              <w:rPr>
                <w:rFonts w:eastAsiaTheme="minorEastAsia"/>
                <w:color w:val="000000" w:themeColor="text1"/>
                <w:szCs w:val="21"/>
              </w:rPr>
              <w:t>元</w:t>
            </w:r>
            <w:r w:rsidRPr="00473486">
              <w:rPr>
                <w:rFonts w:eastAsiaTheme="minorEastAsia"/>
                <w:color w:val="000000" w:themeColor="text1"/>
                <w:szCs w:val="21"/>
              </w:rPr>
              <w:t>)</w:t>
            </w:r>
          </w:p>
        </w:tc>
        <w:tc>
          <w:tcPr>
            <w:tcW w:w="1612" w:type="dxa"/>
            <w:shd w:val="clear" w:color="auto" w:fill="auto"/>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占基金资产净值比例</w:t>
            </w:r>
            <w:r w:rsidRPr="00473486">
              <w:rPr>
                <w:rFonts w:eastAsiaTheme="minorEastAsia"/>
                <w:color w:val="000000" w:themeColor="text1"/>
                <w:szCs w:val="21"/>
              </w:rPr>
              <w:t>(</w:t>
            </w:r>
            <w:r w:rsidRPr="00473486">
              <w:rPr>
                <w:rFonts w:eastAsiaTheme="minorEastAsia"/>
                <w:color w:val="000000" w:themeColor="text1"/>
                <w:szCs w:val="21"/>
              </w:rPr>
              <w:t>％</w:t>
            </w:r>
            <w:r w:rsidRPr="00473486">
              <w:rPr>
                <w:rFonts w:eastAsiaTheme="minorEastAsia"/>
                <w:color w:val="000000" w:themeColor="text1"/>
                <w:szCs w:val="21"/>
              </w:rPr>
              <w:t>)</w:t>
            </w:r>
          </w:p>
        </w:tc>
      </w:tr>
      <w:tr w:rsidR="0045275A">
        <w:tc>
          <w:tcPr>
            <w:tcW w:w="1252" w:type="dxa"/>
            <w:vAlign w:val="center"/>
          </w:tcPr>
          <w:p w:rsidR="0045275A" w:rsidRDefault="00BA39A9">
            <w:pPr>
              <w:jc w:val="center"/>
            </w:pPr>
            <w:r>
              <w:rPr>
                <w:rFonts w:eastAsiaTheme="minorEastAsia"/>
                <w:color w:val="000000" w:themeColor="text1"/>
                <w:szCs w:val="21"/>
              </w:rPr>
              <w:t>1</w:t>
            </w:r>
          </w:p>
        </w:tc>
        <w:tc>
          <w:tcPr>
            <w:tcW w:w="1310" w:type="dxa"/>
            <w:vAlign w:val="center"/>
          </w:tcPr>
          <w:p w:rsidR="0045275A" w:rsidRDefault="00BA39A9">
            <w:pPr>
              <w:jc w:val="center"/>
            </w:pPr>
            <w:r>
              <w:rPr>
                <w:rFonts w:eastAsiaTheme="minorEastAsia"/>
                <w:color w:val="000000" w:themeColor="text1"/>
                <w:szCs w:val="21"/>
              </w:rPr>
              <w:t>113052</w:t>
            </w:r>
          </w:p>
        </w:tc>
        <w:tc>
          <w:tcPr>
            <w:tcW w:w="1282" w:type="dxa"/>
            <w:vAlign w:val="center"/>
          </w:tcPr>
          <w:p w:rsidR="0045275A" w:rsidRDefault="00BA39A9">
            <w:pPr>
              <w:jc w:val="center"/>
            </w:pPr>
            <w:r>
              <w:rPr>
                <w:rFonts w:eastAsiaTheme="minorEastAsia"/>
                <w:color w:val="000000" w:themeColor="text1"/>
                <w:szCs w:val="21"/>
              </w:rPr>
              <w:t>兴业转债</w:t>
            </w:r>
          </w:p>
        </w:tc>
        <w:tc>
          <w:tcPr>
            <w:tcW w:w="1426" w:type="dxa"/>
            <w:vAlign w:val="center"/>
          </w:tcPr>
          <w:p w:rsidR="0045275A" w:rsidRDefault="00BA39A9">
            <w:pPr>
              <w:jc w:val="right"/>
            </w:pPr>
            <w:r>
              <w:rPr>
                <w:rFonts w:eastAsiaTheme="minorEastAsia"/>
                <w:color w:val="000000" w:themeColor="text1"/>
                <w:szCs w:val="21"/>
              </w:rPr>
              <w:t>1,750</w:t>
            </w:r>
          </w:p>
        </w:tc>
        <w:tc>
          <w:tcPr>
            <w:tcW w:w="1646" w:type="dxa"/>
            <w:vAlign w:val="center"/>
          </w:tcPr>
          <w:p w:rsidR="0045275A" w:rsidRDefault="00BA39A9">
            <w:pPr>
              <w:jc w:val="right"/>
            </w:pPr>
            <w:r>
              <w:rPr>
                <w:rFonts w:eastAsiaTheme="minorEastAsia"/>
                <w:color w:val="000000" w:themeColor="text1"/>
                <w:szCs w:val="21"/>
              </w:rPr>
              <w:t>192,485.38</w:t>
            </w:r>
          </w:p>
        </w:tc>
        <w:tc>
          <w:tcPr>
            <w:tcW w:w="1612" w:type="dxa"/>
            <w:vAlign w:val="center"/>
          </w:tcPr>
          <w:p w:rsidR="0045275A" w:rsidRDefault="00BA39A9">
            <w:pPr>
              <w:jc w:val="right"/>
            </w:pPr>
            <w:r>
              <w:rPr>
                <w:rFonts w:eastAsiaTheme="minorEastAsia"/>
                <w:color w:val="000000" w:themeColor="text1"/>
                <w:szCs w:val="21"/>
              </w:rPr>
              <w:t>0.16</w:t>
            </w:r>
          </w:p>
        </w:tc>
      </w:tr>
      <w:tr w:rsidR="0045275A">
        <w:tc>
          <w:tcPr>
            <w:tcW w:w="1252" w:type="dxa"/>
            <w:vAlign w:val="center"/>
          </w:tcPr>
          <w:p w:rsidR="0045275A" w:rsidRDefault="00BA39A9">
            <w:pPr>
              <w:jc w:val="center"/>
            </w:pPr>
            <w:r>
              <w:rPr>
                <w:rFonts w:eastAsiaTheme="minorEastAsia"/>
                <w:color w:val="000000" w:themeColor="text1"/>
                <w:szCs w:val="21"/>
              </w:rPr>
              <w:t>2</w:t>
            </w:r>
          </w:p>
        </w:tc>
        <w:tc>
          <w:tcPr>
            <w:tcW w:w="1310" w:type="dxa"/>
            <w:vAlign w:val="center"/>
          </w:tcPr>
          <w:p w:rsidR="0045275A" w:rsidRDefault="00BA39A9">
            <w:pPr>
              <w:jc w:val="center"/>
            </w:pPr>
            <w:r>
              <w:rPr>
                <w:rFonts w:eastAsiaTheme="minorEastAsia"/>
                <w:color w:val="000000" w:themeColor="text1"/>
                <w:szCs w:val="21"/>
              </w:rPr>
              <w:t>113042</w:t>
            </w:r>
          </w:p>
        </w:tc>
        <w:tc>
          <w:tcPr>
            <w:tcW w:w="1282" w:type="dxa"/>
            <w:vAlign w:val="center"/>
          </w:tcPr>
          <w:p w:rsidR="0045275A" w:rsidRDefault="00BA39A9">
            <w:pPr>
              <w:jc w:val="center"/>
            </w:pPr>
            <w:r>
              <w:rPr>
                <w:rFonts w:eastAsiaTheme="minorEastAsia"/>
                <w:color w:val="000000" w:themeColor="text1"/>
                <w:szCs w:val="21"/>
              </w:rPr>
              <w:t>上银转债</w:t>
            </w:r>
          </w:p>
        </w:tc>
        <w:tc>
          <w:tcPr>
            <w:tcW w:w="1426" w:type="dxa"/>
            <w:vAlign w:val="center"/>
          </w:tcPr>
          <w:p w:rsidR="0045275A" w:rsidRDefault="00BA39A9">
            <w:pPr>
              <w:jc w:val="right"/>
            </w:pPr>
            <w:r>
              <w:rPr>
                <w:rFonts w:eastAsiaTheme="minorEastAsia"/>
                <w:color w:val="000000" w:themeColor="text1"/>
                <w:szCs w:val="21"/>
              </w:rPr>
              <w:t>1,240</w:t>
            </w:r>
          </w:p>
        </w:tc>
        <w:tc>
          <w:tcPr>
            <w:tcW w:w="1646" w:type="dxa"/>
            <w:vAlign w:val="center"/>
          </w:tcPr>
          <w:p w:rsidR="0045275A" w:rsidRDefault="00BA39A9">
            <w:pPr>
              <w:jc w:val="right"/>
            </w:pPr>
            <w:r>
              <w:rPr>
                <w:rFonts w:eastAsiaTheme="minorEastAsia"/>
                <w:color w:val="000000" w:themeColor="text1"/>
                <w:szCs w:val="21"/>
              </w:rPr>
              <w:t>129,884.70</w:t>
            </w:r>
          </w:p>
        </w:tc>
        <w:tc>
          <w:tcPr>
            <w:tcW w:w="1612" w:type="dxa"/>
            <w:vAlign w:val="center"/>
          </w:tcPr>
          <w:p w:rsidR="0045275A" w:rsidRDefault="00BA39A9">
            <w:pPr>
              <w:jc w:val="right"/>
            </w:pPr>
            <w:r>
              <w:rPr>
                <w:rFonts w:eastAsiaTheme="minorEastAsia"/>
                <w:color w:val="000000" w:themeColor="text1"/>
                <w:szCs w:val="21"/>
              </w:rPr>
              <w:t>0.11</w:t>
            </w:r>
          </w:p>
        </w:tc>
      </w:tr>
      <w:tr w:rsidR="0045275A">
        <w:tc>
          <w:tcPr>
            <w:tcW w:w="1252" w:type="dxa"/>
            <w:vAlign w:val="center"/>
          </w:tcPr>
          <w:p w:rsidR="0045275A" w:rsidRDefault="00BA39A9">
            <w:pPr>
              <w:jc w:val="center"/>
            </w:pPr>
            <w:r>
              <w:rPr>
                <w:rFonts w:eastAsiaTheme="minorEastAsia"/>
                <w:color w:val="000000" w:themeColor="text1"/>
                <w:szCs w:val="21"/>
              </w:rPr>
              <w:t>3</w:t>
            </w:r>
          </w:p>
        </w:tc>
        <w:tc>
          <w:tcPr>
            <w:tcW w:w="1310" w:type="dxa"/>
            <w:vAlign w:val="center"/>
          </w:tcPr>
          <w:p w:rsidR="0045275A" w:rsidRDefault="00BA39A9">
            <w:pPr>
              <w:jc w:val="center"/>
            </w:pPr>
            <w:r>
              <w:rPr>
                <w:rFonts w:eastAsiaTheme="minorEastAsia"/>
                <w:color w:val="000000" w:themeColor="text1"/>
                <w:szCs w:val="21"/>
              </w:rPr>
              <w:t>113050</w:t>
            </w:r>
          </w:p>
        </w:tc>
        <w:tc>
          <w:tcPr>
            <w:tcW w:w="1282" w:type="dxa"/>
            <w:vAlign w:val="center"/>
          </w:tcPr>
          <w:p w:rsidR="0045275A" w:rsidRDefault="00BA39A9">
            <w:pPr>
              <w:jc w:val="center"/>
            </w:pPr>
            <w:r>
              <w:rPr>
                <w:rFonts w:eastAsiaTheme="minorEastAsia"/>
                <w:color w:val="000000" w:themeColor="text1"/>
                <w:szCs w:val="21"/>
              </w:rPr>
              <w:t>南银转债</w:t>
            </w:r>
          </w:p>
        </w:tc>
        <w:tc>
          <w:tcPr>
            <w:tcW w:w="1426" w:type="dxa"/>
            <w:vAlign w:val="center"/>
          </w:tcPr>
          <w:p w:rsidR="0045275A" w:rsidRDefault="00BA39A9">
            <w:pPr>
              <w:jc w:val="right"/>
            </w:pPr>
            <w:r>
              <w:rPr>
                <w:rFonts w:eastAsiaTheme="minorEastAsia"/>
                <w:color w:val="000000" w:themeColor="text1"/>
                <w:szCs w:val="21"/>
              </w:rPr>
              <w:t>930</w:t>
            </w:r>
          </w:p>
        </w:tc>
        <w:tc>
          <w:tcPr>
            <w:tcW w:w="1646" w:type="dxa"/>
            <w:vAlign w:val="center"/>
          </w:tcPr>
          <w:p w:rsidR="0045275A" w:rsidRDefault="00BA39A9">
            <w:pPr>
              <w:jc w:val="right"/>
            </w:pPr>
            <w:r>
              <w:rPr>
                <w:rFonts w:eastAsiaTheme="minorEastAsia"/>
                <w:color w:val="000000" w:themeColor="text1"/>
                <w:szCs w:val="21"/>
              </w:rPr>
              <w:t>111,039.32</w:t>
            </w:r>
          </w:p>
        </w:tc>
        <w:tc>
          <w:tcPr>
            <w:tcW w:w="1612" w:type="dxa"/>
            <w:vAlign w:val="center"/>
          </w:tcPr>
          <w:p w:rsidR="0045275A" w:rsidRDefault="00BA39A9">
            <w:pPr>
              <w:jc w:val="right"/>
            </w:pPr>
            <w:r>
              <w:rPr>
                <w:rFonts w:eastAsiaTheme="minorEastAsia"/>
                <w:color w:val="000000" w:themeColor="text1"/>
                <w:szCs w:val="21"/>
              </w:rPr>
              <w:t>0.09</w:t>
            </w:r>
          </w:p>
        </w:tc>
      </w:tr>
      <w:tr w:rsidR="0045275A">
        <w:tc>
          <w:tcPr>
            <w:tcW w:w="1252" w:type="dxa"/>
            <w:vAlign w:val="center"/>
          </w:tcPr>
          <w:p w:rsidR="0045275A" w:rsidRDefault="00BA39A9">
            <w:pPr>
              <w:jc w:val="center"/>
            </w:pPr>
            <w:r>
              <w:rPr>
                <w:rFonts w:eastAsiaTheme="minorEastAsia"/>
                <w:color w:val="000000" w:themeColor="text1"/>
                <w:szCs w:val="21"/>
              </w:rPr>
              <w:t>4</w:t>
            </w:r>
          </w:p>
        </w:tc>
        <w:tc>
          <w:tcPr>
            <w:tcW w:w="1310" w:type="dxa"/>
            <w:vAlign w:val="center"/>
          </w:tcPr>
          <w:p w:rsidR="0045275A" w:rsidRDefault="00BA39A9">
            <w:pPr>
              <w:jc w:val="center"/>
            </w:pPr>
            <w:r>
              <w:rPr>
                <w:rFonts w:eastAsiaTheme="minorEastAsia"/>
                <w:color w:val="000000" w:themeColor="text1"/>
                <w:szCs w:val="21"/>
              </w:rPr>
              <w:t>110079</w:t>
            </w:r>
          </w:p>
        </w:tc>
        <w:tc>
          <w:tcPr>
            <w:tcW w:w="1282" w:type="dxa"/>
            <w:vAlign w:val="center"/>
          </w:tcPr>
          <w:p w:rsidR="0045275A" w:rsidRDefault="00BA39A9">
            <w:pPr>
              <w:jc w:val="center"/>
            </w:pPr>
            <w:r>
              <w:rPr>
                <w:rFonts w:eastAsiaTheme="minorEastAsia"/>
                <w:color w:val="000000" w:themeColor="text1"/>
                <w:szCs w:val="21"/>
              </w:rPr>
              <w:t>杭银转债</w:t>
            </w:r>
          </w:p>
        </w:tc>
        <w:tc>
          <w:tcPr>
            <w:tcW w:w="1426" w:type="dxa"/>
            <w:vAlign w:val="center"/>
          </w:tcPr>
          <w:p w:rsidR="0045275A" w:rsidRDefault="00BA39A9">
            <w:pPr>
              <w:jc w:val="right"/>
            </w:pPr>
            <w:r>
              <w:rPr>
                <w:rFonts w:eastAsiaTheme="minorEastAsia"/>
                <w:color w:val="000000" w:themeColor="text1"/>
                <w:szCs w:val="21"/>
              </w:rPr>
              <w:t>810</w:t>
            </w:r>
          </w:p>
        </w:tc>
        <w:tc>
          <w:tcPr>
            <w:tcW w:w="1646" w:type="dxa"/>
            <w:vAlign w:val="center"/>
          </w:tcPr>
          <w:p w:rsidR="0045275A" w:rsidRDefault="00BA39A9">
            <w:pPr>
              <w:jc w:val="right"/>
            </w:pPr>
            <w:r>
              <w:rPr>
                <w:rFonts w:eastAsiaTheme="minorEastAsia"/>
                <w:color w:val="000000" w:themeColor="text1"/>
                <w:szCs w:val="21"/>
              </w:rPr>
              <w:t>99,202.83</w:t>
            </w:r>
          </w:p>
        </w:tc>
        <w:tc>
          <w:tcPr>
            <w:tcW w:w="1612" w:type="dxa"/>
            <w:vAlign w:val="center"/>
          </w:tcPr>
          <w:p w:rsidR="0045275A" w:rsidRDefault="00BA39A9">
            <w:pPr>
              <w:jc w:val="right"/>
            </w:pPr>
            <w:r>
              <w:rPr>
                <w:rFonts w:eastAsiaTheme="minorEastAsia"/>
                <w:color w:val="000000" w:themeColor="text1"/>
                <w:szCs w:val="21"/>
              </w:rPr>
              <w:t>0.08</w:t>
            </w:r>
          </w:p>
        </w:tc>
      </w:tr>
      <w:tr w:rsidR="0045275A">
        <w:tc>
          <w:tcPr>
            <w:tcW w:w="1252" w:type="dxa"/>
            <w:vAlign w:val="center"/>
          </w:tcPr>
          <w:p w:rsidR="0045275A" w:rsidRDefault="00BA39A9">
            <w:pPr>
              <w:jc w:val="center"/>
            </w:pPr>
            <w:r>
              <w:rPr>
                <w:rFonts w:eastAsiaTheme="minorEastAsia"/>
                <w:color w:val="000000" w:themeColor="text1"/>
                <w:szCs w:val="21"/>
              </w:rPr>
              <w:t>5</w:t>
            </w:r>
          </w:p>
        </w:tc>
        <w:tc>
          <w:tcPr>
            <w:tcW w:w="1310" w:type="dxa"/>
            <w:vAlign w:val="center"/>
          </w:tcPr>
          <w:p w:rsidR="0045275A" w:rsidRDefault="00BA39A9">
            <w:pPr>
              <w:jc w:val="center"/>
            </w:pPr>
            <w:r>
              <w:rPr>
                <w:rFonts w:eastAsiaTheme="minorEastAsia"/>
                <w:color w:val="000000" w:themeColor="text1"/>
                <w:szCs w:val="21"/>
              </w:rPr>
              <w:t>123107</w:t>
            </w:r>
          </w:p>
        </w:tc>
        <w:tc>
          <w:tcPr>
            <w:tcW w:w="1282" w:type="dxa"/>
            <w:vAlign w:val="center"/>
          </w:tcPr>
          <w:p w:rsidR="0045275A" w:rsidRDefault="00BA39A9">
            <w:pPr>
              <w:jc w:val="center"/>
            </w:pPr>
            <w:r>
              <w:rPr>
                <w:rFonts w:eastAsiaTheme="minorEastAsia"/>
                <w:color w:val="000000" w:themeColor="text1"/>
                <w:szCs w:val="21"/>
              </w:rPr>
              <w:t>温氏转债</w:t>
            </w:r>
          </w:p>
        </w:tc>
        <w:tc>
          <w:tcPr>
            <w:tcW w:w="1426" w:type="dxa"/>
            <w:vAlign w:val="center"/>
          </w:tcPr>
          <w:p w:rsidR="0045275A" w:rsidRDefault="00BA39A9">
            <w:pPr>
              <w:jc w:val="right"/>
            </w:pPr>
            <w:r>
              <w:rPr>
                <w:rFonts w:eastAsiaTheme="minorEastAsia"/>
                <w:color w:val="000000" w:themeColor="text1"/>
                <w:szCs w:val="21"/>
              </w:rPr>
              <w:t>504</w:t>
            </w:r>
          </w:p>
        </w:tc>
        <w:tc>
          <w:tcPr>
            <w:tcW w:w="1646" w:type="dxa"/>
            <w:vAlign w:val="center"/>
          </w:tcPr>
          <w:p w:rsidR="0045275A" w:rsidRDefault="00BA39A9">
            <w:pPr>
              <w:jc w:val="right"/>
            </w:pPr>
            <w:r>
              <w:rPr>
                <w:rFonts w:eastAsiaTheme="minorEastAsia"/>
                <w:color w:val="000000" w:themeColor="text1"/>
                <w:szCs w:val="21"/>
              </w:rPr>
              <w:t>64,664.86</w:t>
            </w:r>
          </w:p>
        </w:tc>
        <w:tc>
          <w:tcPr>
            <w:tcW w:w="1612" w:type="dxa"/>
            <w:vAlign w:val="center"/>
          </w:tcPr>
          <w:p w:rsidR="0045275A" w:rsidRDefault="00BA39A9">
            <w:pPr>
              <w:jc w:val="right"/>
            </w:pPr>
            <w:r>
              <w:rPr>
                <w:rFonts w:eastAsiaTheme="minorEastAsia"/>
                <w:color w:val="000000" w:themeColor="text1"/>
                <w:szCs w:val="21"/>
              </w:rPr>
              <w:t>0.05</w:t>
            </w:r>
          </w:p>
        </w:tc>
      </w:tr>
    </w:tbl>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5.6</w:t>
      </w:r>
      <w:r w:rsidRPr="00473486">
        <w:rPr>
          <w:rFonts w:eastAsiaTheme="minorEastAsia"/>
          <w:b/>
          <w:color w:val="000000" w:themeColor="text1"/>
          <w:kern w:val="0"/>
          <w:sz w:val="24"/>
        </w:rPr>
        <w:t>报告期末按公允价值占基金资产净值比例大小排序的前十名资产支持证券投资明细</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本基金本报告期末未持有资产支持证券。</w:t>
      </w:r>
    </w:p>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7D1E3A">
      <w:pPr>
        <w:autoSpaceDE w:val="0"/>
        <w:autoSpaceDN w:val="0"/>
        <w:adjustRightInd w:val="0"/>
        <w:spacing w:line="360" w:lineRule="auto"/>
        <w:jc w:val="left"/>
        <w:rPr>
          <w:rFonts w:eastAsiaTheme="minorEastAsia"/>
          <w:b/>
          <w:bCs/>
          <w:color w:val="000000" w:themeColor="text1"/>
          <w:kern w:val="0"/>
          <w:sz w:val="24"/>
        </w:rPr>
      </w:pPr>
      <w:r w:rsidRPr="00473486">
        <w:rPr>
          <w:rFonts w:eastAsiaTheme="minorEastAsia"/>
          <w:b/>
          <w:bCs/>
          <w:color w:val="000000" w:themeColor="text1"/>
          <w:kern w:val="0"/>
          <w:sz w:val="24"/>
        </w:rPr>
        <w:t xml:space="preserve">5.7 </w:t>
      </w:r>
      <w:r w:rsidRPr="00473486">
        <w:rPr>
          <w:rFonts w:eastAsiaTheme="minorEastAsia"/>
          <w:b/>
          <w:bCs/>
          <w:color w:val="000000" w:themeColor="text1"/>
          <w:kern w:val="0"/>
          <w:sz w:val="24"/>
        </w:rPr>
        <w:t>报告期末按公允价值占基金资产净值比例大小排序的前五名贵金属投资明细</w:t>
      </w:r>
    </w:p>
    <w:p w:rsidR="00881A82" w:rsidRPr="00473486" w:rsidRDefault="007D1E3A">
      <w:pPr>
        <w:widowControl/>
        <w:spacing w:line="360" w:lineRule="auto"/>
        <w:jc w:val="left"/>
        <w:rPr>
          <w:color w:val="000000" w:themeColor="text1"/>
          <w:szCs w:val="21"/>
        </w:rPr>
      </w:pPr>
      <w:r w:rsidRPr="00473486">
        <w:rPr>
          <w:color w:val="000000" w:themeColor="text1"/>
          <w:szCs w:val="21"/>
        </w:rPr>
        <w:t>本基金本报告期末未持有贵金属。</w:t>
      </w:r>
    </w:p>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5.8</w:t>
      </w:r>
      <w:r w:rsidRPr="00473486">
        <w:rPr>
          <w:rFonts w:eastAsiaTheme="minorEastAsia"/>
          <w:b/>
          <w:bCs/>
          <w:color w:val="000000" w:themeColor="text1"/>
          <w:sz w:val="24"/>
        </w:rPr>
        <w:t>报告期末按公允价值占基金资产净值比例大小排序的前五名权证投资明细</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本基金本报告期末未持有权证。</w:t>
      </w:r>
    </w:p>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7D1E3A">
      <w:pPr>
        <w:adjustRightInd w:val="0"/>
        <w:snapToGrid w:val="0"/>
        <w:spacing w:line="360" w:lineRule="auto"/>
        <w:rPr>
          <w:rFonts w:eastAsiaTheme="minorEastAsia"/>
          <w:b/>
          <w:color w:val="000000" w:themeColor="text1"/>
          <w:sz w:val="24"/>
        </w:rPr>
      </w:pPr>
      <w:r w:rsidRPr="00473486">
        <w:rPr>
          <w:rFonts w:eastAsiaTheme="minorEastAsia"/>
          <w:b/>
          <w:color w:val="000000" w:themeColor="text1"/>
          <w:sz w:val="24"/>
        </w:rPr>
        <w:t xml:space="preserve">5.9 </w:t>
      </w:r>
      <w:r w:rsidRPr="00473486">
        <w:rPr>
          <w:rFonts w:eastAsiaTheme="minorEastAsia"/>
          <w:b/>
          <w:color w:val="000000" w:themeColor="text1"/>
          <w:sz w:val="24"/>
        </w:rPr>
        <w:t>报告期末本基金投资的股指期货交易情况说明</w:t>
      </w:r>
    </w:p>
    <w:tbl>
      <w:tblPr>
        <w:tblW w:w="8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2"/>
        <w:gridCol w:w="1422"/>
        <w:gridCol w:w="1422"/>
        <w:gridCol w:w="1422"/>
        <w:gridCol w:w="1423"/>
        <w:gridCol w:w="1416"/>
      </w:tblGrid>
      <w:tr w:rsidR="00881A82" w:rsidRPr="00473486">
        <w:trPr>
          <w:trHeight w:val="105"/>
        </w:trPr>
        <w:tc>
          <w:tcPr>
            <w:tcW w:w="1422" w:type="dxa"/>
          </w:tcPr>
          <w:p w:rsidR="00881A82" w:rsidRPr="00473486" w:rsidRDefault="007D1E3A">
            <w:pPr>
              <w:pStyle w:val="Default"/>
              <w:rPr>
                <w:rFonts w:ascii="Times New Roman" w:eastAsiaTheme="minorEastAsia" w:hAnsi="Times New Roman" w:cs="Times New Roman"/>
                <w:color w:val="000000" w:themeColor="text1"/>
                <w:sz w:val="21"/>
                <w:szCs w:val="21"/>
              </w:rPr>
            </w:pPr>
            <w:r w:rsidRPr="00473486">
              <w:rPr>
                <w:rFonts w:ascii="Times New Roman" w:eastAsiaTheme="minorEastAsia" w:hAnsi="Times New Roman" w:cs="Times New Roman"/>
                <w:color w:val="000000" w:themeColor="text1"/>
                <w:sz w:val="21"/>
                <w:szCs w:val="21"/>
              </w:rPr>
              <w:t>代码</w:t>
            </w:r>
          </w:p>
        </w:tc>
        <w:tc>
          <w:tcPr>
            <w:tcW w:w="1422" w:type="dxa"/>
          </w:tcPr>
          <w:p w:rsidR="00881A82" w:rsidRPr="00473486" w:rsidRDefault="007D1E3A">
            <w:pPr>
              <w:pStyle w:val="Default"/>
              <w:rPr>
                <w:rFonts w:ascii="Times New Roman" w:eastAsiaTheme="minorEastAsia" w:hAnsi="Times New Roman" w:cs="Times New Roman"/>
                <w:color w:val="000000" w:themeColor="text1"/>
                <w:sz w:val="21"/>
                <w:szCs w:val="21"/>
              </w:rPr>
            </w:pPr>
            <w:r w:rsidRPr="00473486">
              <w:rPr>
                <w:rFonts w:ascii="Times New Roman" w:eastAsiaTheme="minorEastAsia" w:hAnsi="Times New Roman" w:cs="Times New Roman"/>
                <w:color w:val="000000" w:themeColor="text1"/>
                <w:sz w:val="21"/>
                <w:szCs w:val="21"/>
              </w:rPr>
              <w:t>名称</w:t>
            </w:r>
          </w:p>
        </w:tc>
        <w:tc>
          <w:tcPr>
            <w:tcW w:w="1422" w:type="dxa"/>
          </w:tcPr>
          <w:p w:rsidR="00881A82" w:rsidRPr="00473486" w:rsidRDefault="007D1E3A">
            <w:pPr>
              <w:pStyle w:val="Default"/>
              <w:rPr>
                <w:rFonts w:ascii="Times New Roman" w:eastAsiaTheme="minorEastAsia" w:hAnsi="Times New Roman" w:cs="Times New Roman"/>
                <w:color w:val="000000" w:themeColor="text1"/>
                <w:sz w:val="21"/>
                <w:szCs w:val="21"/>
              </w:rPr>
            </w:pPr>
            <w:r w:rsidRPr="00473486">
              <w:rPr>
                <w:rFonts w:ascii="Times New Roman" w:eastAsiaTheme="minorEastAsia" w:hAnsi="Times New Roman" w:cs="Times New Roman"/>
                <w:color w:val="000000" w:themeColor="text1"/>
                <w:sz w:val="21"/>
                <w:szCs w:val="21"/>
              </w:rPr>
              <w:t>持仓量</w:t>
            </w:r>
          </w:p>
        </w:tc>
        <w:tc>
          <w:tcPr>
            <w:tcW w:w="1422" w:type="dxa"/>
          </w:tcPr>
          <w:p w:rsidR="00881A82" w:rsidRPr="00473486" w:rsidRDefault="007D1E3A">
            <w:pPr>
              <w:pStyle w:val="Default"/>
              <w:rPr>
                <w:rFonts w:ascii="Times New Roman" w:eastAsiaTheme="minorEastAsia" w:hAnsi="Times New Roman" w:cs="Times New Roman"/>
                <w:color w:val="000000" w:themeColor="text1"/>
                <w:sz w:val="21"/>
                <w:szCs w:val="21"/>
              </w:rPr>
            </w:pPr>
            <w:r w:rsidRPr="00473486">
              <w:rPr>
                <w:rFonts w:ascii="Times New Roman" w:eastAsiaTheme="minorEastAsia" w:hAnsi="Times New Roman" w:cs="Times New Roman"/>
                <w:color w:val="000000" w:themeColor="text1"/>
                <w:sz w:val="21"/>
                <w:szCs w:val="21"/>
              </w:rPr>
              <w:t>合约市值</w:t>
            </w:r>
            <w:r w:rsidRPr="00473486">
              <w:rPr>
                <w:rFonts w:ascii="Times New Roman" w:eastAsiaTheme="minorEastAsia" w:hAnsi="Times New Roman" w:cs="Times New Roman"/>
                <w:color w:val="000000" w:themeColor="text1"/>
                <w:sz w:val="21"/>
                <w:szCs w:val="21"/>
              </w:rPr>
              <w:t>(</w:t>
            </w:r>
            <w:r w:rsidRPr="00473486">
              <w:rPr>
                <w:rFonts w:ascii="Times New Roman" w:eastAsiaTheme="minorEastAsia" w:hAnsi="Times New Roman" w:cs="Times New Roman"/>
                <w:color w:val="000000" w:themeColor="text1"/>
                <w:sz w:val="21"/>
                <w:szCs w:val="21"/>
              </w:rPr>
              <w:t>元</w:t>
            </w:r>
            <w:r w:rsidRPr="00473486">
              <w:rPr>
                <w:rFonts w:ascii="Times New Roman" w:eastAsiaTheme="minorEastAsia" w:hAnsi="Times New Roman" w:cs="Times New Roman"/>
                <w:color w:val="000000" w:themeColor="text1"/>
                <w:sz w:val="21"/>
                <w:szCs w:val="21"/>
              </w:rPr>
              <w:t>)</w:t>
            </w:r>
          </w:p>
        </w:tc>
        <w:tc>
          <w:tcPr>
            <w:tcW w:w="1423" w:type="dxa"/>
          </w:tcPr>
          <w:p w:rsidR="00881A82" w:rsidRPr="00473486" w:rsidRDefault="007D1E3A">
            <w:pPr>
              <w:pStyle w:val="Default"/>
              <w:rPr>
                <w:rFonts w:ascii="Times New Roman" w:eastAsiaTheme="minorEastAsia" w:hAnsi="Times New Roman" w:cs="Times New Roman"/>
                <w:color w:val="000000" w:themeColor="text1"/>
                <w:sz w:val="21"/>
                <w:szCs w:val="21"/>
              </w:rPr>
            </w:pPr>
            <w:r w:rsidRPr="00473486">
              <w:rPr>
                <w:rFonts w:ascii="Times New Roman" w:eastAsiaTheme="minorEastAsia" w:hAnsi="Times New Roman" w:cs="Times New Roman"/>
                <w:color w:val="000000" w:themeColor="text1"/>
                <w:sz w:val="21"/>
                <w:szCs w:val="21"/>
              </w:rPr>
              <w:t>公允价值变动</w:t>
            </w:r>
            <w:r w:rsidRPr="00473486">
              <w:rPr>
                <w:rFonts w:ascii="Times New Roman" w:eastAsiaTheme="minorEastAsia" w:hAnsi="Times New Roman" w:cs="Times New Roman"/>
                <w:color w:val="000000" w:themeColor="text1"/>
                <w:sz w:val="21"/>
                <w:szCs w:val="21"/>
              </w:rPr>
              <w:t>(</w:t>
            </w:r>
            <w:r w:rsidRPr="00473486">
              <w:rPr>
                <w:rFonts w:ascii="Times New Roman" w:eastAsiaTheme="minorEastAsia" w:hAnsi="Times New Roman" w:cs="Times New Roman"/>
                <w:color w:val="000000" w:themeColor="text1"/>
                <w:sz w:val="21"/>
                <w:szCs w:val="21"/>
              </w:rPr>
              <w:t>元</w:t>
            </w:r>
            <w:r w:rsidRPr="00473486">
              <w:rPr>
                <w:rFonts w:ascii="Times New Roman" w:eastAsiaTheme="minorEastAsia" w:hAnsi="Times New Roman" w:cs="Times New Roman"/>
                <w:color w:val="000000" w:themeColor="text1"/>
                <w:sz w:val="21"/>
                <w:szCs w:val="21"/>
              </w:rPr>
              <w:t>)</w:t>
            </w:r>
          </w:p>
        </w:tc>
        <w:tc>
          <w:tcPr>
            <w:tcW w:w="1416" w:type="dxa"/>
          </w:tcPr>
          <w:p w:rsidR="00881A82" w:rsidRPr="00473486" w:rsidRDefault="007D1E3A">
            <w:pPr>
              <w:pStyle w:val="Default"/>
              <w:jc w:val="center"/>
              <w:rPr>
                <w:rFonts w:ascii="Times New Roman" w:eastAsiaTheme="minorEastAsia" w:hAnsi="Times New Roman" w:cs="Times New Roman"/>
                <w:color w:val="000000" w:themeColor="text1"/>
                <w:sz w:val="21"/>
                <w:szCs w:val="21"/>
              </w:rPr>
            </w:pPr>
            <w:r w:rsidRPr="00473486">
              <w:rPr>
                <w:rFonts w:ascii="Times New Roman" w:eastAsiaTheme="minorEastAsia" w:hAnsi="Times New Roman" w:cs="Times New Roman"/>
                <w:color w:val="000000" w:themeColor="text1"/>
                <w:sz w:val="21"/>
                <w:szCs w:val="21"/>
              </w:rPr>
              <w:t>风险说明</w:t>
            </w:r>
          </w:p>
        </w:tc>
      </w:tr>
      <w:tr w:rsidR="0045275A">
        <w:tc>
          <w:tcPr>
            <w:tcW w:w="1422" w:type="dxa"/>
            <w:vAlign w:val="center"/>
          </w:tcPr>
          <w:p w:rsidR="0045275A" w:rsidRDefault="00BA39A9">
            <w:pPr>
              <w:jc w:val="center"/>
            </w:pPr>
            <w:r>
              <w:rPr>
                <w:rFonts w:eastAsiaTheme="minorEastAsia"/>
                <w:color w:val="000000" w:themeColor="text1"/>
                <w:szCs w:val="21"/>
              </w:rPr>
              <w:t>IF2209</w:t>
            </w:r>
          </w:p>
        </w:tc>
        <w:tc>
          <w:tcPr>
            <w:tcW w:w="1422" w:type="dxa"/>
            <w:vAlign w:val="center"/>
          </w:tcPr>
          <w:p w:rsidR="0045275A" w:rsidRDefault="00BA39A9">
            <w:pPr>
              <w:jc w:val="left"/>
            </w:pPr>
            <w:r>
              <w:rPr>
                <w:rFonts w:eastAsiaTheme="minorEastAsia"/>
                <w:color w:val="000000" w:themeColor="text1"/>
                <w:szCs w:val="21"/>
              </w:rPr>
              <w:t>IF2209</w:t>
            </w:r>
          </w:p>
        </w:tc>
        <w:tc>
          <w:tcPr>
            <w:tcW w:w="1422" w:type="dxa"/>
            <w:vAlign w:val="center"/>
          </w:tcPr>
          <w:p w:rsidR="0045275A" w:rsidRDefault="00BA39A9">
            <w:pPr>
              <w:jc w:val="right"/>
            </w:pPr>
            <w:r>
              <w:rPr>
                <w:rFonts w:eastAsiaTheme="minorEastAsia"/>
                <w:color w:val="000000" w:themeColor="text1"/>
                <w:szCs w:val="21"/>
              </w:rPr>
              <w:t>5.00</w:t>
            </w:r>
          </w:p>
        </w:tc>
        <w:tc>
          <w:tcPr>
            <w:tcW w:w="1422" w:type="dxa"/>
            <w:vAlign w:val="center"/>
          </w:tcPr>
          <w:p w:rsidR="0045275A" w:rsidRDefault="00BA39A9">
            <w:pPr>
              <w:jc w:val="right"/>
            </w:pPr>
            <w:r>
              <w:rPr>
                <w:rFonts w:eastAsiaTheme="minorEastAsia"/>
                <w:color w:val="000000" w:themeColor="text1"/>
                <w:szCs w:val="21"/>
              </w:rPr>
              <w:t>6,187,200.00</w:t>
            </w:r>
          </w:p>
        </w:tc>
        <w:tc>
          <w:tcPr>
            <w:tcW w:w="1423" w:type="dxa"/>
            <w:vAlign w:val="center"/>
          </w:tcPr>
          <w:p w:rsidR="0045275A" w:rsidRDefault="00BA39A9">
            <w:pPr>
              <w:jc w:val="right"/>
            </w:pPr>
            <w:r>
              <w:rPr>
                <w:rFonts w:eastAsiaTheme="minorEastAsia"/>
                <w:color w:val="000000" w:themeColor="text1"/>
                <w:szCs w:val="21"/>
              </w:rPr>
              <w:t>-524,442.86</w:t>
            </w:r>
          </w:p>
        </w:tc>
        <w:tc>
          <w:tcPr>
            <w:tcW w:w="1416" w:type="dxa"/>
            <w:vAlign w:val="center"/>
          </w:tcPr>
          <w:p w:rsidR="0045275A" w:rsidRDefault="00BA39A9">
            <w:pPr>
              <w:jc w:val="left"/>
            </w:pPr>
            <w:r>
              <w:rPr>
                <w:rFonts w:eastAsiaTheme="minorEastAsia"/>
                <w:color w:val="000000" w:themeColor="text1"/>
                <w:szCs w:val="21"/>
              </w:rPr>
              <w:t>-</w:t>
            </w:r>
          </w:p>
        </w:tc>
      </w:tr>
      <w:tr w:rsidR="00881A82" w:rsidRPr="00473486">
        <w:trPr>
          <w:trHeight w:val="105"/>
        </w:trPr>
        <w:tc>
          <w:tcPr>
            <w:tcW w:w="7111" w:type="dxa"/>
            <w:gridSpan w:val="5"/>
            <w:vAlign w:val="center"/>
          </w:tcPr>
          <w:p w:rsidR="00881A82" w:rsidRPr="00473486" w:rsidRDefault="007D1E3A">
            <w:pPr>
              <w:pStyle w:val="Default"/>
              <w:jc w:val="both"/>
              <w:rPr>
                <w:rFonts w:ascii="Times New Roman" w:eastAsiaTheme="minorEastAsia" w:hAnsi="Times New Roman" w:cs="Times New Roman"/>
                <w:color w:val="000000" w:themeColor="text1"/>
                <w:sz w:val="21"/>
                <w:szCs w:val="21"/>
              </w:rPr>
            </w:pPr>
            <w:r w:rsidRPr="00473486">
              <w:rPr>
                <w:rFonts w:ascii="Times New Roman" w:eastAsiaTheme="minorEastAsia" w:hAnsi="Times New Roman" w:cs="Times New Roman"/>
                <w:color w:val="000000" w:themeColor="text1"/>
                <w:sz w:val="21"/>
                <w:szCs w:val="21"/>
              </w:rPr>
              <w:t>公允价值变动总额合计</w:t>
            </w:r>
            <w:r w:rsidRPr="00473486">
              <w:rPr>
                <w:rFonts w:ascii="Times New Roman" w:eastAsiaTheme="minorEastAsia" w:hAnsi="Times New Roman" w:cs="Times New Roman"/>
                <w:color w:val="000000" w:themeColor="text1"/>
                <w:sz w:val="21"/>
                <w:szCs w:val="21"/>
              </w:rPr>
              <w:t>(</w:t>
            </w:r>
            <w:r w:rsidRPr="00473486">
              <w:rPr>
                <w:rFonts w:ascii="Times New Roman" w:eastAsiaTheme="minorEastAsia" w:hAnsi="Times New Roman" w:cs="Times New Roman"/>
                <w:color w:val="000000" w:themeColor="text1"/>
                <w:sz w:val="21"/>
                <w:szCs w:val="21"/>
              </w:rPr>
              <w:t>元</w:t>
            </w:r>
            <w:r w:rsidRPr="00473486">
              <w:rPr>
                <w:rFonts w:ascii="Times New Roman" w:eastAsiaTheme="minorEastAsia" w:hAnsi="Times New Roman" w:cs="Times New Roman"/>
                <w:color w:val="000000" w:themeColor="text1"/>
                <w:sz w:val="21"/>
                <w:szCs w:val="21"/>
              </w:rPr>
              <w:t>)</w:t>
            </w:r>
          </w:p>
        </w:tc>
        <w:tc>
          <w:tcPr>
            <w:tcW w:w="1416" w:type="dxa"/>
            <w:vAlign w:val="center"/>
          </w:tcPr>
          <w:p w:rsidR="00881A82" w:rsidRPr="00473486" w:rsidRDefault="007D1E3A">
            <w:pPr>
              <w:pStyle w:val="Default"/>
              <w:jc w:val="right"/>
              <w:rPr>
                <w:rFonts w:ascii="Times New Roman" w:eastAsiaTheme="minorEastAsia" w:hAnsi="Times New Roman" w:cs="Times New Roman"/>
                <w:color w:val="000000" w:themeColor="text1"/>
                <w:sz w:val="21"/>
                <w:szCs w:val="21"/>
              </w:rPr>
            </w:pPr>
            <w:r w:rsidRPr="00473486">
              <w:rPr>
                <w:rFonts w:ascii="Times New Roman" w:eastAsiaTheme="minorEastAsia" w:hAnsi="Times New Roman" w:cs="Times New Roman"/>
                <w:color w:val="000000" w:themeColor="text1"/>
                <w:sz w:val="21"/>
                <w:szCs w:val="21"/>
              </w:rPr>
              <w:t>-524,442.86</w:t>
            </w:r>
          </w:p>
        </w:tc>
      </w:tr>
      <w:tr w:rsidR="00881A82" w:rsidRPr="00473486">
        <w:trPr>
          <w:trHeight w:val="105"/>
        </w:trPr>
        <w:tc>
          <w:tcPr>
            <w:tcW w:w="7111" w:type="dxa"/>
            <w:gridSpan w:val="5"/>
            <w:vAlign w:val="center"/>
          </w:tcPr>
          <w:p w:rsidR="00881A82" w:rsidRPr="00473486" w:rsidRDefault="007D1E3A">
            <w:pPr>
              <w:pStyle w:val="Default"/>
              <w:jc w:val="both"/>
              <w:rPr>
                <w:rFonts w:ascii="Times New Roman" w:eastAsiaTheme="minorEastAsia" w:hAnsi="Times New Roman" w:cs="Times New Roman"/>
                <w:color w:val="000000" w:themeColor="text1"/>
                <w:sz w:val="21"/>
                <w:szCs w:val="21"/>
              </w:rPr>
            </w:pPr>
            <w:r w:rsidRPr="00473486">
              <w:rPr>
                <w:rFonts w:ascii="Times New Roman" w:eastAsiaTheme="minorEastAsia" w:hAnsi="Times New Roman" w:cs="Times New Roman"/>
                <w:color w:val="000000" w:themeColor="text1"/>
                <w:sz w:val="21"/>
                <w:szCs w:val="21"/>
              </w:rPr>
              <w:t>股指期货投资本期收益</w:t>
            </w:r>
            <w:r w:rsidRPr="00473486">
              <w:rPr>
                <w:rFonts w:ascii="Times New Roman" w:eastAsiaTheme="minorEastAsia" w:hAnsi="Times New Roman" w:cs="Times New Roman"/>
                <w:color w:val="000000" w:themeColor="text1"/>
                <w:sz w:val="21"/>
                <w:szCs w:val="21"/>
              </w:rPr>
              <w:t>(</w:t>
            </w:r>
            <w:r w:rsidRPr="00473486">
              <w:rPr>
                <w:rFonts w:ascii="Times New Roman" w:eastAsiaTheme="minorEastAsia" w:hAnsi="Times New Roman" w:cs="Times New Roman"/>
                <w:color w:val="000000" w:themeColor="text1"/>
                <w:sz w:val="21"/>
                <w:szCs w:val="21"/>
              </w:rPr>
              <w:t>元</w:t>
            </w:r>
            <w:r w:rsidRPr="00473486">
              <w:rPr>
                <w:rFonts w:ascii="Times New Roman" w:eastAsiaTheme="minorEastAsia" w:hAnsi="Times New Roman" w:cs="Times New Roman"/>
                <w:color w:val="000000" w:themeColor="text1"/>
                <w:sz w:val="21"/>
                <w:szCs w:val="21"/>
              </w:rPr>
              <w:t>)</w:t>
            </w:r>
          </w:p>
        </w:tc>
        <w:tc>
          <w:tcPr>
            <w:tcW w:w="1416" w:type="dxa"/>
            <w:vAlign w:val="center"/>
          </w:tcPr>
          <w:p w:rsidR="00881A82" w:rsidRPr="00473486" w:rsidRDefault="007D1E3A">
            <w:pPr>
              <w:pStyle w:val="Default"/>
              <w:jc w:val="right"/>
              <w:rPr>
                <w:rFonts w:ascii="Times New Roman" w:eastAsiaTheme="minorEastAsia" w:hAnsi="Times New Roman" w:cs="Times New Roman"/>
                <w:color w:val="000000" w:themeColor="text1"/>
                <w:sz w:val="21"/>
                <w:szCs w:val="21"/>
              </w:rPr>
            </w:pPr>
            <w:r w:rsidRPr="00473486">
              <w:rPr>
                <w:rFonts w:ascii="Times New Roman" w:eastAsiaTheme="minorEastAsia" w:hAnsi="Times New Roman" w:cs="Times New Roman"/>
                <w:color w:val="000000" w:themeColor="text1"/>
                <w:sz w:val="21"/>
                <w:szCs w:val="21"/>
              </w:rPr>
              <w:t>-1,009,277.14</w:t>
            </w:r>
          </w:p>
        </w:tc>
      </w:tr>
      <w:tr w:rsidR="00881A82" w:rsidRPr="00473486">
        <w:trPr>
          <w:trHeight w:val="105"/>
        </w:trPr>
        <w:tc>
          <w:tcPr>
            <w:tcW w:w="7111" w:type="dxa"/>
            <w:gridSpan w:val="5"/>
            <w:vAlign w:val="center"/>
          </w:tcPr>
          <w:p w:rsidR="00881A82" w:rsidRPr="00473486" w:rsidRDefault="007D1E3A">
            <w:pPr>
              <w:pStyle w:val="Default"/>
              <w:jc w:val="both"/>
              <w:rPr>
                <w:rFonts w:ascii="Times New Roman" w:eastAsiaTheme="minorEastAsia" w:hAnsi="Times New Roman" w:cs="Times New Roman"/>
                <w:color w:val="000000" w:themeColor="text1"/>
                <w:sz w:val="21"/>
                <w:szCs w:val="21"/>
              </w:rPr>
            </w:pPr>
            <w:r w:rsidRPr="00473486">
              <w:rPr>
                <w:rFonts w:ascii="Times New Roman" w:eastAsiaTheme="minorEastAsia" w:hAnsi="Times New Roman" w:cs="Times New Roman"/>
                <w:color w:val="000000" w:themeColor="text1"/>
                <w:sz w:val="21"/>
                <w:szCs w:val="21"/>
              </w:rPr>
              <w:t>股指期货投资本期公允价值变动</w:t>
            </w:r>
            <w:r w:rsidRPr="00473486">
              <w:rPr>
                <w:rFonts w:ascii="Times New Roman" w:eastAsiaTheme="minorEastAsia" w:hAnsi="Times New Roman" w:cs="Times New Roman"/>
                <w:color w:val="000000" w:themeColor="text1"/>
                <w:sz w:val="21"/>
                <w:szCs w:val="21"/>
              </w:rPr>
              <w:t>(</w:t>
            </w:r>
            <w:r w:rsidRPr="00473486">
              <w:rPr>
                <w:rFonts w:ascii="Times New Roman" w:eastAsiaTheme="minorEastAsia" w:hAnsi="Times New Roman" w:cs="Times New Roman"/>
                <w:color w:val="000000" w:themeColor="text1"/>
                <w:sz w:val="21"/>
                <w:szCs w:val="21"/>
              </w:rPr>
              <w:t>元</w:t>
            </w:r>
            <w:r w:rsidRPr="00473486">
              <w:rPr>
                <w:rFonts w:ascii="Times New Roman" w:eastAsiaTheme="minorEastAsia" w:hAnsi="Times New Roman" w:cs="Times New Roman"/>
                <w:color w:val="000000" w:themeColor="text1"/>
                <w:sz w:val="21"/>
                <w:szCs w:val="21"/>
              </w:rPr>
              <w:t>)</w:t>
            </w:r>
          </w:p>
        </w:tc>
        <w:tc>
          <w:tcPr>
            <w:tcW w:w="1416" w:type="dxa"/>
            <w:vAlign w:val="center"/>
          </w:tcPr>
          <w:p w:rsidR="00881A82" w:rsidRPr="00473486" w:rsidRDefault="007D1E3A">
            <w:pPr>
              <w:pStyle w:val="Default"/>
              <w:jc w:val="right"/>
              <w:rPr>
                <w:rFonts w:ascii="Times New Roman" w:eastAsiaTheme="minorEastAsia" w:hAnsi="Times New Roman" w:cs="Times New Roman"/>
                <w:color w:val="000000" w:themeColor="text1"/>
                <w:sz w:val="21"/>
                <w:szCs w:val="21"/>
              </w:rPr>
            </w:pPr>
            <w:r w:rsidRPr="00473486">
              <w:rPr>
                <w:rFonts w:ascii="Times New Roman" w:eastAsiaTheme="minorEastAsia" w:hAnsi="Times New Roman" w:cs="Times New Roman"/>
                <w:color w:val="000000" w:themeColor="text1"/>
                <w:sz w:val="21"/>
                <w:szCs w:val="21"/>
              </w:rPr>
              <w:t>-359,202.86</w:t>
            </w:r>
          </w:p>
        </w:tc>
      </w:tr>
    </w:tbl>
    <w:p w:rsidR="00881A82" w:rsidRPr="00473486" w:rsidRDefault="00881A82">
      <w:pPr>
        <w:adjustRightInd w:val="0"/>
        <w:snapToGrid w:val="0"/>
        <w:spacing w:line="360" w:lineRule="exact"/>
        <w:rPr>
          <w:rFonts w:eastAsiaTheme="minorEastAsia"/>
          <w:color w:val="000000" w:themeColor="text1"/>
          <w:sz w:val="24"/>
        </w:rPr>
      </w:pPr>
    </w:p>
    <w:p w:rsidR="00881A82" w:rsidRPr="00473486" w:rsidRDefault="007D1E3A">
      <w:pPr>
        <w:adjustRightInd w:val="0"/>
        <w:snapToGrid w:val="0"/>
        <w:spacing w:line="360" w:lineRule="auto"/>
        <w:rPr>
          <w:rFonts w:eastAsiaTheme="minorEastAsia"/>
          <w:b/>
          <w:color w:val="000000" w:themeColor="text1"/>
          <w:sz w:val="24"/>
        </w:rPr>
      </w:pPr>
      <w:r w:rsidRPr="00473486">
        <w:rPr>
          <w:rFonts w:eastAsiaTheme="minorEastAsia"/>
          <w:b/>
          <w:color w:val="000000" w:themeColor="text1"/>
          <w:sz w:val="24"/>
        </w:rPr>
        <w:t>5.10</w:t>
      </w:r>
      <w:r w:rsidRPr="00473486">
        <w:rPr>
          <w:rFonts w:eastAsiaTheme="minorEastAsia"/>
          <w:b/>
          <w:color w:val="000000" w:themeColor="text1"/>
          <w:sz w:val="24"/>
        </w:rPr>
        <w:t>报告期末本基金投资的国债期货交易情况说明</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本基金本报告期末未持有国债期货。</w:t>
      </w: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5.11</w:t>
      </w:r>
      <w:r w:rsidRPr="00473486">
        <w:rPr>
          <w:rFonts w:eastAsiaTheme="minorEastAsia"/>
          <w:b/>
          <w:color w:val="000000" w:themeColor="text1"/>
          <w:kern w:val="0"/>
          <w:sz w:val="24"/>
        </w:rPr>
        <w:t>投资组合报告附注</w:t>
      </w:r>
    </w:p>
    <w:p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5.11.1</w:t>
      </w:r>
      <w:r w:rsidRPr="00473486">
        <w:rPr>
          <w:rFonts w:eastAsiaTheme="minorEastAsia"/>
          <w:color w:val="000000" w:themeColor="text1"/>
          <w:szCs w:val="21"/>
        </w:rPr>
        <w:t>本基金投资的前十名证券的发行主体本期未出现被监管部门立案调查，或在报告编制日前一年内受到公开谴责、处罚的情形。</w:t>
      </w:r>
    </w:p>
    <w:p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5.11.2</w:t>
      </w:r>
      <w:r w:rsidRPr="00473486">
        <w:rPr>
          <w:rFonts w:eastAsiaTheme="minorEastAsia"/>
          <w:color w:val="000000" w:themeColor="text1"/>
          <w:szCs w:val="21"/>
        </w:rPr>
        <w:t>报告期内本基金投资的前十名股票中没有在基金合同规定备选股票库之外的股票。</w:t>
      </w: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5.11.3</w:t>
      </w:r>
      <w:r w:rsidRPr="00473486">
        <w:rPr>
          <w:rFonts w:eastAsiaTheme="minorEastAsia"/>
          <w:b/>
          <w:color w:val="000000" w:themeColor="text1"/>
          <w:kern w:val="0"/>
          <w:sz w:val="24"/>
        </w:rPr>
        <w:t>其他资产构成</w:t>
      </w:r>
    </w:p>
    <w:tbl>
      <w:tblPr>
        <w:tblStyle w:val="afa"/>
        <w:tblW w:w="8513" w:type="dxa"/>
        <w:tblInd w:w="15" w:type="dxa"/>
        <w:tblLayout w:type="fixed"/>
        <w:tblLook w:val="04A0" w:firstRow="1" w:lastRow="0" w:firstColumn="1" w:lastColumn="0" w:noHBand="0" w:noVBand="1"/>
      </w:tblPr>
      <w:tblGrid>
        <w:gridCol w:w="944"/>
        <w:gridCol w:w="2761"/>
        <w:gridCol w:w="4808"/>
      </w:tblGrid>
      <w:tr w:rsidR="00881A82" w:rsidRPr="00473486">
        <w:trPr>
          <w:trHeight w:val="567"/>
        </w:trPr>
        <w:tc>
          <w:tcPr>
            <w:tcW w:w="944"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序号</w:t>
            </w:r>
          </w:p>
        </w:tc>
        <w:tc>
          <w:tcPr>
            <w:tcW w:w="2761"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名称</w:t>
            </w:r>
          </w:p>
        </w:tc>
        <w:tc>
          <w:tcPr>
            <w:tcW w:w="4808"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金额</w:t>
            </w:r>
            <w:r w:rsidRPr="00473486">
              <w:rPr>
                <w:rFonts w:eastAsiaTheme="minorEastAsia"/>
                <w:color w:val="000000" w:themeColor="text1"/>
                <w:kern w:val="0"/>
                <w:szCs w:val="21"/>
              </w:rPr>
              <w:t>(</w:t>
            </w:r>
            <w:r w:rsidRPr="00473486">
              <w:rPr>
                <w:rFonts w:eastAsiaTheme="minorEastAsia"/>
                <w:color w:val="000000" w:themeColor="text1"/>
                <w:kern w:val="0"/>
                <w:szCs w:val="21"/>
              </w:rPr>
              <w:t>元</w:t>
            </w:r>
            <w:r w:rsidRPr="00473486">
              <w:rPr>
                <w:rFonts w:eastAsiaTheme="minorEastAsia"/>
                <w:color w:val="000000" w:themeColor="text1"/>
                <w:kern w:val="0"/>
                <w:szCs w:val="21"/>
              </w:rPr>
              <w:t>)</w:t>
            </w:r>
          </w:p>
        </w:tc>
      </w:tr>
      <w:tr w:rsidR="00881A82" w:rsidRPr="00473486">
        <w:trPr>
          <w:trHeight w:val="567"/>
        </w:trPr>
        <w:tc>
          <w:tcPr>
            <w:tcW w:w="944" w:type="dxa"/>
            <w:vAlign w:val="center"/>
          </w:tcPr>
          <w:p w:rsidR="00881A82" w:rsidRPr="00473486" w:rsidRDefault="007D1E3A">
            <w:pPr>
              <w:autoSpaceDE w:val="0"/>
              <w:autoSpaceDN w:val="0"/>
              <w:adjustRightInd w:val="0"/>
              <w:spacing w:before="29" w:line="360" w:lineRule="auto"/>
              <w:ind w:left="15"/>
              <w:jc w:val="center"/>
              <w:rPr>
                <w:rFonts w:eastAsiaTheme="minorEastAsia"/>
                <w:color w:val="000000" w:themeColor="text1"/>
                <w:kern w:val="0"/>
                <w:szCs w:val="21"/>
              </w:rPr>
            </w:pPr>
            <w:r w:rsidRPr="00473486">
              <w:rPr>
                <w:rFonts w:eastAsiaTheme="minorEastAsia"/>
                <w:color w:val="000000" w:themeColor="text1"/>
                <w:szCs w:val="21"/>
              </w:rPr>
              <w:t>1</w:t>
            </w:r>
          </w:p>
        </w:tc>
        <w:tc>
          <w:tcPr>
            <w:tcW w:w="2761" w:type="dxa"/>
            <w:vAlign w:val="center"/>
          </w:tcPr>
          <w:p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存出保证金</w:t>
            </w:r>
          </w:p>
        </w:tc>
        <w:tc>
          <w:tcPr>
            <w:tcW w:w="4808" w:type="dxa"/>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772,125.65</w:t>
            </w:r>
          </w:p>
        </w:tc>
      </w:tr>
      <w:tr w:rsidR="00881A82" w:rsidRPr="00473486">
        <w:trPr>
          <w:trHeight w:val="567"/>
        </w:trPr>
        <w:tc>
          <w:tcPr>
            <w:tcW w:w="944" w:type="dxa"/>
            <w:vAlign w:val="center"/>
          </w:tcPr>
          <w:p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2</w:t>
            </w:r>
          </w:p>
        </w:tc>
        <w:tc>
          <w:tcPr>
            <w:tcW w:w="2761" w:type="dxa"/>
            <w:vAlign w:val="center"/>
          </w:tcPr>
          <w:p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应收证券清算款</w:t>
            </w:r>
          </w:p>
        </w:tc>
        <w:tc>
          <w:tcPr>
            <w:tcW w:w="4808" w:type="dxa"/>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21,012.00</w:t>
            </w:r>
          </w:p>
        </w:tc>
      </w:tr>
      <w:tr w:rsidR="00881A82" w:rsidRPr="00473486">
        <w:trPr>
          <w:trHeight w:val="567"/>
        </w:trPr>
        <w:tc>
          <w:tcPr>
            <w:tcW w:w="944" w:type="dxa"/>
            <w:vAlign w:val="center"/>
          </w:tcPr>
          <w:p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3</w:t>
            </w:r>
          </w:p>
        </w:tc>
        <w:tc>
          <w:tcPr>
            <w:tcW w:w="2761" w:type="dxa"/>
            <w:vAlign w:val="center"/>
          </w:tcPr>
          <w:p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应收股利</w:t>
            </w:r>
          </w:p>
        </w:tc>
        <w:tc>
          <w:tcPr>
            <w:tcW w:w="4808" w:type="dxa"/>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trPr>
          <w:trHeight w:val="567"/>
        </w:trPr>
        <w:tc>
          <w:tcPr>
            <w:tcW w:w="944" w:type="dxa"/>
            <w:vAlign w:val="center"/>
          </w:tcPr>
          <w:p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4</w:t>
            </w:r>
          </w:p>
        </w:tc>
        <w:tc>
          <w:tcPr>
            <w:tcW w:w="2761" w:type="dxa"/>
            <w:vAlign w:val="center"/>
          </w:tcPr>
          <w:p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应收利息</w:t>
            </w:r>
          </w:p>
        </w:tc>
        <w:tc>
          <w:tcPr>
            <w:tcW w:w="4808" w:type="dxa"/>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trPr>
          <w:trHeight w:val="567"/>
        </w:trPr>
        <w:tc>
          <w:tcPr>
            <w:tcW w:w="944" w:type="dxa"/>
            <w:vAlign w:val="center"/>
          </w:tcPr>
          <w:p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5</w:t>
            </w:r>
          </w:p>
        </w:tc>
        <w:tc>
          <w:tcPr>
            <w:tcW w:w="2761" w:type="dxa"/>
            <w:vAlign w:val="center"/>
          </w:tcPr>
          <w:p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应收申购款</w:t>
            </w:r>
          </w:p>
        </w:tc>
        <w:tc>
          <w:tcPr>
            <w:tcW w:w="4808" w:type="dxa"/>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trPr>
          <w:trHeight w:val="567"/>
        </w:trPr>
        <w:tc>
          <w:tcPr>
            <w:tcW w:w="944" w:type="dxa"/>
            <w:vAlign w:val="center"/>
          </w:tcPr>
          <w:p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6</w:t>
            </w:r>
          </w:p>
        </w:tc>
        <w:tc>
          <w:tcPr>
            <w:tcW w:w="2761" w:type="dxa"/>
            <w:vAlign w:val="center"/>
          </w:tcPr>
          <w:p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其他应收款</w:t>
            </w:r>
          </w:p>
        </w:tc>
        <w:tc>
          <w:tcPr>
            <w:tcW w:w="4808" w:type="dxa"/>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trPr>
          <w:trHeight w:val="567"/>
        </w:trPr>
        <w:tc>
          <w:tcPr>
            <w:tcW w:w="944" w:type="dxa"/>
          </w:tcPr>
          <w:p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7</w:t>
            </w:r>
          </w:p>
        </w:tc>
        <w:tc>
          <w:tcPr>
            <w:tcW w:w="2761" w:type="dxa"/>
          </w:tcPr>
          <w:p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待摊费用</w:t>
            </w:r>
          </w:p>
        </w:tc>
        <w:tc>
          <w:tcPr>
            <w:tcW w:w="4808" w:type="dxa"/>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567"/>
        </w:trPr>
        <w:tc>
          <w:tcPr>
            <w:tcW w:w="944" w:type="dxa"/>
            <w:vAlign w:val="center"/>
          </w:tcPr>
          <w:p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8</w:t>
            </w:r>
          </w:p>
        </w:tc>
        <w:tc>
          <w:tcPr>
            <w:tcW w:w="2761" w:type="dxa"/>
            <w:vAlign w:val="center"/>
          </w:tcPr>
          <w:p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其他</w:t>
            </w:r>
          </w:p>
        </w:tc>
        <w:tc>
          <w:tcPr>
            <w:tcW w:w="4808" w:type="dxa"/>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trPr>
          <w:trHeight w:val="567"/>
        </w:trPr>
        <w:tc>
          <w:tcPr>
            <w:tcW w:w="944" w:type="dxa"/>
            <w:vAlign w:val="center"/>
          </w:tcPr>
          <w:p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9</w:t>
            </w:r>
          </w:p>
        </w:tc>
        <w:tc>
          <w:tcPr>
            <w:tcW w:w="2761" w:type="dxa"/>
            <w:vAlign w:val="center"/>
          </w:tcPr>
          <w:p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合计</w:t>
            </w:r>
          </w:p>
        </w:tc>
        <w:tc>
          <w:tcPr>
            <w:tcW w:w="4808" w:type="dxa"/>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793,137.65</w:t>
            </w:r>
          </w:p>
        </w:tc>
      </w:tr>
    </w:tbl>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5.11.4</w:t>
      </w:r>
      <w:r w:rsidRPr="00473486">
        <w:rPr>
          <w:rFonts w:eastAsiaTheme="minorEastAsia"/>
          <w:b/>
          <w:color w:val="000000" w:themeColor="text1"/>
          <w:kern w:val="0"/>
          <w:sz w:val="24"/>
        </w:rPr>
        <w:t>报告期末持有的处于转股期的可转换债券明细</w:t>
      </w:r>
    </w:p>
    <w:tbl>
      <w:tblPr>
        <w:tblW w:w="851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8"/>
        <w:gridCol w:w="1729"/>
        <w:gridCol w:w="1658"/>
        <w:gridCol w:w="1697"/>
        <w:gridCol w:w="1621"/>
      </w:tblGrid>
      <w:tr w:rsidR="00881A82" w:rsidRPr="00473486">
        <w:tc>
          <w:tcPr>
            <w:tcW w:w="1808" w:type="dxa"/>
            <w:shd w:val="clear" w:color="auto" w:fill="auto"/>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序号</w:t>
            </w:r>
          </w:p>
        </w:tc>
        <w:tc>
          <w:tcPr>
            <w:tcW w:w="1729" w:type="dxa"/>
            <w:shd w:val="clear" w:color="auto" w:fill="auto"/>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债券代码</w:t>
            </w:r>
          </w:p>
        </w:tc>
        <w:tc>
          <w:tcPr>
            <w:tcW w:w="1658" w:type="dxa"/>
            <w:shd w:val="clear" w:color="auto" w:fill="auto"/>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债券名称</w:t>
            </w:r>
          </w:p>
        </w:tc>
        <w:tc>
          <w:tcPr>
            <w:tcW w:w="1697" w:type="dxa"/>
            <w:shd w:val="clear" w:color="auto" w:fill="auto"/>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公允价值</w:t>
            </w:r>
            <w:r w:rsidRPr="00473486">
              <w:rPr>
                <w:rFonts w:eastAsiaTheme="minorEastAsia"/>
                <w:color w:val="000000" w:themeColor="text1"/>
                <w:szCs w:val="21"/>
              </w:rPr>
              <w:t>(</w:t>
            </w:r>
            <w:r w:rsidRPr="00473486">
              <w:rPr>
                <w:rFonts w:eastAsiaTheme="minorEastAsia"/>
                <w:color w:val="000000" w:themeColor="text1"/>
                <w:szCs w:val="21"/>
              </w:rPr>
              <w:t>元</w:t>
            </w:r>
            <w:r w:rsidRPr="00473486">
              <w:rPr>
                <w:rFonts w:eastAsiaTheme="minorEastAsia"/>
                <w:color w:val="000000" w:themeColor="text1"/>
                <w:szCs w:val="21"/>
              </w:rPr>
              <w:t>)</w:t>
            </w:r>
          </w:p>
        </w:tc>
        <w:tc>
          <w:tcPr>
            <w:tcW w:w="1621" w:type="dxa"/>
            <w:shd w:val="clear" w:color="auto" w:fill="auto"/>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占基金资产净值比例</w:t>
            </w:r>
            <w:r w:rsidRPr="00473486">
              <w:rPr>
                <w:rFonts w:eastAsiaTheme="minorEastAsia"/>
                <w:color w:val="000000" w:themeColor="text1"/>
                <w:szCs w:val="21"/>
              </w:rPr>
              <w:t>(%)</w:t>
            </w:r>
          </w:p>
        </w:tc>
      </w:tr>
      <w:tr w:rsidR="0045275A">
        <w:tc>
          <w:tcPr>
            <w:tcW w:w="1808" w:type="dxa"/>
            <w:vAlign w:val="center"/>
          </w:tcPr>
          <w:p w:rsidR="0045275A" w:rsidRDefault="00BA39A9">
            <w:pPr>
              <w:jc w:val="center"/>
            </w:pPr>
            <w:r>
              <w:rPr>
                <w:rFonts w:eastAsiaTheme="minorEastAsia"/>
                <w:color w:val="000000" w:themeColor="text1"/>
                <w:szCs w:val="21"/>
              </w:rPr>
              <w:t>1</w:t>
            </w:r>
          </w:p>
        </w:tc>
        <w:tc>
          <w:tcPr>
            <w:tcW w:w="1729" w:type="dxa"/>
            <w:vAlign w:val="center"/>
          </w:tcPr>
          <w:p w:rsidR="0045275A" w:rsidRDefault="00BA39A9">
            <w:pPr>
              <w:jc w:val="center"/>
            </w:pPr>
            <w:r>
              <w:rPr>
                <w:rFonts w:eastAsiaTheme="minorEastAsia"/>
                <w:color w:val="000000" w:themeColor="text1"/>
                <w:szCs w:val="21"/>
              </w:rPr>
              <w:t>113042</w:t>
            </w:r>
          </w:p>
        </w:tc>
        <w:tc>
          <w:tcPr>
            <w:tcW w:w="1658" w:type="dxa"/>
            <w:vAlign w:val="center"/>
          </w:tcPr>
          <w:p w:rsidR="0045275A" w:rsidRDefault="00BA39A9">
            <w:pPr>
              <w:jc w:val="center"/>
            </w:pPr>
            <w:r>
              <w:rPr>
                <w:rFonts w:eastAsiaTheme="minorEastAsia"/>
                <w:color w:val="000000" w:themeColor="text1"/>
                <w:szCs w:val="21"/>
              </w:rPr>
              <w:t>上银转债</w:t>
            </w:r>
          </w:p>
        </w:tc>
        <w:tc>
          <w:tcPr>
            <w:tcW w:w="1697" w:type="dxa"/>
            <w:vAlign w:val="center"/>
          </w:tcPr>
          <w:p w:rsidR="0045275A" w:rsidRDefault="00850FBD">
            <w:pPr>
              <w:jc w:val="right"/>
            </w:pPr>
            <w:r w:rsidRPr="00850FBD">
              <w:rPr>
                <w:rFonts w:eastAsiaTheme="minorEastAsia"/>
                <w:color w:val="000000" w:themeColor="text1"/>
                <w:szCs w:val="21"/>
              </w:rPr>
              <w:t>129</w:t>
            </w:r>
            <w:r>
              <w:rPr>
                <w:rFonts w:eastAsiaTheme="minorEastAsia"/>
                <w:color w:val="000000" w:themeColor="text1"/>
                <w:szCs w:val="21"/>
              </w:rPr>
              <w:t>,</w:t>
            </w:r>
            <w:r w:rsidRPr="00850FBD">
              <w:rPr>
                <w:rFonts w:eastAsiaTheme="minorEastAsia"/>
                <w:color w:val="000000" w:themeColor="text1"/>
                <w:szCs w:val="21"/>
              </w:rPr>
              <w:t>884.70</w:t>
            </w:r>
          </w:p>
        </w:tc>
        <w:tc>
          <w:tcPr>
            <w:tcW w:w="1621" w:type="dxa"/>
            <w:vAlign w:val="center"/>
          </w:tcPr>
          <w:p w:rsidR="0045275A" w:rsidRDefault="00BA39A9">
            <w:pPr>
              <w:jc w:val="right"/>
            </w:pPr>
            <w:r>
              <w:rPr>
                <w:rFonts w:eastAsiaTheme="minorEastAsia"/>
                <w:color w:val="000000" w:themeColor="text1"/>
                <w:szCs w:val="21"/>
              </w:rPr>
              <w:t>0.11</w:t>
            </w:r>
          </w:p>
        </w:tc>
      </w:tr>
      <w:tr w:rsidR="0045275A">
        <w:tc>
          <w:tcPr>
            <w:tcW w:w="1808" w:type="dxa"/>
            <w:vAlign w:val="center"/>
          </w:tcPr>
          <w:p w:rsidR="0045275A" w:rsidRDefault="00BA39A9">
            <w:pPr>
              <w:jc w:val="center"/>
            </w:pPr>
            <w:r>
              <w:rPr>
                <w:rFonts w:eastAsiaTheme="minorEastAsia"/>
                <w:color w:val="000000" w:themeColor="text1"/>
                <w:szCs w:val="21"/>
              </w:rPr>
              <w:t>2</w:t>
            </w:r>
          </w:p>
        </w:tc>
        <w:tc>
          <w:tcPr>
            <w:tcW w:w="1729" w:type="dxa"/>
            <w:vAlign w:val="center"/>
          </w:tcPr>
          <w:p w:rsidR="0045275A" w:rsidRDefault="00BA39A9">
            <w:pPr>
              <w:jc w:val="center"/>
            </w:pPr>
            <w:r>
              <w:rPr>
                <w:rFonts w:eastAsiaTheme="minorEastAsia"/>
                <w:color w:val="000000" w:themeColor="text1"/>
                <w:szCs w:val="21"/>
              </w:rPr>
              <w:t>113050</w:t>
            </w:r>
          </w:p>
        </w:tc>
        <w:tc>
          <w:tcPr>
            <w:tcW w:w="1658" w:type="dxa"/>
            <w:vAlign w:val="center"/>
          </w:tcPr>
          <w:p w:rsidR="0045275A" w:rsidRDefault="00BA39A9">
            <w:pPr>
              <w:jc w:val="center"/>
            </w:pPr>
            <w:r>
              <w:rPr>
                <w:rFonts w:eastAsiaTheme="minorEastAsia"/>
                <w:color w:val="000000" w:themeColor="text1"/>
                <w:szCs w:val="21"/>
              </w:rPr>
              <w:t>南银转债</w:t>
            </w:r>
          </w:p>
        </w:tc>
        <w:tc>
          <w:tcPr>
            <w:tcW w:w="1697" w:type="dxa"/>
            <w:vAlign w:val="center"/>
          </w:tcPr>
          <w:p w:rsidR="0045275A" w:rsidRDefault="00850FBD">
            <w:pPr>
              <w:jc w:val="right"/>
            </w:pPr>
            <w:r w:rsidRPr="00850FBD">
              <w:rPr>
                <w:rFonts w:eastAsiaTheme="minorEastAsia"/>
                <w:color w:val="000000" w:themeColor="text1"/>
                <w:szCs w:val="21"/>
              </w:rPr>
              <w:t>111</w:t>
            </w:r>
            <w:r>
              <w:rPr>
                <w:rFonts w:eastAsiaTheme="minorEastAsia"/>
                <w:color w:val="000000" w:themeColor="text1"/>
                <w:szCs w:val="21"/>
              </w:rPr>
              <w:t>,</w:t>
            </w:r>
            <w:r w:rsidRPr="00850FBD">
              <w:rPr>
                <w:rFonts w:eastAsiaTheme="minorEastAsia"/>
                <w:color w:val="000000" w:themeColor="text1"/>
                <w:szCs w:val="21"/>
              </w:rPr>
              <w:t>039.32</w:t>
            </w:r>
          </w:p>
        </w:tc>
        <w:tc>
          <w:tcPr>
            <w:tcW w:w="1621" w:type="dxa"/>
            <w:vAlign w:val="center"/>
          </w:tcPr>
          <w:p w:rsidR="0045275A" w:rsidRDefault="00BA39A9">
            <w:pPr>
              <w:jc w:val="right"/>
            </w:pPr>
            <w:r>
              <w:rPr>
                <w:rFonts w:eastAsiaTheme="minorEastAsia"/>
                <w:color w:val="000000" w:themeColor="text1"/>
                <w:szCs w:val="21"/>
              </w:rPr>
              <w:t>0.09</w:t>
            </w:r>
          </w:p>
        </w:tc>
      </w:tr>
      <w:tr w:rsidR="0045275A">
        <w:tc>
          <w:tcPr>
            <w:tcW w:w="1808" w:type="dxa"/>
            <w:vAlign w:val="center"/>
          </w:tcPr>
          <w:p w:rsidR="0045275A" w:rsidRDefault="00BA39A9">
            <w:pPr>
              <w:jc w:val="center"/>
            </w:pPr>
            <w:r>
              <w:rPr>
                <w:rFonts w:eastAsiaTheme="minorEastAsia"/>
                <w:color w:val="000000" w:themeColor="text1"/>
                <w:szCs w:val="21"/>
              </w:rPr>
              <w:t>3</w:t>
            </w:r>
          </w:p>
        </w:tc>
        <w:tc>
          <w:tcPr>
            <w:tcW w:w="1729" w:type="dxa"/>
            <w:vAlign w:val="center"/>
          </w:tcPr>
          <w:p w:rsidR="0045275A" w:rsidRDefault="00BA39A9">
            <w:pPr>
              <w:jc w:val="center"/>
            </w:pPr>
            <w:r>
              <w:rPr>
                <w:rFonts w:eastAsiaTheme="minorEastAsia"/>
                <w:color w:val="000000" w:themeColor="text1"/>
                <w:szCs w:val="21"/>
              </w:rPr>
              <w:t>110079</w:t>
            </w:r>
          </w:p>
        </w:tc>
        <w:tc>
          <w:tcPr>
            <w:tcW w:w="1658" w:type="dxa"/>
            <w:vAlign w:val="center"/>
          </w:tcPr>
          <w:p w:rsidR="0045275A" w:rsidRDefault="00BA39A9">
            <w:pPr>
              <w:jc w:val="center"/>
            </w:pPr>
            <w:r>
              <w:rPr>
                <w:rFonts w:eastAsiaTheme="minorEastAsia"/>
                <w:color w:val="000000" w:themeColor="text1"/>
                <w:szCs w:val="21"/>
              </w:rPr>
              <w:t>杭银转债</w:t>
            </w:r>
          </w:p>
        </w:tc>
        <w:tc>
          <w:tcPr>
            <w:tcW w:w="1697" w:type="dxa"/>
            <w:vAlign w:val="center"/>
          </w:tcPr>
          <w:p w:rsidR="0045275A" w:rsidRDefault="00850FBD">
            <w:pPr>
              <w:jc w:val="right"/>
            </w:pPr>
            <w:r w:rsidRPr="00850FBD">
              <w:rPr>
                <w:rFonts w:eastAsiaTheme="minorEastAsia"/>
                <w:color w:val="000000" w:themeColor="text1"/>
                <w:szCs w:val="21"/>
              </w:rPr>
              <w:t>99</w:t>
            </w:r>
            <w:r>
              <w:rPr>
                <w:rFonts w:eastAsiaTheme="minorEastAsia"/>
                <w:color w:val="000000" w:themeColor="text1"/>
                <w:szCs w:val="21"/>
              </w:rPr>
              <w:t>,</w:t>
            </w:r>
            <w:r w:rsidRPr="00850FBD">
              <w:rPr>
                <w:rFonts w:eastAsiaTheme="minorEastAsia"/>
                <w:color w:val="000000" w:themeColor="text1"/>
                <w:szCs w:val="21"/>
              </w:rPr>
              <w:t>202.83</w:t>
            </w:r>
          </w:p>
        </w:tc>
        <w:tc>
          <w:tcPr>
            <w:tcW w:w="1621" w:type="dxa"/>
            <w:vAlign w:val="center"/>
          </w:tcPr>
          <w:p w:rsidR="0045275A" w:rsidRDefault="00BA39A9">
            <w:pPr>
              <w:jc w:val="right"/>
            </w:pPr>
            <w:r>
              <w:rPr>
                <w:rFonts w:eastAsiaTheme="minorEastAsia"/>
                <w:color w:val="000000" w:themeColor="text1"/>
                <w:szCs w:val="21"/>
              </w:rPr>
              <w:t>0.08</w:t>
            </w:r>
          </w:p>
        </w:tc>
      </w:tr>
      <w:tr w:rsidR="0045275A">
        <w:tc>
          <w:tcPr>
            <w:tcW w:w="1808" w:type="dxa"/>
            <w:vAlign w:val="center"/>
          </w:tcPr>
          <w:p w:rsidR="0045275A" w:rsidRDefault="00BA39A9">
            <w:pPr>
              <w:jc w:val="center"/>
            </w:pPr>
            <w:r>
              <w:rPr>
                <w:rFonts w:eastAsiaTheme="minorEastAsia"/>
                <w:color w:val="000000" w:themeColor="text1"/>
                <w:szCs w:val="21"/>
              </w:rPr>
              <w:t>4</w:t>
            </w:r>
          </w:p>
        </w:tc>
        <w:tc>
          <w:tcPr>
            <w:tcW w:w="1729" w:type="dxa"/>
            <w:vAlign w:val="center"/>
          </w:tcPr>
          <w:p w:rsidR="0045275A" w:rsidRDefault="00BA39A9">
            <w:pPr>
              <w:jc w:val="center"/>
            </w:pPr>
            <w:r>
              <w:rPr>
                <w:rFonts w:eastAsiaTheme="minorEastAsia"/>
                <w:color w:val="000000" w:themeColor="text1"/>
                <w:szCs w:val="21"/>
              </w:rPr>
              <w:t>123107</w:t>
            </w:r>
          </w:p>
        </w:tc>
        <w:tc>
          <w:tcPr>
            <w:tcW w:w="1658" w:type="dxa"/>
            <w:vAlign w:val="center"/>
          </w:tcPr>
          <w:p w:rsidR="0045275A" w:rsidRDefault="00BA39A9">
            <w:pPr>
              <w:jc w:val="center"/>
            </w:pPr>
            <w:r>
              <w:rPr>
                <w:rFonts w:eastAsiaTheme="minorEastAsia"/>
                <w:color w:val="000000" w:themeColor="text1"/>
                <w:szCs w:val="21"/>
              </w:rPr>
              <w:t>温氏转债</w:t>
            </w:r>
          </w:p>
        </w:tc>
        <w:tc>
          <w:tcPr>
            <w:tcW w:w="1697" w:type="dxa"/>
            <w:vAlign w:val="center"/>
          </w:tcPr>
          <w:p w:rsidR="0045275A" w:rsidRDefault="00850FBD">
            <w:pPr>
              <w:jc w:val="right"/>
            </w:pPr>
            <w:r w:rsidRPr="00850FBD">
              <w:rPr>
                <w:rFonts w:eastAsiaTheme="minorEastAsia"/>
                <w:color w:val="000000" w:themeColor="text1"/>
                <w:szCs w:val="21"/>
              </w:rPr>
              <w:t>64</w:t>
            </w:r>
            <w:r>
              <w:rPr>
                <w:rFonts w:eastAsiaTheme="minorEastAsia"/>
                <w:color w:val="000000" w:themeColor="text1"/>
                <w:szCs w:val="21"/>
              </w:rPr>
              <w:t>,</w:t>
            </w:r>
            <w:r w:rsidRPr="00850FBD">
              <w:rPr>
                <w:rFonts w:eastAsiaTheme="minorEastAsia"/>
                <w:color w:val="000000" w:themeColor="text1"/>
                <w:szCs w:val="21"/>
              </w:rPr>
              <w:t>664.86</w:t>
            </w:r>
          </w:p>
        </w:tc>
        <w:tc>
          <w:tcPr>
            <w:tcW w:w="1621" w:type="dxa"/>
            <w:vAlign w:val="center"/>
          </w:tcPr>
          <w:p w:rsidR="0045275A" w:rsidRDefault="00BA39A9">
            <w:pPr>
              <w:jc w:val="right"/>
            </w:pPr>
            <w:r>
              <w:rPr>
                <w:rFonts w:eastAsiaTheme="minorEastAsia"/>
                <w:color w:val="000000" w:themeColor="text1"/>
                <w:szCs w:val="21"/>
              </w:rPr>
              <w:t>0.05</w:t>
            </w:r>
          </w:p>
        </w:tc>
      </w:tr>
    </w:tbl>
    <w:p w:rsidR="00881A82" w:rsidRPr="00473486" w:rsidRDefault="007D1E3A">
      <w:pPr>
        <w:spacing w:line="360" w:lineRule="auto"/>
        <w:rPr>
          <w:rFonts w:eastAsiaTheme="minorEastAsia"/>
          <w:b/>
          <w:color w:val="000000" w:themeColor="text1"/>
          <w:kern w:val="0"/>
          <w:sz w:val="24"/>
        </w:rPr>
      </w:pPr>
      <w:r w:rsidRPr="00473486">
        <w:rPr>
          <w:rFonts w:eastAsiaTheme="minorEastAsia"/>
          <w:b/>
          <w:color w:val="000000" w:themeColor="text1"/>
          <w:kern w:val="0"/>
          <w:sz w:val="24"/>
        </w:rPr>
        <w:t>5.11.5</w:t>
      </w:r>
      <w:r w:rsidRPr="00473486">
        <w:rPr>
          <w:rFonts w:eastAsiaTheme="minorEastAsia"/>
          <w:b/>
          <w:color w:val="000000" w:themeColor="text1"/>
          <w:sz w:val="24"/>
        </w:rPr>
        <w:t>报告期末前十名股票中存在流通受限情况的说明</w:t>
      </w:r>
    </w:p>
    <w:p w:rsidR="00881A82" w:rsidRPr="00473486" w:rsidRDefault="007D1E3A">
      <w:pPr>
        <w:spacing w:line="360" w:lineRule="auto"/>
        <w:rPr>
          <w:rFonts w:eastAsiaTheme="minorEastAsia"/>
          <w:b/>
          <w:color w:val="000000" w:themeColor="text1"/>
          <w:kern w:val="0"/>
          <w:sz w:val="24"/>
        </w:rPr>
      </w:pPr>
      <w:r w:rsidRPr="00473486">
        <w:rPr>
          <w:rFonts w:eastAsiaTheme="minorEastAsia"/>
          <w:b/>
          <w:color w:val="000000" w:themeColor="text1"/>
          <w:kern w:val="0"/>
          <w:sz w:val="24"/>
        </w:rPr>
        <w:t>5.11.5.1</w:t>
      </w:r>
      <w:r w:rsidRPr="00473486">
        <w:rPr>
          <w:rFonts w:eastAsiaTheme="minorEastAsia"/>
          <w:b/>
          <w:color w:val="000000" w:themeColor="text1"/>
          <w:sz w:val="24"/>
        </w:rPr>
        <w:t>期末指数投资前十名股票中存在流通受限情况的说明</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本基金本报告期末前十名股票中不存在流通受限情况。</w:t>
      </w:r>
    </w:p>
    <w:p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kern w:val="0"/>
          <w:sz w:val="24"/>
        </w:rPr>
        <w:t>5.11.5.2</w:t>
      </w:r>
      <w:r w:rsidRPr="00473486">
        <w:rPr>
          <w:rFonts w:eastAsiaTheme="minorEastAsia"/>
          <w:b/>
          <w:color w:val="000000" w:themeColor="text1"/>
          <w:sz w:val="24"/>
        </w:rPr>
        <w:t>期末积极投资前五名股票中存在流通受限情况的说明</w:t>
      </w:r>
    </w:p>
    <w:tbl>
      <w:tblPr>
        <w:tblW w:w="851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3"/>
        <w:gridCol w:w="1302"/>
        <w:gridCol w:w="1301"/>
        <w:gridCol w:w="1805"/>
        <w:gridCol w:w="1655"/>
        <w:gridCol w:w="1367"/>
      </w:tblGrid>
      <w:tr w:rsidR="00881A82" w:rsidRPr="00473486">
        <w:tc>
          <w:tcPr>
            <w:tcW w:w="1083" w:type="dxa"/>
            <w:shd w:val="clear" w:color="auto" w:fill="auto"/>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序号</w:t>
            </w:r>
          </w:p>
        </w:tc>
        <w:tc>
          <w:tcPr>
            <w:tcW w:w="1302" w:type="dxa"/>
            <w:shd w:val="clear" w:color="auto" w:fill="auto"/>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股票代码</w:t>
            </w:r>
          </w:p>
        </w:tc>
        <w:tc>
          <w:tcPr>
            <w:tcW w:w="1301" w:type="dxa"/>
            <w:shd w:val="clear" w:color="auto" w:fill="auto"/>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股票名称</w:t>
            </w:r>
          </w:p>
        </w:tc>
        <w:tc>
          <w:tcPr>
            <w:tcW w:w="1805" w:type="dxa"/>
            <w:shd w:val="clear" w:color="auto" w:fill="auto"/>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流通受限部分的公允价值</w:t>
            </w:r>
            <w:r w:rsidRPr="00473486">
              <w:rPr>
                <w:rFonts w:eastAsiaTheme="minorEastAsia"/>
                <w:color w:val="000000" w:themeColor="text1"/>
                <w:szCs w:val="21"/>
              </w:rPr>
              <w:t>(</w:t>
            </w:r>
            <w:r w:rsidRPr="00473486">
              <w:rPr>
                <w:rFonts w:eastAsiaTheme="minorEastAsia"/>
                <w:color w:val="000000" w:themeColor="text1"/>
                <w:szCs w:val="21"/>
              </w:rPr>
              <w:t>元</w:t>
            </w:r>
            <w:r w:rsidRPr="00473486">
              <w:rPr>
                <w:rFonts w:eastAsiaTheme="minorEastAsia"/>
                <w:color w:val="000000" w:themeColor="text1"/>
                <w:szCs w:val="21"/>
              </w:rPr>
              <w:t>)</w:t>
            </w:r>
          </w:p>
        </w:tc>
        <w:tc>
          <w:tcPr>
            <w:tcW w:w="1655" w:type="dxa"/>
            <w:shd w:val="clear" w:color="auto" w:fill="auto"/>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占基金资产净值比例</w:t>
            </w:r>
            <w:r w:rsidRPr="00473486">
              <w:rPr>
                <w:rFonts w:eastAsiaTheme="minorEastAsia"/>
                <w:color w:val="000000" w:themeColor="text1"/>
                <w:szCs w:val="21"/>
              </w:rPr>
              <w:t>(%)</w:t>
            </w:r>
          </w:p>
        </w:tc>
        <w:tc>
          <w:tcPr>
            <w:tcW w:w="1367" w:type="dxa"/>
            <w:shd w:val="clear" w:color="auto" w:fill="auto"/>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流通受限情况说明</w:t>
            </w:r>
          </w:p>
        </w:tc>
      </w:tr>
      <w:tr w:rsidR="0045275A">
        <w:tc>
          <w:tcPr>
            <w:tcW w:w="1083" w:type="dxa"/>
            <w:vAlign w:val="center"/>
          </w:tcPr>
          <w:p w:rsidR="0045275A" w:rsidRDefault="00BA39A9">
            <w:pPr>
              <w:jc w:val="center"/>
            </w:pPr>
            <w:r>
              <w:rPr>
                <w:rFonts w:eastAsiaTheme="minorEastAsia"/>
                <w:color w:val="000000" w:themeColor="text1"/>
                <w:szCs w:val="21"/>
              </w:rPr>
              <w:t>1</w:t>
            </w:r>
          </w:p>
        </w:tc>
        <w:tc>
          <w:tcPr>
            <w:tcW w:w="1302" w:type="dxa"/>
            <w:vAlign w:val="center"/>
          </w:tcPr>
          <w:p w:rsidR="0045275A" w:rsidRDefault="00BA39A9">
            <w:pPr>
              <w:jc w:val="center"/>
            </w:pPr>
            <w:r>
              <w:rPr>
                <w:rFonts w:eastAsiaTheme="minorEastAsia"/>
                <w:color w:val="000000" w:themeColor="text1"/>
                <w:szCs w:val="21"/>
              </w:rPr>
              <w:t>301089</w:t>
            </w:r>
          </w:p>
        </w:tc>
        <w:tc>
          <w:tcPr>
            <w:tcW w:w="1301" w:type="dxa"/>
            <w:vAlign w:val="center"/>
          </w:tcPr>
          <w:p w:rsidR="0045275A" w:rsidRDefault="00BA39A9">
            <w:pPr>
              <w:jc w:val="center"/>
            </w:pPr>
            <w:r>
              <w:rPr>
                <w:rFonts w:eastAsiaTheme="minorEastAsia"/>
                <w:color w:val="000000" w:themeColor="text1"/>
                <w:szCs w:val="21"/>
              </w:rPr>
              <w:t>拓新药业</w:t>
            </w:r>
          </w:p>
        </w:tc>
        <w:tc>
          <w:tcPr>
            <w:tcW w:w="1805" w:type="dxa"/>
            <w:vAlign w:val="center"/>
          </w:tcPr>
          <w:p w:rsidR="0045275A" w:rsidRDefault="00BA39A9">
            <w:pPr>
              <w:jc w:val="right"/>
            </w:pPr>
            <w:r>
              <w:rPr>
                <w:rFonts w:eastAsiaTheme="minorEastAsia"/>
                <w:color w:val="000000" w:themeColor="text1"/>
                <w:szCs w:val="21"/>
              </w:rPr>
              <w:t>22,490.00</w:t>
            </w:r>
          </w:p>
        </w:tc>
        <w:tc>
          <w:tcPr>
            <w:tcW w:w="1655" w:type="dxa"/>
            <w:vAlign w:val="center"/>
          </w:tcPr>
          <w:p w:rsidR="0045275A" w:rsidRDefault="00BA39A9">
            <w:pPr>
              <w:jc w:val="right"/>
            </w:pPr>
            <w:r>
              <w:rPr>
                <w:rFonts w:eastAsiaTheme="minorEastAsia"/>
                <w:color w:val="000000" w:themeColor="text1"/>
                <w:szCs w:val="21"/>
              </w:rPr>
              <w:t>0.02</w:t>
            </w:r>
          </w:p>
        </w:tc>
        <w:tc>
          <w:tcPr>
            <w:tcW w:w="1367" w:type="dxa"/>
            <w:vAlign w:val="center"/>
          </w:tcPr>
          <w:p w:rsidR="0045275A" w:rsidRDefault="00BA39A9">
            <w:pPr>
              <w:jc w:val="right"/>
            </w:pPr>
            <w:r>
              <w:rPr>
                <w:rFonts w:eastAsiaTheme="minorEastAsia"/>
                <w:color w:val="000000" w:themeColor="text1"/>
                <w:szCs w:val="21"/>
              </w:rPr>
              <w:t>新股锁定期内</w:t>
            </w:r>
          </w:p>
        </w:tc>
      </w:tr>
    </w:tbl>
    <w:p w:rsidR="00881A82" w:rsidRPr="00473486" w:rsidRDefault="00881A82">
      <w:pPr>
        <w:spacing w:line="360" w:lineRule="auto"/>
        <w:rPr>
          <w:rFonts w:eastAsiaTheme="minorEastAsia"/>
          <w:bCs/>
          <w:color w:val="000000" w:themeColor="text1"/>
          <w:szCs w:val="21"/>
        </w:rPr>
      </w:pPr>
    </w:p>
    <w:p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sz w:val="24"/>
        </w:rPr>
        <w:t>5.11.</w:t>
      </w:r>
      <w:r w:rsidRPr="00473486">
        <w:rPr>
          <w:rFonts w:eastAsiaTheme="minorEastAsia"/>
          <w:b/>
          <w:bCs/>
          <w:color w:val="000000" w:themeColor="text1"/>
          <w:sz w:val="24"/>
        </w:rPr>
        <w:t>6</w:t>
      </w:r>
      <w:r w:rsidRPr="00473486">
        <w:rPr>
          <w:rFonts w:eastAsiaTheme="minorEastAsia"/>
          <w:b/>
          <w:bCs/>
          <w:color w:val="000000" w:themeColor="text1"/>
          <w:kern w:val="0"/>
          <w:sz w:val="24"/>
        </w:rPr>
        <w:t>投资组合报告附注的其他文字描述部分</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因四舍五入的原因，投资组合报告中分项之和与合计数可能存在尾差。</w:t>
      </w:r>
    </w:p>
    <w:p w:rsidR="00881A82" w:rsidRPr="00473486" w:rsidRDefault="00881A82">
      <w:pPr>
        <w:spacing w:line="360" w:lineRule="auto"/>
        <w:ind w:firstLineChars="200" w:firstLine="420"/>
        <w:rPr>
          <w:rFonts w:eastAsiaTheme="minorEastAsia"/>
          <w:color w:val="000000" w:themeColor="text1"/>
          <w:szCs w:val="21"/>
        </w:rPr>
      </w:pPr>
    </w:p>
    <w:p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§6  </w:t>
      </w:r>
      <w:r w:rsidRPr="00473486">
        <w:rPr>
          <w:rFonts w:eastAsiaTheme="minorEastAsia"/>
          <w:color w:val="000000" w:themeColor="text1"/>
          <w:kern w:val="0"/>
          <w:sz w:val="24"/>
          <w:szCs w:val="24"/>
        </w:rPr>
        <w:t>开放式基金份额变动</w:t>
      </w:r>
    </w:p>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单位：份</w:t>
      </w:r>
    </w:p>
    <w:tbl>
      <w:tblPr>
        <w:tblW w:w="8634" w:type="dxa"/>
        <w:tblInd w:w="-106" w:type="dxa"/>
        <w:tblLayout w:type="fixed"/>
        <w:tblLook w:val="04A0" w:firstRow="1" w:lastRow="0" w:firstColumn="1" w:lastColumn="0" w:noHBand="0" w:noVBand="1"/>
      </w:tblPr>
      <w:tblGrid>
        <w:gridCol w:w="4609"/>
        <w:gridCol w:w="4025"/>
      </w:tblGrid>
      <w:tr w:rsidR="00881A82" w:rsidRPr="00473486">
        <w:tc>
          <w:tcPr>
            <w:tcW w:w="4609"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114,727,323.00</w:t>
            </w:r>
          </w:p>
        </w:tc>
      </w:tr>
      <w:tr w:rsidR="00881A82" w:rsidRPr="00473486">
        <w:tc>
          <w:tcPr>
            <w:tcW w:w="4609"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报告期期间基金总申购份额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3,000,000.00</w:t>
            </w:r>
          </w:p>
        </w:tc>
      </w:tr>
      <w:tr w:rsidR="00881A82" w:rsidRPr="00473486">
        <w:tc>
          <w:tcPr>
            <w:tcW w:w="4609"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减：报告期期间基金总赎回份额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18,000,000.00</w:t>
            </w:r>
          </w:p>
        </w:tc>
      </w:tr>
      <w:tr w:rsidR="00881A82" w:rsidRPr="00473486">
        <w:tc>
          <w:tcPr>
            <w:tcW w:w="4609"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报告期期间基金拆分变动份额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c>
          <w:tcPr>
            <w:tcW w:w="4609"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99,727,323.00</w:t>
            </w:r>
          </w:p>
        </w:tc>
      </w:tr>
    </w:tbl>
    <w:p w:rsidR="00881A82" w:rsidRPr="00473486" w:rsidRDefault="007D1E3A">
      <w:pPr>
        <w:pStyle w:val="1"/>
        <w:tabs>
          <w:tab w:val="center" w:pos="4156"/>
          <w:tab w:val="right" w:pos="8312"/>
        </w:tabs>
        <w:spacing w:beforeLines="100" w:before="312" w:afterLines="100" w:after="312" w:line="360" w:lineRule="auto"/>
        <w:jc w:val="center"/>
        <w:rPr>
          <w:color w:val="000000" w:themeColor="text1"/>
          <w:sz w:val="24"/>
          <w:szCs w:val="24"/>
        </w:rPr>
      </w:pPr>
      <w:r w:rsidRPr="00473486">
        <w:rPr>
          <w:rFonts w:eastAsiaTheme="minorEastAsia"/>
          <w:color w:val="000000" w:themeColor="text1"/>
          <w:kern w:val="0"/>
          <w:sz w:val="24"/>
          <w:szCs w:val="24"/>
        </w:rPr>
        <w:t xml:space="preserve">§7  </w:t>
      </w:r>
      <w:r w:rsidRPr="00473486">
        <w:rPr>
          <w:color w:val="000000" w:themeColor="text1"/>
          <w:sz w:val="24"/>
          <w:szCs w:val="24"/>
        </w:rPr>
        <w:t>基金管理人运用固有资金投资本基金情况</w:t>
      </w:r>
    </w:p>
    <w:p w:rsidR="00881A82" w:rsidRPr="00473486" w:rsidRDefault="007D1E3A">
      <w:pPr>
        <w:spacing w:line="360" w:lineRule="auto"/>
        <w:jc w:val="left"/>
        <w:rPr>
          <w:color w:val="000000" w:themeColor="text1"/>
          <w:sz w:val="24"/>
        </w:rPr>
      </w:pPr>
      <w:r w:rsidRPr="00473486">
        <w:rPr>
          <w:b/>
          <w:color w:val="000000" w:themeColor="text1"/>
          <w:sz w:val="24"/>
        </w:rPr>
        <w:t xml:space="preserve">7.1 </w:t>
      </w:r>
      <w:r w:rsidRPr="00473486">
        <w:rPr>
          <w:b/>
          <w:color w:val="000000" w:themeColor="text1"/>
          <w:sz w:val="24"/>
        </w:rPr>
        <w:t>基金管理人持有本基金份额变动情况</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无。</w:t>
      </w:r>
    </w:p>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§8  </w:t>
      </w:r>
      <w:r w:rsidRPr="00473486">
        <w:rPr>
          <w:rFonts w:eastAsiaTheme="minorEastAsia"/>
          <w:color w:val="000000" w:themeColor="text1"/>
          <w:kern w:val="0"/>
          <w:sz w:val="24"/>
          <w:szCs w:val="24"/>
        </w:rPr>
        <w:t>影响投资者决策的其他重要信息</w:t>
      </w:r>
    </w:p>
    <w:p w:rsidR="00881A82" w:rsidRPr="00473486" w:rsidRDefault="007D1E3A">
      <w:pPr>
        <w:autoSpaceDE w:val="0"/>
        <w:autoSpaceDN w:val="0"/>
        <w:adjustRightInd w:val="0"/>
        <w:spacing w:line="360" w:lineRule="auto"/>
        <w:jc w:val="left"/>
        <w:rPr>
          <w:b/>
          <w:bCs/>
          <w:color w:val="000000"/>
          <w:kern w:val="0"/>
          <w:sz w:val="24"/>
        </w:rPr>
      </w:pPr>
      <w:r w:rsidRPr="00473486">
        <w:rPr>
          <w:b/>
          <w:bCs/>
          <w:color w:val="000000"/>
          <w:kern w:val="0"/>
          <w:sz w:val="24"/>
        </w:rPr>
        <w:t xml:space="preserve">8.1 </w:t>
      </w:r>
      <w:r w:rsidRPr="00473486">
        <w:rPr>
          <w:b/>
          <w:bCs/>
          <w:color w:val="000000"/>
          <w:kern w:val="0"/>
          <w:sz w:val="24"/>
        </w:rPr>
        <w:t>报告期内单一投资者持有基金份额比例达到或超过</w:t>
      </w:r>
      <w:r w:rsidRPr="00473486">
        <w:rPr>
          <w:b/>
          <w:bCs/>
          <w:color w:val="000000"/>
          <w:kern w:val="0"/>
          <w:sz w:val="24"/>
        </w:rPr>
        <w:t>20%</w:t>
      </w:r>
      <w:r w:rsidRPr="00473486">
        <w:rPr>
          <w:b/>
          <w:bCs/>
          <w:color w:val="000000"/>
          <w:kern w:val="0"/>
          <w:sz w:val="24"/>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881A82" w:rsidRPr="00473486">
        <w:tc>
          <w:tcPr>
            <w:tcW w:w="993" w:type="dxa"/>
            <w:vMerge w:val="restart"/>
            <w:vAlign w:val="center"/>
          </w:tcPr>
          <w:p w:rsidR="00881A82" w:rsidRPr="00473486" w:rsidRDefault="007D1E3A">
            <w:pPr>
              <w:autoSpaceDE w:val="0"/>
              <w:autoSpaceDN w:val="0"/>
              <w:adjustRightInd w:val="0"/>
              <w:jc w:val="center"/>
              <w:rPr>
                <w:b/>
                <w:bCs/>
                <w:color w:val="000000"/>
                <w:kern w:val="0"/>
                <w:szCs w:val="21"/>
              </w:rPr>
            </w:pPr>
            <w:r w:rsidRPr="00473486">
              <w:rPr>
                <w:color w:val="000000"/>
                <w:kern w:val="0"/>
                <w:szCs w:val="21"/>
              </w:rPr>
              <w:t>投资者类别</w:t>
            </w:r>
            <w:r w:rsidRPr="00473486">
              <w:rPr>
                <w:color w:val="000000"/>
                <w:kern w:val="0"/>
                <w:szCs w:val="21"/>
              </w:rPr>
              <w:t xml:space="preserve">  </w:t>
            </w:r>
          </w:p>
        </w:tc>
        <w:tc>
          <w:tcPr>
            <w:tcW w:w="5670" w:type="dxa"/>
            <w:gridSpan w:val="5"/>
            <w:vAlign w:val="center"/>
          </w:tcPr>
          <w:p w:rsidR="00881A82" w:rsidRPr="00473486" w:rsidRDefault="007D1E3A">
            <w:pPr>
              <w:autoSpaceDE w:val="0"/>
              <w:autoSpaceDN w:val="0"/>
              <w:adjustRightInd w:val="0"/>
              <w:jc w:val="center"/>
              <w:rPr>
                <w:b/>
                <w:bCs/>
                <w:color w:val="000000"/>
                <w:kern w:val="0"/>
                <w:szCs w:val="21"/>
              </w:rPr>
            </w:pPr>
            <w:r w:rsidRPr="00473486">
              <w:rPr>
                <w:color w:val="000000"/>
                <w:kern w:val="0"/>
                <w:szCs w:val="21"/>
              </w:rPr>
              <w:t>报告期内持有基金份额变化情况</w:t>
            </w:r>
          </w:p>
        </w:tc>
        <w:tc>
          <w:tcPr>
            <w:tcW w:w="2549" w:type="dxa"/>
            <w:gridSpan w:val="2"/>
            <w:vAlign w:val="center"/>
          </w:tcPr>
          <w:p w:rsidR="00881A82" w:rsidRPr="00473486" w:rsidRDefault="007D1E3A">
            <w:pPr>
              <w:autoSpaceDE w:val="0"/>
              <w:autoSpaceDN w:val="0"/>
              <w:adjustRightInd w:val="0"/>
              <w:jc w:val="center"/>
              <w:rPr>
                <w:b/>
                <w:bCs/>
                <w:color w:val="000000"/>
                <w:kern w:val="0"/>
                <w:szCs w:val="21"/>
              </w:rPr>
            </w:pPr>
            <w:r w:rsidRPr="00473486">
              <w:rPr>
                <w:color w:val="000000"/>
                <w:kern w:val="0"/>
                <w:szCs w:val="21"/>
              </w:rPr>
              <w:t>报告期末持有基金情况</w:t>
            </w:r>
          </w:p>
        </w:tc>
      </w:tr>
      <w:tr w:rsidR="00881A82" w:rsidRPr="00473486">
        <w:tc>
          <w:tcPr>
            <w:tcW w:w="993" w:type="dxa"/>
            <w:vMerge/>
            <w:vAlign w:val="center"/>
          </w:tcPr>
          <w:p w:rsidR="00881A82" w:rsidRPr="00473486" w:rsidRDefault="00881A82">
            <w:pPr>
              <w:autoSpaceDE w:val="0"/>
              <w:autoSpaceDN w:val="0"/>
              <w:adjustRightInd w:val="0"/>
              <w:jc w:val="center"/>
              <w:rPr>
                <w:b/>
                <w:bCs/>
                <w:color w:val="000000"/>
                <w:kern w:val="0"/>
                <w:szCs w:val="21"/>
              </w:rPr>
            </w:pPr>
          </w:p>
        </w:tc>
        <w:tc>
          <w:tcPr>
            <w:tcW w:w="992" w:type="dxa"/>
            <w:vAlign w:val="center"/>
          </w:tcPr>
          <w:p w:rsidR="00881A82" w:rsidRPr="00473486" w:rsidRDefault="007D1E3A">
            <w:pPr>
              <w:autoSpaceDE w:val="0"/>
              <w:autoSpaceDN w:val="0"/>
              <w:adjustRightInd w:val="0"/>
              <w:jc w:val="center"/>
              <w:rPr>
                <w:b/>
                <w:bCs/>
                <w:color w:val="000000"/>
                <w:kern w:val="0"/>
                <w:szCs w:val="21"/>
              </w:rPr>
            </w:pPr>
            <w:r w:rsidRPr="00473486">
              <w:rPr>
                <w:color w:val="000000"/>
                <w:kern w:val="0"/>
                <w:szCs w:val="21"/>
              </w:rPr>
              <w:t>序号</w:t>
            </w:r>
          </w:p>
        </w:tc>
        <w:tc>
          <w:tcPr>
            <w:tcW w:w="1843" w:type="dxa"/>
            <w:vAlign w:val="center"/>
          </w:tcPr>
          <w:p w:rsidR="00881A82" w:rsidRPr="00473486" w:rsidRDefault="007D1E3A">
            <w:pPr>
              <w:autoSpaceDE w:val="0"/>
              <w:autoSpaceDN w:val="0"/>
              <w:adjustRightInd w:val="0"/>
              <w:jc w:val="center"/>
              <w:rPr>
                <w:b/>
                <w:bCs/>
                <w:color w:val="000000"/>
                <w:kern w:val="0"/>
                <w:szCs w:val="21"/>
              </w:rPr>
            </w:pPr>
            <w:r w:rsidRPr="00473486">
              <w:rPr>
                <w:color w:val="000000"/>
                <w:kern w:val="0"/>
                <w:szCs w:val="21"/>
              </w:rPr>
              <w:t>持有基金份额比例达到或者超过</w:t>
            </w:r>
            <w:r w:rsidRPr="00473486">
              <w:rPr>
                <w:color w:val="000000"/>
                <w:kern w:val="0"/>
                <w:szCs w:val="21"/>
              </w:rPr>
              <w:t>20%</w:t>
            </w:r>
            <w:r w:rsidRPr="00473486">
              <w:rPr>
                <w:color w:val="000000"/>
                <w:kern w:val="0"/>
                <w:szCs w:val="21"/>
              </w:rPr>
              <w:t>的时间区间</w:t>
            </w:r>
          </w:p>
        </w:tc>
        <w:tc>
          <w:tcPr>
            <w:tcW w:w="851" w:type="dxa"/>
            <w:vAlign w:val="center"/>
          </w:tcPr>
          <w:p w:rsidR="00881A82" w:rsidRPr="00473486" w:rsidRDefault="007D1E3A">
            <w:pPr>
              <w:widowControl/>
              <w:jc w:val="center"/>
              <w:rPr>
                <w:b/>
                <w:bCs/>
                <w:color w:val="000000"/>
                <w:kern w:val="0"/>
                <w:szCs w:val="21"/>
              </w:rPr>
            </w:pPr>
            <w:r w:rsidRPr="00473486">
              <w:rPr>
                <w:color w:val="000000"/>
                <w:kern w:val="0"/>
                <w:szCs w:val="21"/>
              </w:rPr>
              <w:t>期初份额</w:t>
            </w:r>
          </w:p>
        </w:tc>
        <w:tc>
          <w:tcPr>
            <w:tcW w:w="850" w:type="dxa"/>
            <w:vAlign w:val="center"/>
          </w:tcPr>
          <w:p w:rsidR="00881A82" w:rsidRPr="00473486" w:rsidRDefault="007D1E3A">
            <w:pPr>
              <w:widowControl/>
              <w:jc w:val="center"/>
              <w:rPr>
                <w:b/>
                <w:bCs/>
                <w:color w:val="000000"/>
                <w:kern w:val="0"/>
                <w:szCs w:val="21"/>
              </w:rPr>
            </w:pPr>
            <w:r w:rsidRPr="00473486">
              <w:rPr>
                <w:color w:val="000000"/>
                <w:kern w:val="0"/>
                <w:szCs w:val="21"/>
              </w:rPr>
              <w:t>申购份额</w:t>
            </w:r>
          </w:p>
        </w:tc>
        <w:tc>
          <w:tcPr>
            <w:tcW w:w="1134" w:type="dxa"/>
            <w:vAlign w:val="center"/>
          </w:tcPr>
          <w:p w:rsidR="00881A82" w:rsidRPr="00473486" w:rsidRDefault="007D1E3A">
            <w:pPr>
              <w:widowControl/>
              <w:jc w:val="center"/>
              <w:rPr>
                <w:b/>
                <w:bCs/>
                <w:color w:val="000000"/>
                <w:kern w:val="0"/>
                <w:szCs w:val="21"/>
              </w:rPr>
            </w:pPr>
            <w:r w:rsidRPr="00473486">
              <w:rPr>
                <w:color w:val="000000"/>
                <w:kern w:val="0"/>
                <w:szCs w:val="21"/>
              </w:rPr>
              <w:t>赎回份额</w:t>
            </w:r>
          </w:p>
        </w:tc>
        <w:tc>
          <w:tcPr>
            <w:tcW w:w="1419" w:type="dxa"/>
            <w:vAlign w:val="center"/>
          </w:tcPr>
          <w:p w:rsidR="00881A82" w:rsidRPr="00473486" w:rsidRDefault="007D1E3A">
            <w:pPr>
              <w:autoSpaceDE w:val="0"/>
              <w:autoSpaceDN w:val="0"/>
              <w:adjustRightInd w:val="0"/>
              <w:jc w:val="center"/>
              <w:rPr>
                <w:b/>
                <w:bCs/>
                <w:color w:val="000000"/>
                <w:kern w:val="0"/>
                <w:szCs w:val="21"/>
              </w:rPr>
            </w:pPr>
            <w:r w:rsidRPr="00473486">
              <w:rPr>
                <w:color w:val="000000"/>
                <w:kern w:val="0"/>
                <w:szCs w:val="21"/>
              </w:rPr>
              <w:t>持有份额</w:t>
            </w:r>
          </w:p>
        </w:tc>
        <w:tc>
          <w:tcPr>
            <w:tcW w:w="1130" w:type="dxa"/>
            <w:vAlign w:val="center"/>
          </w:tcPr>
          <w:p w:rsidR="00881A82" w:rsidRPr="00473486" w:rsidRDefault="007D1E3A">
            <w:pPr>
              <w:autoSpaceDE w:val="0"/>
              <w:autoSpaceDN w:val="0"/>
              <w:adjustRightInd w:val="0"/>
              <w:jc w:val="center"/>
              <w:rPr>
                <w:b/>
                <w:bCs/>
                <w:color w:val="000000"/>
                <w:kern w:val="0"/>
                <w:szCs w:val="21"/>
              </w:rPr>
            </w:pPr>
            <w:r w:rsidRPr="00473486">
              <w:rPr>
                <w:color w:val="000000"/>
                <w:kern w:val="0"/>
                <w:szCs w:val="21"/>
              </w:rPr>
              <w:t>份额占比</w:t>
            </w:r>
          </w:p>
        </w:tc>
      </w:tr>
      <w:tr w:rsidR="0045275A">
        <w:tc>
          <w:tcPr>
            <w:tcW w:w="993" w:type="dxa"/>
            <w:vAlign w:val="center"/>
          </w:tcPr>
          <w:p w:rsidR="0045275A" w:rsidRDefault="00BA39A9">
            <w:r>
              <w:rPr>
                <w:kern w:val="0"/>
                <w:szCs w:val="21"/>
              </w:rPr>
              <w:t>联接基金</w:t>
            </w:r>
          </w:p>
        </w:tc>
        <w:tc>
          <w:tcPr>
            <w:tcW w:w="992" w:type="dxa"/>
            <w:vAlign w:val="center"/>
          </w:tcPr>
          <w:p w:rsidR="0045275A" w:rsidRDefault="00BA39A9">
            <w:pPr>
              <w:jc w:val="center"/>
            </w:pPr>
            <w:r>
              <w:rPr>
                <w:bCs/>
                <w:color w:val="000000"/>
                <w:kern w:val="0"/>
                <w:szCs w:val="21"/>
              </w:rPr>
              <w:t>1</w:t>
            </w:r>
          </w:p>
        </w:tc>
        <w:tc>
          <w:tcPr>
            <w:tcW w:w="1843" w:type="dxa"/>
            <w:vAlign w:val="center"/>
          </w:tcPr>
          <w:p w:rsidR="0045275A" w:rsidRDefault="00BA39A9">
            <w:pPr>
              <w:jc w:val="center"/>
            </w:pPr>
            <w:r>
              <w:rPr>
                <w:bCs/>
                <w:color w:val="000000"/>
                <w:kern w:val="0"/>
                <w:szCs w:val="21"/>
              </w:rPr>
              <w:t>20220101-20220331</w:t>
            </w:r>
          </w:p>
        </w:tc>
        <w:tc>
          <w:tcPr>
            <w:tcW w:w="851" w:type="dxa"/>
            <w:vAlign w:val="center"/>
          </w:tcPr>
          <w:p w:rsidR="0045275A" w:rsidRDefault="00BA39A9">
            <w:pPr>
              <w:jc w:val="center"/>
            </w:pPr>
            <w:r>
              <w:rPr>
                <w:bCs/>
                <w:color w:val="000000"/>
                <w:kern w:val="0"/>
                <w:szCs w:val="21"/>
              </w:rPr>
              <w:t>34,967,800.00</w:t>
            </w:r>
          </w:p>
        </w:tc>
        <w:tc>
          <w:tcPr>
            <w:tcW w:w="850" w:type="dxa"/>
            <w:vAlign w:val="center"/>
          </w:tcPr>
          <w:p w:rsidR="0045275A" w:rsidRDefault="00BA39A9">
            <w:pPr>
              <w:jc w:val="center"/>
            </w:pPr>
            <w:r>
              <w:rPr>
                <w:bCs/>
                <w:color w:val="000000"/>
                <w:kern w:val="0"/>
                <w:szCs w:val="21"/>
              </w:rPr>
              <w:t>0.00</w:t>
            </w:r>
          </w:p>
        </w:tc>
        <w:tc>
          <w:tcPr>
            <w:tcW w:w="1134" w:type="dxa"/>
            <w:vAlign w:val="center"/>
          </w:tcPr>
          <w:p w:rsidR="0045275A" w:rsidRDefault="00BA39A9">
            <w:pPr>
              <w:jc w:val="center"/>
            </w:pPr>
            <w:r>
              <w:rPr>
                <w:bCs/>
                <w:color w:val="000000"/>
                <w:kern w:val="0"/>
                <w:szCs w:val="21"/>
              </w:rPr>
              <w:t>3,499,100.00</w:t>
            </w:r>
          </w:p>
        </w:tc>
        <w:tc>
          <w:tcPr>
            <w:tcW w:w="1419" w:type="dxa"/>
            <w:vAlign w:val="center"/>
          </w:tcPr>
          <w:p w:rsidR="0045275A" w:rsidRDefault="00BA39A9">
            <w:pPr>
              <w:jc w:val="center"/>
            </w:pPr>
            <w:r>
              <w:rPr>
                <w:bCs/>
                <w:color w:val="000000"/>
                <w:kern w:val="0"/>
                <w:szCs w:val="21"/>
              </w:rPr>
              <w:t>31,468,700.00</w:t>
            </w:r>
          </w:p>
        </w:tc>
        <w:tc>
          <w:tcPr>
            <w:tcW w:w="1130" w:type="dxa"/>
            <w:vAlign w:val="center"/>
          </w:tcPr>
          <w:p w:rsidR="0045275A" w:rsidRDefault="00BA39A9">
            <w:pPr>
              <w:jc w:val="center"/>
            </w:pPr>
            <w:r>
              <w:rPr>
                <w:bCs/>
                <w:color w:val="000000"/>
                <w:kern w:val="0"/>
                <w:szCs w:val="21"/>
              </w:rPr>
              <w:t>31.55%</w:t>
            </w:r>
          </w:p>
        </w:tc>
      </w:tr>
      <w:tr w:rsidR="00881A82" w:rsidRPr="00473486">
        <w:tc>
          <w:tcPr>
            <w:tcW w:w="9212" w:type="dxa"/>
            <w:gridSpan w:val="8"/>
            <w:vAlign w:val="center"/>
          </w:tcPr>
          <w:p w:rsidR="00881A82" w:rsidRPr="00473486" w:rsidRDefault="007D1E3A">
            <w:pPr>
              <w:autoSpaceDE w:val="0"/>
              <w:autoSpaceDN w:val="0"/>
              <w:adjustRightInd w:val="0"/>
              <w:jc w:val="center"/>
              <w:rPr>
                <w:kern w:val="0"/>
                <w:szCs w:val="21"/>
              </w:rPr>
            </w:pPr>
            <w:r w:rsidRPr="00473486">
              <w:rPr>
                <w:color w:val="000000"/>
                <w:kern w:val="0"/>
                <w:szCs w:val="21"/>
              </w:rPr>
              <w:t>产品特有风险</w:t>
            </w:r>
          </w:p>
        </w:tc>
      </w:tr>
      <w:tr w:rsidR="00881A82" w:rsidRPr="00473486">
        <w:tc>
          <w:tcPr>
            <w:tcW w:w="9212" w:type="dxa"/>
            <w:gridSpan w:val="8"/>
            <w:vAlign w:val="center"/>
          </w:tcPr>
          <w:p w:rsidR="00881A82" w:rsidRPr="00473486" w:rsidRDefault="007D1E3A">
            <w:pPr>
              <w:autoSpaceDE w:val="0"/>
              <w:autoSpaceDN w:val="0"/>
              <w:adjustRightInd w:val="0"/>
              <w:jc w:val="left"/>
              <w:rPr>
                <w:kern w:val="0"/>
                <w:szCs w:val="21"/>
              </w:rPr>
            </w:pPr>
            <w:r w:rsidRPr="00473486">
              <w:rPr>
                <w:kern w:val="0"/>
                <w:szCs w:val="21"/>
              </w:rPr>
              <w:t>本基金的集中度风险主要体现在有单一投资者持有基金份额比例达到或者超过</w:t>
            </w:r>
            <w:r w:rsidRPr="00473486">
              <w:rPr>
                <w:kern w:val="0"/>
                <w:szCs w:val="21"/>
              </w:rPr>
              <w:t>20%</w:t>
            </w:r>
            <w:r w:rsidRPr="00473486">
              <w:rPr>
                <w:kern w:val="0"/>
                <w:szCs w:val="21"/>
              </w:rPr>
              <w:t>，如果投资者发生大额赎回，可能出现基金可变现资产无法满足投资者赎回需要以及因为资产变现成本过高导致投资者的利益受到损害的风险。</w:t>
            </w:r>
          </w:p>
        </w:tc>
      </w:tr>
    </w:tbl>
    <w:p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§9</w:t>
      </w:r>
      <w:r w:rsidRPr="00473486">
        <w:rPr>
          <w:rFonts w:eastAsiaTheme="minorEastAsia"/>
          <w:color w:val="000000" w:themeColor="text1"/>
          <w:kern w:val="0"/>
          <w:sz w:val="24"/>
          <w:szCs w:val="24"/>
        </w:rPr>
        <w:t>备查文件目录</w:t>
      </w:r>
    </w:p>
    <w:p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sz w:val="24"/>
        </w:rPr>
        <w:t xml:space="preserve">9.1 </w:t>
      </w:r>
      <w:r w:rsidRPr="00473486">
        <w:rPr>
          <w:rFonts w:eastAsiaTheme="minorEastAsia"/>
          <w:b/>
          <w:color w:val="000000" w:themeColor="text1"/>
          <w:sz w:val="24"/>
        </w:rPr>
        <w:t>备查文件目录</w:t>
      </w:r>
    </w:p>
    <w:p w:rsidR="0045275A" w:rsidRDefault="00BA39A9">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中国证监会准予上投摩根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股交易型开放式指数证券投资基金募集注册的文件</w:t>
      </w:r>
    </w:p>
    <w:p w:rsidR="0045275A" w:rsidRDefault="00BA39A9">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上投摩根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股交易型开放式指数证券投资基金基金合同</w:t>
      </w:r>
    </w:p>
    <w:p w:rsidR="0045275A" w:rsidRDefault="00BA39A9">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上投摩根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股交易型开放式指数证券投资基金托管协议</w:t>
      </w:r>
    </w:p>
    <w:p w:rsidR="0045275A" w:rsidRDefault="00BA39A9">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rsidR="0045275A" w:rsidRDefault="00BA39A9">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rsidR="0045275A" w:rsidRDefault="00BA39A9">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rsidR="0045275A" w:rsidRDefault="00BA39A9">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上投摩根基金管理有限公司开放式基金业务规则</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w:t>
      </w:r>
      <w:r w:rsidRPr="00473486">
        <w:rPr>
          <w:rFonts w:eastAsiaTheme="minorEastAsia"/>
          <w:color w:val="000000" w:themeColor="text1"/>
          <w:szCs w:val="21"/>
        </w:rPr>
        <w:t>八</w:t>
      </w:r>
      <w:r w:rsidRPr="00473486">
        <w:rPr>
          <w:rFonts w:eastAsiaTheme="minorEastAsia"/>
          <w:color w:val="000000" w:themeColor="text1"/>
          <w:szCs w:val="21"/>
        </w:rPr>
        <w:t>)</w:t>
      </w:r>
      <w:r w:rsidRPr="00473486">
        <w:rPr>
          <w:rFonts w:eastAsiaTheme="minorEastAsia"/>
          <w:color w:val="000000" w:themeColor="text1"/>
          <w:szCs w:val="21"/>
        </w:rPr>
        <w:t>中国证监会要求的其他文件</w:t>
      </w:r>
    </w:p>
    <w:p w:rsidR="00881A82" w:rsidRPr="00473486" w:rsidRDefault="00881A82">
      <w:pPr>
        <w:spacing w:line="360" w:lineRule="auto"/>
        <w:ind w:firstLineChars="200" w:firstLine="480"/>
        <w:rPr>
          <w:rFonts w:eastAsiaTheme="minorEastAsia"/>
          <w:color w:val="000000" w:themeColor="text1"/>
          <w:sz w:val="24"/>
        </w:rPr>
      </w:pPr>
    </w:p>
    <w:p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sz w:val="24"/>
        </w:rPr>
        <w:t xml:space="preserve">9.2 </w:t>
      </w:r>
      <w:r w:rsidRPr="00473486">
        <w:rPr>
          <w:rFonts w:eastAsiaTheme="minorEastAsia"/>
          <w:b/>
          <w:color w:val="000000" w:themeColor="text1"/>
          <w:sz w:val="24"/>
        </w:rPr>
        <w:t>存放地点</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基金管理人或基金托管人住所。</w:t>
      </w:r>
    </w:p>
    <w:p w:rsidR="00881A82" w:rsidRPr="00473486" w:rsidRDefault="00881A82">
      <w:pPr>
        <w:spacing w:line="360" w:lineRule="auto"/>
        <w:ind w:firstLineChars="200" w:firstLine="480"/>
        <w:rPr>
          <w:rFonts w:eastAsiaTheme="minorEastAsia"/>
          <w:color w:val="000000" w:themeColor="text1"/>
          <w:sz w:val="24"/>
        </w:rPr>
      </w:pPr>
    </w:p>
    <w:p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sz w:val="24"/>
        </w:rPr>
        <w:t xml:space="preserve">9.3 </w:t>
      </w:r>
      <w:r w:rsidRPr="00473486">
        <w:rPr>
          <w:rFonts w:eastAsiaTheme="minorEastAsia"/>
          <w:b/>
          <w:color w:val="000000" w:themeColor="text1"/>
          <w:sz w:val="24"/>
        </w:rPr>
        <w:t>查阅方式</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投资者可在营业时间免费查阅，也可按工本费购买复印件。</w:t>
      </w:r>
    </w:p>
    <w:p w:rsidR="00881A82" w:rsidRPr="00473486" w:rsidRDefault="00881A82">
      <w:pPr>
        <w:spacing w:line="360" w:lineRule="auto"/>
        <w:ind w:left="840"/>
        <w:jc w:val="right"/>
        <w:rPr>
          <w:rFonts w:eastAsiaTheme="minorEastAsia"/>
          <w:color w:val="000000" w:themeColor="text1"/>
          <w:sz w:val="24"/>
        </w:rPr>
      </w:pPr>
    </w:p>
    <w:p w:rsidR="00881A82" w:rsidRPr="00473486" w:rsidRDefault="00881A82">
      <w:pPr>
        <w:spacing w:line="360" w:lineRule="auto"/>
        <w:ind w:left="840"/>
        <w:jc w:val="right"/>
        <w:rPr>
          <w:rFonts w:eastAsiaTheme="minorEastAsia"/>
          <w:color w:val="000000" w:themeColor="text1"/>
          <w:sz w:val="24"/>
        </w:rPr>
      </w:pPr>
    </w:p>
    <w:p w:rsidR="00881A82" w:rsidRPr="00473486" w:rsidRDefault="00881A82">
      <w:pPr>
        <w:spacing w:line="360" w:lineRule="auto"/>
        <w:ind w:left="840"/>
        <w:jc w:val="right"/>
        <w:rPr>
          <w:rFonts w:eastAsiaTheme="minorEastAsia"/>
          <w:color w:val="000000" w:themeColor="text1"/>
          <w:sz w:val="24"/>
        </w:rPr>
      </w:pPr>
    </w:p>
    <w:p w:rsidR="00881A82" w:rsidRPr="00473486" w:rsidRDefault="00881A82">
      <w:pPr>
        <w:spacing w:line="360" w:lineRule="auto"/>
        <w:ind w:left="840"/>
        <w:jc w:val="right"/>
        <w:rPr>
          <w:rFonts w:eastAsiaTheme="minorEastAsia"/>
          <w:color w:val="000000" w:themeColor="text1"/>
          <w:sz w:val="24"/>
        </w:rPr>
      </w:pPr>
    </w:p>
    <w:p w:rsidR="00881A82" w:rsidRPr="00473486" w:rsidRDefault="00881A82">
      <w:pPr>
        <w:spacing w:line="360" w:lineRule="auto"/>
        <w:ind w:left="840"/>
        <w:jc w:val="right"/>
        <w:rPr>
          <w:rFonts w:eastAsiaTheme="minorEastAsia"/>
          <w:color w:val="000000" w:themeColor="text1"/>
          <w:sz w:val="24"/>
        </w:rPr>
      </w:pPr>
    </w:p>
    <w:p w:rsidR="00881A82" w:rsidRPr="00473486" w:rsidRDefault="007D1E3A">
      <w:pPr>
        <w:spacing w:line="360" w:lineRule="auto"/>
        <w:jc w:val="right"/>
        <w:rPr>
          <w:rFonts w:eastAsiaTheme="minorEastAsia"/>
          <w:b/>
          <w:bCs/>
          <w:color w:val="000000" w:themeColor="text1"/>
          <w:sz w:val="24"/>
        </w:rPr>
      </w:pPr>
      <w:r w:rsidRPr="00473486">
        <w:rPr>
          <w:rFonts w:eastAsiaTheme="minorEastAsia"/>
          <w:b/>
          <w:bCs/>
          <w:color w:val="000000" w:themeColor="text1"/>
          <w:sz w:val="24"/>
        </w:rPr>
        <w:t>上投摩根基金管理有限公司</w:t>
      </w:r>
    </w:p>
    <w:p w:rsidR="00881A82" w:rsidRPr="00473486" w:rsidRDefault="007D1E3A">
      <w:pPr>
        <w:spacing w:line="360" w:lineRule="auto"/>
        <w:jc w:val="right"/>
        <w:rPr>
          <w:rFonts w:eastAsiaTheme="minorEastAsia"/>
          <w:b/>
          <w:bCs/>
          <w:color w:val="000000" w:themeColor="text1"/>
          <w:sz w:val="24"/>
        </w:rPr>
      </w:pPr>
      <w:r w:rsidRPr="00473486">
        <w:rPr>
          <w:rFonts w:eastAsiaTheme="minorEastAsia"/>
          <w:b/>
          <w:bCs/>
          <w:color w:val="000000" w:themeColor="text1"/>
          <w:sz w:val="24"/>
        </w:rPr>
        <w:t>二〇二二年四月二十二日</w:t>
      </w:r>
    </w:p>
    <w:p w:rsidR="00881A82" w:rsidRPr="00473486" w:rsidRDefault="00881A82">
      <w:pPr>
        <w:spacing w:line="360" w:lineRule="auto"/>
        <w:ind w:firstLineChars="900" w:firstLine="2168"/>
        <w:rPr>
          <w:rFonts w:eastAsiaTheme="minorEastAsia"/>
          <w:b/>
          <w:color w:val="000000" w:themeColor="text1"/>
          <w:sz w:val="24"/>
        </w:rPr>
      </w:pPr>
    </w:p>
    <w:sectPr w:rsidR="00881A82" w:rsidRPr="00473486">
      <w:footerReference w:type="even" r:id="rId10"/>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D4D" w:rsidRDefault="00B06D4D">
      <w:r>
        <w:separator/>
      </w:r>
    </w:p>
  </w:endnote>
  <w:endnote w:type="continuationSeparator" w:id="0">
    <w:p w:rsidR="00B06D4D" w:rsidRDefault="00B06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A82" w:rsidRDefault="007D1E3A">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5E41A3">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5E41A3">
      <w:rPr>
        <w:noProof/>
        <w:kern w:val="0"/>
        <w:szCs w:val="21"/>
      </w:rPr>
      <w:t>17</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A82" w:rsidRDefault="007D1E3A">
    <w:pPr>
      <w:pStyle w:val="ae"/>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881A82" w:rsidRDefault="00881A82">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A82" w:rsidRDefault="007D1E3A">
    <w:pPr>
      <w:pStyle w:val="ae"/>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5E41A3">
      <w:rPr>
        <w:rStyle w:val="af5"/>
        <w:noProof/>
      </w:rPr>
      <w:t>17</w:t>
    </w:r>
    <w:r>
      <w:rPr>
        <w:rStyle w:val="af5"/>
      </w:rPr>
      <w:fldChar w:fldCharType="end"/>
    </w:r>
  </w:p>
  <w:p w:rsidR="00881A82" w:rsidRDefault="00881A82">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D4D" w:rsidRDefault="00B06D4D">
      <w:r>
        <w:separator/>
      </w:r>
    </w:p>
  </w:footnote>
  <w:footnote w:type="continuationSeparator" w:id="0">
    <w:p w:rsidR="00B06D4D" w:rsidRDefault="00B06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A82" w:rsidRDefault="007D1E3A">
    <w:pPr>
      <w:pStyle w:val="af"/>
      <w:pBdr>
        <w:bottom w:val="single" w:sz="6" w:space="0" w:color="auto"/>
      </w:pBdr>
      <w:jc w:val="right"/>
    </w:pPr>
    <w:r>
      <w:t>上投摩根</w:t>
    </w:r>
    <w:r>
      <w:t>MSCI</w:t>
    </w:r>
    <w:r>
      <w:t>中国</w:t>
    </w:r>
    <w:r>
      <w:t>A</w:t>
    </w:r>
    <w:r>
      <w:t>股交易型开放式指数证券投资基金</w:t>
    </w:r>
    <w:r>
      <w:t>2022</w:t>
    </w:r>
    <w:r>
      <w:t>年第</w:t>
    </w:r>
    <w:r>
      <w:t>1</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09DA"/>
    <w:rsid w:val="000020BB"/>
    <w:rsid w:val="0000403B"/>
    <w:rsid w:val="00005911"/>
    <w:rsid w:val="00010A83"/>
    <w:rsid w:val="00010A8E"/>
    <w:rsid w:val="00010AC3"/>
    <w:rsid w:val="000115A7"/>
    <w:rsid w:val="00011EB5"/>
    <w:rsid w:val="0001280C"/>
    <w:rsid w:val="00017581"/>
    <w:rsid w:val="00020583"/>
    <w:rsid w:val="00021DD4"/>
    <w:rsid w:val="00023BE7"/>
    <w:rsid w:val="00037FCF"/>
    <w:rsid w:val="000421B8"/>
    <w:rsid w:val="000433E8"/>
    <w:rsid w:val="00043ABF"/>
    <w:rsid w:val="000445E4"/>
    <w:rsid w:val="00045BEC"/>
    <w:rsid w:val="000510AB"/>
    <w:rsid w:val="00055AF1"/>
    <w:rsid w:val="000625A6"/>
    <w:rsid w:val="00064AE3"/>
    <w:rsid w:val="00066524"/>
    <w:rsid w:val="00070CD1"/>
    <w:rsid w:val="0007171B"/>
    <w:rsid w:val="00072E4F"/>
    <w:rsid w:val="00074E9F"/>
    <w:rsid w:val="0007721B"/>
    <w:rsid w:val="00081D05"/>
    <w:rsid w:val="000820A8"/>
    <w:rsid w:val="00084EE5"/>
    <w:rsid w:val="00087CF7"/>
    <w:rsid w:val="00091560"/>
    <w:rsid w:val="00093160"/>
    <w:rsid w:val="00094876"/>
    <w:rsid w:val="00095912"/>
    <w:rsid w:val="00095CE0"/>
    <w:rsid w:val="00096933"/>
    <w:rsid w:val="00097230"/>
    <w:rsid w:val="0009778D"/>
    <w:rsid w:val="000A457E"/>
    <w:rsid w:val="000A53FD"/>
    <w:rsid w:val="000A549A"/>
    <w:rsid w:val="000A5F96"/>
    <w:rsid w:val="000A72F2"/>
    <w:rsid w:val="000B0C56"/>
    <w:rsid w:val="000B3E43"/>
    <w:rsid w:val="000B5CC0"/>
    <w:rsid w:val="000C1723"/>
    <w:rsid w:val="000C1B20"/>
    <w:rsid w:val="000C4107"/>
    <w:rsid w:val="000C45E7"/>
    <w:rsid w:val="000D01F4"/>
    <w:rsid w:val="000D1519"/>
    <w:rsid w:val="000D1C87"/>
    <w:rsid w:val="000E4456"/>
    <w:rsid w:val="000F175F"/>
    <w:rsid w:val="000F17D1"/>
    <w:rsid w:val="000F60FF"/>
    <w:rsid w:val="000F635F"/>
    <w:rsid w:val="000F6C61"/>
    <w:rsid w:val="00100C12"/>
    <w:rsid w:val="00101DBA"/>
    <w:rsid w:val="001049B6"/>
    <w:rsid w:val="001051C6"/>
    <w:rsid w:val="0011177A"/>
    <w:rsid w:val="00112E9B"/>
    <w:rsid w:val="00116E31"/>
    <w:rsid w:val="00122A26"/>
    <w:rsid w:val="0012304E"/>
    <w:rsid w:val="001248EF"/>
    <w:rsid w:val="001257C7"/>
    <w:rsid w:val="00126DDF"/>
    <w:rsid w:val="001270BF"/>
    <w:rsid w:val="00127BAC"/>
    <w:rsid w:val="00131D06"/>
    <w:rsid w:val="0013360F"/>
    <w:rsid w:val="00141121"/>
    <w:rsid w:val="00142A56"/>
    <w:rsid w:val="00144DF5"/>
    <w:rsid w:val="00145A97"/>
    <w:rsid w:val="00146485"/>
    <w:rsid w:val="00150AD6"/>
    <w:rsid w:val="00153B40"/>
    <w:rsid w:val="00154ADA"/>
    <w:rsid w:val="0015531A"/>
    <w:rsid w:val="001600E8"/>
    <w:rsid w:val="00162BD7"/>
    <w:rsid w:val="00163B27"/>
    <w:rsid w:val="00165317"/>
    <w:rsid w:val="00171BAD"/>
    <w:rsid w:val="00172410"/>
    <w:rsid w:val="001744B4"/>
    <w:rsid w:val="001756A1"/>
    <w:rsid w:val="001761EE"/>
    <w:rsid w:val="00176EAA"/>
    <w:rsid w:val="0017725A"/>
    <w:rsid w:val="001775F7"/>
    <w:rsid w:val="001779ED"/>
    <w:rsid w:val="00177C4B"/>
    <w:rsid w:val="00180E68"/>
    <w:rsid w:val="0018325A"/>
    <w:rsid w:val="00186199"/>
    <w:rsid w:val="001928F7"/>
    <w:rsid w:val="00194537"/>
    <w:rsid w:val="0019563C"/>
    <w:rsid w:val="00195F18"/>
    <w:rsid w:val="001A21A9"/>
    <w:rsid w:val="001A59D8"/>
    <w:rsid w:val="001A5FA6"/>
    <w:rsid w:val="001A6A3B"/>
    <w:rsid w:val="001A6F8A"/>
    <w:rsid w:val="001A7FF1"/>
    <w:rsid w:val="001B2F0C"/>
    <w:rsid w:val="001C37F6"/>
    <w:rsid w:val="001C6288"/>
    <w:rsid w:val="001D0F6A"/>
    <w:rsid w:val="001D21BC"/>
    <w:rsid w:val="001D2FA5"/>
    <w:rsid w:val="001D35E0"/>
    <w:rsid w:val="001D3711"/>
    <w:rsid w:val="001D3CDF"/>
    <w:rsid w:val="001D5045"/>
    <w:rsid w:val="001D5A44"/>
    <w:rsid w:val="001D724B"/>
    <w:rsid w:val="001E11D3"/>
    <w:rsid w:val="001E2A6A"/>
    <w:rsid w:val="001E3DC2"/>
    <w:rsid w:val="001E56FF"/>
    <w:rsid w:val="001E5C6B"/>
    <w:rsid w:val="001F03E1"/>
    <w:rsid w:val="001F3CC6"/>
    <w:rsid w:val="001F4530"/>
    <w:rsid w:val="001F5265"/>
    <w:rsid w:val="002010DE"/>
    <w:rsid w:val="00202885"/>
    <w:rsid w:val="00202968"/>
    <w:rsid w:val="00202C32"/>
    <w:rsid w:val="00203AEF"/>
    <w:rsid w:val="00211A26"/>
    <w:rsid w:val="002125F7"/>
    <w:rsid w:val="002141B6"/>
    <w:rsid w:val="00214463"/>
    <w:rsid w:val="00214756"/>
    <w:rsid w:val="00215CF2"/>
    <w:rsid w:val="00217171"/>
    <w:rsid w:val="00220542"/>
    <w:rsid w:val="00221174"/>
    <w:rsid w:val="00225421"/>
    <w:rsid w:val="00225ADC"/>
    <w:rsid w:val="00227748"/>
    <w:rsid w:val="00230A66"/>
    <w:rsid w:val="00230EC2"/>
    <w:rsid w:val="002359EB"/>
    <w:rsid w:val="002363AB"/>
    <w:rsid w:val="00236807"/>
    <w:rsid w:val="00237F06"/>
    <w:rsid w:val="0024260D"/>
    <w:rsid w:val="00245012"/>
    <w:rsid w:val="0024504E"/>
    <w:rsid w:val="0024651F"/>
    <w:rsid w:val="00250062"/>
    <w:rsid w:val="00250BE3"/>
    <w:rsid w:val="0025158D"/>
    <w:rsid w:val="0025281A"/>
    <w:rsid w:val="00253D3C"/>
    <w:rsid w:val="00255292"/>
    <w:rsid w:val="00260200"/>
    <w:rsid w:val="00263563"/>
    <w:rsid w:val="002648D8"/>
    <w:rsid w:val="00267B74"/>
    <w:rsid w:val="00270548"/>
    <w:rsid w:val="00273F86"/>
    <w:rsid w:val="002774F0"/>
    <w:rsid w:val="00283272"/>
    <w:rsid w:val="0028459B"/>
    <w:rsid w:val="00284C5F"/>
    <w:rsid w:val="002873F0"/>
    <w:rsid w:val="00287AC3"/>
    <w:rsid w:val="00295C5D"/>
    <w:rsid w:val="002964F9"/>
    <w:rsid w:val="002A1F14"/>
    <w:rsid w:val="002A2678"/>
    <w:rsid w:val="002A2E01"/>
    <w:rsid w:val="002A398F"/>
    <w:rsid w:val="002A3B4A"/>
    <w:rsid w:val="002A5C6B"/>
    <w:rsid w:val="002A5D31"/>
    <w:rsid w:val="002A714F"/>
    <w:rsid w:val="002B1851"/>
    <w:rsid w:val="002B27FF"/>
    <w:rsid w:val="002B6793"/>
    <w:rsid w:val="002B7C16"/>
    <w:rsid w:val="002C1726"/>
    <w:rsid w:val="002C21A6"/>
    <w:rsid w:val="002C2610"/>
    <w:rsid w:val="002C26D5"/>
    <w:rsid w:val="002C5777"/>
    <w:rsid w:val="002D32E3"/>
    <w:rsid w:val="002E0FEB"/>
    <w:rsid w:val="002E300D"/>
    <w:rsid w:val="002F0F79"/>
    <w:rsid w:val="002F1CC8"/>
    <w:rsid w:val="002F280E"/>
    <w:rsid w:val="002F3709"/>
    <w:rsid w:val="002F3A6C"/>
    <w:rsid w:val="002F4296"/>
    <w:rsid w:val="00300951"/>
    <w:rsid w:val="003023C9"/>
    <w:rsid w:val="00302CA8"/>
    <w:rsid w:val="00302DE9"/>
    <w:rsid w:val="00305084"/>
    <w:rsid w:val="00310086"/>
    <w:rsid w:val="00312FE8"/>
    <w:rsid w:val="0031358C"/>
    <w:rsid w:val="00313AE2"/>
    <w:rsid w:val="0031630D"/>
    <w:rsid w:val="003204E9"/>
    <w:rsid w:val="00321E8C"/>
    <w:rsid w:val="00322A86"/>
    <w:rsid w:val="00323AE8"/>
    <w:rsid w:val="00324548"/>
    <w:rsid w:val="003251F4"/>
    <w:rsid w:val="003303E3"/>
    <w:rsid w:val="00331FA4"/>
    <w:rsid w:val="003329EA"/>
    <w:rsid w:val="003347EF"/>
    <w:rsid w:val="00337293"/>
    <w:rsid w:val="003407A5"/>
    <w:rsid w:val="00341188"/>
    <w:rsid w:val="0034147B"/>
    <w:rsid w:val="00343F87"/>
    <w:rsid w:val="00345AA8"/>
    <w:rsid w:val="00350238"/>
    <w:rsid w:val="0035109C"/>
    <w:rsid w:val="00351F0A"/>
    <w:rsid w:val="0035432B"/>
    <w:rsid w:val="00357172"/>
    <w:rsid w:val="003613A8"/>
    <w:rsid w:val="00361E7E"/>
    <w:rsid w:val="0036360E"/>
    <w:rsid w:val="00364504"/>
    <w:rsid w:val="003666D2"/>
    <w:rsid w:val="00370AA4"/>
    <w:rsid w:val="00371FF4"/>
    <w:rsid w:val="00376C39"/>
    <w:rsid w:val="00377520"/>
    <w:rsid w:val="00380D36"/>
    <w:rsid w:val="003822D3"/>
    <w:rsid w:val="003834E0"/>
    <w:rsid w:val="00386630"/>
    <w:rsid w:val="00390B25"/>
    <w:rsid w:val="00397156"/>
    <w:rsid w:val="00397960"/>
    <w:rsid w:val="003A0A94"/>
    <w:rsid w:val="003A3BC4"/>
    <w:rsid w:val="003A458A"/>
    <w:rsid w:val="003B2DA8"/>
    <w:rsid w:val="003B2F13"/>
    <w:rsid w:val="003B405E"/>
    <w:rsid w:val="003B57D3"/>
    <w:rsid w:val="003C1A49"/>
    <w:rsid w:val="003C1F58"/>
    <w:rsid w:val="003C6C58"/>
    <w:rsid w:val="003C792F"/>
    <w:rsid w:val="003D124B"/>
    <w:rsid w:val="003D18F3"/>
    <w:rsid w:val="003D78B5"/>
    <w:rsid w:val="003D7922"/>
    <w:rsid w:val="003E244F"/>
    <w:rsid w:val="003E62A6"/>
    <w:rsid w:val="003E695F"/>
    <w:rsid w:val="003E6C9B"/>
    <w:rsid w:val="003E709C"/>
    <w:rsid w:val="003E712B"/>
    <w:rsid w:val="003E7B89"/>
    <w:rsid w:val="003F4241"/>
    <w:rsid w:val="003F7040"/>
    <w:rsid w:val="003F7C45"/>
    <w:rsid w:val="0040132C"/>
    <w:rsid w:val="00405085"/>
    <w:rsid w:val="004066FC"/>
    <w:rsid w:val="00407C10"/>
    <w:rsid w:val="004113B4"/>
    <w:rsid w:val="00413689"/>
    <w:rsid w:val="004143D6"/>
    <w:rsid w:val="00414827"/>
    <w:rsid w:val="00416C10"/>
    <w:rsid w:val="00420355"/>
    <w:rsid w:val="00424EF3"/>
    <w:rsid w:val="004268BB"/>
    <w:rsid w:val="00431047"/>
    <w:rsid w:val="004318F0"/>
    <w:rsid w:val="00431B86"/>
    <w:rsid w:val="00435368"/>
    <w:rsid w:val="004408EC"/>
    <w:rsid w:val="004419E2"/>
    <w:rsid w:val="00441E6A"/>
    <w:rsid w:val="0044398D"/>
    <w:rsid w:val="00443C8F"/>
    <w:rsid w:val="00452481"/>
    <w:rsid w:val="0045275A"/>
    <w:rsid w:val="00455317"/>
    <w:rsid w:val="004575E9"/>
    <w:rsid w:val="004576F2"/>
    <w:rsid w:val="00457804"/>
    <w:rsid w:val="004646BF"/>
    <w:rsid w:val="00464744"/>
    <w:rsid w:val="004665E3"/>
    <w:rsid w:val="00467683"/>
    <w:rsid w:val="004731F1"/>
    <w:rsid w:val="00473486"/>
    <w:rsid w:val="00480BC8"/>
    <w:rsid w:val="00481265"/>
    <w:rsid w:val="004814BF"/>
    <w:rsid w:val="004845B9"/>
    <w:rsid w:val="0048587E"/>
    <w:rsid w:val="00486CB7"/>
    <w:rsid w:val="00487C2B"/>
    <w:rsid w:val="0049297D"/>
    <w:rsid w:val="004929F2"/>
    <w:rsid w:val="00495A03"/>
    <w:rsid w:val="004967FC"/>
    <w:rsid w:val="00497079"/>
    <w:rsid w:val="004A00BD"/>
    <w:rsid w:val="004A1BBA"/>
    <w:rsid w:val="004A3E3C"/>
    <w:rsid w:val="004B0E6D"/>
    <w:rsid w:val="004B16E8"/>
    <w:rsid w:val="004B2015"/>
    <w:rsid w:val="004B2DB9"/>
    <w:rsid w:val="004B5E54"/>
    <w:rsid w:val="004B6250"/>
    <w:rsid w:val="004B76B1"/>
    <w:rsid w:val="004C0057"/>
    <w:rsid w:val="004C03A7"/>
    <w:rsid w:val="004C0541"/>
    <w:rsid w:val="004C2C46"/>
    <w:rsid w:val="004C5189"/>
    <w:rsid w:val="004C7235"/>
    <w:rsid w:val="004C7955"/>
    <w:rsid w:val="004D047F"/>
    <w:rsid w:val="004D1A45"/>
    <w:rsid w:val="004D3D96"/>
    <w:rsid w:val="004D417D"/>
    <w:rsid w:val="004D650F"/>
    <w:rsid w:val="004E2133"/>
    <w:rsid w:val="004E5AB9"/>
    <w:rsid w:val="004E60FB"/>
    <w:rsid w:val="004F4EA9"/>
    <w:rsid w:val="004F759F"/>
    <w:rsid w:val="004F779C"/>
    <w:rsid w:val="004F7846"/>
    <w:rsid w:val="004F7A0E"/>
    <w:rsid w:val="005000D4"/>
    <w:rsid w:val="00500F1D"/>
    <w:rsid w:val="00504285"/>
    <w:rsid w:val="00504432"/>
    <w:rsid w:val="00505EE0"/>
    <w:rsid w:val="0050638D"/>
    <w:rsid w:val="00510CAF"/>
    <w:rsid w:val="00511B6A"/>
    <w:rsid w:val="005128C5"/>
    <w:rsid w:val="00514754"/>
    <w:rsid w:val="0051478B"/>
    <w:rsid w:val="0051566A"/>
    <w:rsid w:val="00515D7B"/>
    <w:rsid w:val="005166E9"/>
    <w:rsid w:val="0052009E"/>
    <w:rsid w:val="00521065"/>
    <w:rsid w:val="00525E59"/>
    <w:rsid w:val="005318CC"/>
    <w:rsid w:val="00531D1B"/>
    <w:rsid w:val="005349B1"/>
    <w:rsid w:val="005374BC"/>
    <w:rsid w:val="00543188"/>
    <w:rsid w:val="00543367"/>
    <w:rsid w:val="00543BFA"/>
    <w:rsid w:val="00547D9C"/>
    <w:rsid w:val="00547DA1"/>
    <w:rsid w:val="00551CED"/>
    <w:rsid w:val="00554EAB"/>
    <w:rsid w:val="0055513C"/>
    <w:rsid w:val="00560ABC"/>
    <w:rsid w:val="00560C94"/>
    <w:rsid w:val="0056291C"/>
    <w:rsid w:val="00565A63"/>
    <w:rsid w:val="00566588"/>
    <w:rsid w:val="00570B1A"/>
    <w:rsid w:val="00572736"/>
    <w:rsid w:val="0057275D"/>
    <w:rsid w:val="00577214"/>
    <w:rsid w:val="005800A9"/>
    <w:rsid w:val="00580488"/>
    <w:rsid w:val="0058074D"/>
    <w:rsid w:val="00580FD1"/>
    <w:rsid w:val="00582FAD"/>
    <w:rsid w:val="00583489"/>
    <w:rsid w:val="00583A98"/>
    <w:rsid w:val="005858C4"/>
    <w:rsid w:val="00590FE4"/>
    <w:rsid w:val="00591D9C"/>
    <w:rsid w:val="00597057"/>
    <w:rsid w:val="00597D8B"/>
    <w:rsid w:val="005A1C30"/>
    <w:rsid w:val="005A1C43"/>
    <w:rsid w:val="005A2DCB"/>
    <w:rsid w:val="005A3295"/>
    <w:rsid w:val="005A46FF"/>
    <w:rsid w:val="005B011E"/>
    <w:rsid w:val="005B1C7D"/>
    <w:rsid w:val="005B1DEC"/>
    <w:rsid w:val="005B2E84"/>
    <w:rsid w:val="005B7B0E"/>
    <w:rsid w:val="005C0A04"/>
    <w:rsid w:val="005C5409"/>
    <w:rsid w:val="005C69AC"/>
    <w:rsid w:val="005C722E"/>
    <w:rsid w:val="005D01A4"/>
    <w:rsid w:val="005D14DE"/>
    <w:rsid w:val="005D3F12"/>
    <w:rsid w:val="005D44E4"/>
    <w:rsid w:val="005D45B3"/>
    <w:rsid w:val="005D4CEB"/>
    <w:rsid w:val="005E41A3"/>
    <w:rsid w:val="005E491F"/>
    <w:rsid w:val="005E58CE"/>
    <w:rsid w:val="005E59E9"/>
    <w:rsid w:val="005F04E6"/>
    <w:rsid w:val="005F43B9"/>
    <w:rsid w:val="005F68CB"/>
    <w:rsid w:val="005F6A4A"/>
    <w:rsid w:val="00602154"/>
    <w:rsid w:val="006033E3"/>
    <w:rsid w:val="006054E4"/>
    <w:rsid w:val="0061321C"/>
    <w:rsid w:val="00620DB0"/>
    <w:rsid w:val="0062386E"/>
    <w:rsid w:val="00623D9A"/>
    <w:rsid w:val="00623F01"/>
    <w:rsid w:val="006242FB"/>
    <w:rsid w:val="00624E5B"/>
    <w:rsid w:val="00626E2D"/>
    <w:rsid w:val="00627D94"/>
    <w:rsid w:val="00630B42"/>
    <w:rsid w:val="00636CDE"/>
    <w:rsid w:val="00637BA7"/>
    <w:rsid w:val="00642072"/>
    <w:rsid w:val="00643330"/>
    <w:rsid w:val="006440ED"/>
    <w:rsid w:val="00645293"/>
    <w:rsid w:val="00651B78"/>
    <w:rsid w:val="00652263"/>
    <w:rsid w:val="00652881"/>
    <w:rsid w:val="00652DDE"/>
    <w:rsid w:val="0065417D"/>
    <w:rsid w:val="00661974"/>
    <w:rsid w:val="00664551"/>
    <w:rsid w:val="00664E44"/>
    <w:rsid w:val="00665677"/>
    <w:rsid w:val="0066704D"/>
    <w:rsid w:val="006676A0"/>
    <w:rsid w:val="00670857"/>
    <w:rsid w:val="00671124"/>
    <w:rsid w:val="006727B0"/>
    <w:rsid w:val="0067307E"/>
    <w:rsid w:val="00677AC6"/>
    <w:rsid w:val="00687AD5"/>
    <w:rsid w:val="00691AFA"/>
    <w:rsid w:val="0069335C"/>
    <w:rsid w:val="00695251"/>
    <w:rsid w:val="00695ADE"/>
    <w:rsid w:val="00695C0D"/>
    <w:rsid w:val="00696356"/>
    <w:rsid w:val="006A72C6"/>
    <w:rsid w:val="006B02DA"/>
    <w:rsid w:val="006B2065"/>
    <w:rsid w:val="006B3940"/>
    <w:rsid w:val="006B6C3A"/>
    <w:rsid w:val="006C168D"/>
    <w:rsid w:val="006C1D5C"/>
    <w:rsid w:val="006C3C80"/>
    <w:rsid w:val="006C3F43"/>
    <w:rsid w:val="006C642C"/>
    <w:rsid w:val="006C6FC6"/>
    <w:rsid w:val="006D6A40"/>
    <w:rsid w:val="006D7693"/>
    <w:rsid w:val="006E231B"/>
    <w:rsid w:val="006E346E"/>
    <w:rsid w:val="006E34B7"/>
    <w:rsid w:val="006F0F87"/>
    <w:rsid w:val="006F2F3E"/>
    <w:rsid w:val="006F4CD8"/>
    <w:rsid w:val="006F53D9"/>
    <w:rsid w:val="006F6A94"/>
    <w:rsid w:val="007004DC"/>
    <w:rsid w:val="00701575"/>
    <w:rsid w:val="00703E8A"/>
    <w:rsid w:val="00711522"/>
    <w:rsid w:val="007124FE"/>
    <w:rsid w:val="00713186"/>
    <w:rsid w:val="00713757"/>
    <w:rsid w:val="0071379B"/>
    <w:rsid w:val="0071497D"/>
    <w:rsid w:val="00717772"/>
    <w:rsid w:val="00721AF1"/>
    <w:rsid w:val="0072280F"/>
    <w:rsid w:val="00722B5E"/>
    <w:rsid w:val="00723845"/>
    <w:rsid w:val="0072708F"/>
    <w:rsid w:val="00732D1D"/>
    <w:rsid w:val="00736034"/>
    <w:rsid w:val="0073681C"/>
    <w:rsid w:val="00741EBE"/>
    <w:rsid w:val="00746130"/>
    <w:rsid w:val="00746A40"/>
    <w:rsid w:val="007479DC"/>
    <w:rsid w:val="00750358"/>
    <w:rsid w:val="00755CDF"/>
    <w:rsid w:val="00757A4C"/>
    <w:rsid w:val="00760FFC"/>
    <w:rsid w:val="0076110A"/>
    <w:rsid w:val="00764A94"/>
    <w:rsid w:val="00764DC3"/>
    <w:rsid w:val="007651E5"/>
    <w:rsid w:val="007670DC"/>
    <w:rsid w:val="00767239"/>
    <w:rsid w:val="00770601"/>
    <w:rsid w:val="0077111A"/>
    <w:rsid w:val="00772272"/>
    <w:rsid w:val="007756ED"/>
    <w:rsid w:val="00777CC9"/>
    <w:rsid w:val="007869A0"/>
    <w:rsid w:val="00786A23"/>
    <w:rsid w:val="007870FC"/>
    <w:rsid w:val="00787CD0"/>
    <w:rsid w:val="00791053"/>
    <w:rsid w:val="00791A3A"/>
    <w:rsid w:val="00794196"/>
    <w:rsid w:val="00797637"/>
    <w:rsid w:val="00797D95"/>
    <w:rsid w:val="007A2E54"/>
    <w:rsid w:val="007A3680"/>
    <w:rsid w:val="007A59B8"/>
    <w:rsid w:val="007B2862"/>
    <w:rsid w:val="007B662A"/>
    <w:rsid w:val="007C1A93"/>
    <w:rsid w:val="007C751E"/>
    <w:rsid w:val="007D021A"/>
    <w:rsid w:val="007D1E3A"/>
    <w:rsid w:val="007D28C9"/>
    <w:rsid w:val="007D3CC8"/>
    <w:rsid w:val="007D62F9"/>
    <w:rsid w:val="007D63A4"/>
    <w:rsid w:val="007E1AA2"/>
    <w:rsid w:val="007E4C1F"/>
    <w:rsid w:val="007F0746"/>
    <w:rsid w:val="007F0759"/>
    <w:rsid w:val="007F25C0"/>
    <w:rsid w:val="007F456A"/>
    <w:rsid w:val="007F4C9B"/>
    <w:rsid w:val="007F5F52"/>
    <w:rsid w:val="007F77C6"/>
    <w:rsid w:val="008003A1"/>
    <w:rsid w:val="008006B7"/>
    <w:rsid w:val="00800FDB"/>
    <w:rsid w:val="00802081"/>
    <w:rsid w:val="008020B5"/>
    <w:rsid w:val="008021E8"/>
    <w:rsid w:val="008034CF"/>
    <w:rsid w:val="008063D8"/>
    <w:rsid w:val="00806461"/>
    <w:rsid w:val="00806722"/>
    <w:rsid w:val="0081096D"/>
    <w:rsid w:val="00810EAD"/>
    <w:rsid w:val="00811833"/>
    <w:rsid w:val="008174D4"/>
    <w:rsid w:val="00820FE6"/>
    <w:rsid w:val="00821A66"/>
    <w:rsid w:val="00822476"/>
    <w:rsid w:val="00822882"/>
    <w:rsid w:val="00824CB2"/>
    <w:rsid w:val="00825F68"/>
    <w:rsid w:val="00835408"/>
    <w:rsid w:val="008359DA"/>
    <w:rsid w:val="00837CEF"/>
    <w:rsid w:val="00840035"/>
    <w:rsid w:val="00840220"/>
    <w:rsid w:val="008428A9"/>
    <w:rsid w:val="00844112"/>
    <w:rsid w:val="008456C9"/>
    <w:rsid w:val="0084611D"/>
    <w:rsid w:val="00847BEF"/>
    <w:rsid w:val="00847D9E"/>
    <w:rsid w:val="00850C62"/>
    <w:rsid w:val="00850FBD"/>
    <w:rsid w:val="00863011"/>
    <w:rsid w:val="00865075"/>
    <w:rsid w:val="0086748F"/>
    <w:rsid w:val="00872CE4"/>
    <w:rsid w:val="00874F4B"/>
    <w:rsid w:val="0087539B"/>
    <w:rsid w:val="00877B62"/>
    <w:rsid w:val="00880199"/>
    <w:rsid w:val="00881015"/>
    <w:rsid w:val="008810B0"/>
    <w:rsid w:val="008813D6"/>
    <w:rsid w:val="008819B6"/>
    <w:rsid w:val="00881A82"/>
    <w:rsid w:val="00881AAC"/>
    <w:rsid w:val="008836B7"/>
    <w:rsid w:val="008841D3"/>
    <w:rsid w:val="0088709F"/>
    <w:rsid w:val="00887DE6"/>
    <w:rsid w:val="00894C2A"/>
    <w:rsid w:val="00897708"/>
    <w:rsid w:val="00897D88"/>
    <w:rsid w:val="008A2F16"/>
    <w:rsid w:val="008A4C93"/>
    <w:rsid w:val="008B1823"/>
    <w:rsid w:val="008B203C"/>
    <w:rsid w:val="008B6E16"/>
    <w:rsid w:val="008B7110"/>
    <w:rsid w:val="008C2029"/>
    <w:rsid w:val="008C61D6"/>
    <w:rsid w:val="008C64F1"/>
    <w:rsid w:val="008D1531"/>
    <w:rsid w:val="008D1BB0"/>
    <w:rsid w:val="008D20FF"/>
    <w:rsid w:val="008D3DE6"/>
    <w:rsid w:val="008D4223"/>
    <w:rsid w:val="008D44CC"/>
    <w:rsid w:val="008D46E3"/>
    <w:rsid w:val="008D6709"/>
    <w:rsid w:val="008D7EF7"/>
    <w:rsid w:val="008E083A"/>
    <w:rsid w:val="008E1338"/>
    <w:rsid w:val="008E2450"/>
    <w:rsid w:val="008E7896"/>
    <w:rsid w:val="008F2477"/>
    <w:rsid w:val="008F2F2B"/>
    <w:rsid w:val="008F385C"/>
    <w:rsid w:val="008F3EF6"/>
    <w:rsid w:val="008F4AAB"/>
    <w:rsid w:val="008F60C5"/>
    <w:rsid w:val="009010F0"/>
    <w:rsid w:val="00901162"/>
    <w:rsid w:val="0090223A"/>
    <w:rsid w:val="009028E2"/>
    <w:rsid w:val="00914EAB"/>
    <w:rsid w:val="00916597"/>
    <w:rsid w:val="00922D49"/>
    <w:rsid w:val="009259CF"/>
    <w:rsid w:val="00925E37"/>
    <w:rsid w:val="00925EDD"/>
    <w:rsid w:val="00927D0E"/>
    <w:rsid w:val="009309DA"/>
    <w:rsid w:val="00936688"/>
    <w:rsid w:val="00937CFA"/>
    <w:rsid w:val="009406B3"/>
    <w:rsid w:val="00945CF5"/>
    <w:rsid w:val="009500A1"/>
    <w:rsid w:val="0095037E"/>
    <w:rsid w:val="00952AAD"/>
    <w:rsid w:val="00954567"/>
    <w:rsid w:val="009547A9"/>
    <w:rsid w:val="009548FE"/>
    <w:rsid w:val="00956F0B"/>
    <w:rsid w:val="00957466"/>
    <w:rsid w:val="00957C7C"/>
    <w:rsid w:val="0096260B"/>
    <w:rsid w:val="009664D5"/>
    <w:rsid w:val="00970C69"/>
    <w:rsid w:val="00971DF7"/>
    <w:rsid w:val="00971F1C"/>
    <w:rsid w:val="0097211D"/>
    <w:rsid w:val="00972E10"/>
    <w:rsid w:val="009746CA"/>
    <w:rsid w:val="00974975"/>
    <w:rsid w:val="00974EA8"/>
    <w:rsid w:val="00981963"/>
    <w:rsid w:val="00983C82"/>
    <w:rsid w:val="00984520"/>
    <w:rsid w:val="0098545C"/>
    <w:rsid w:val="00992BA2"/>
    <w:rsid w:val="00992F83"/>
    <w:rsid w:val="0099508A"/>
    <w:rsid w:val="009974EB"/>
    <w:rsid w:val="009A037F"/>
    <w:rsid w:val="009A1126"/>
    <w:rsid w:val="009A63AC"/>
    <w:rsid w:val="009B1584"/>
    <w:rsid w:val="009B1B32"/>
    <w:rsid w:val="009B21CA"/>
    <w:rsid w:val="009B2648"/>
    <w:rsid w:val="009C03E5"/>
    <w:rsid w:val="009C0C11"/>
    <w:rsid w:val="009C3730"/>
    <w:rsid w:val="009C37BD"/>
    <w:rsid w:val="009C3AAC"/>
    <w:rsid w:val="009C4D19"/>
    <w:rsid w:val="009C5FDB"/>
    <w:rsid w:val="009C6493"/>
    <w:rsid w:val="009C693E"/>
    <w:rsid w:val="009C70CB"/>
    <w:rsid w:val="009D1EA4"/>
    <w:rsid w:val="009D27AA"/>
    <w:rsid w:val="009D38BA"/>
    <w:rsid w:val="009D4991"/>
    <w:rsid w:val="009D5BB5"/>
    <w:rsid w:val="009D696D"/>
    <w:rsid w:val="009D6ED2"/>
    <w:rsid w:val="009E0F1A"/>
    <w:rsid w:val="009E140D"/>
    <w:rsid w:val="009E348F"/>
    <w:rsid w:val="009E4465"/>
    <w:rsid w:val="009E6401"/>
    <w:rsid w:val="009E6C54"/>
    <w:rsid w:val="009F2261"/>
    <w:rsid w:val="009F2A25"/>
    <w:rsid w:val="009F4CB1"/>
    <w:rsid w:val="009F5235"/>
    <w:rsid w:val="009F531A"/>
    <w:rsid w:val="009F6550"/>
    <w:rsid w:val="009F786E"/>
    <w:rsid w:val="00A00902"/>
    <w:rsid w:val="00A039FF"/>
    <w:rsid w:val="00A05ACE"/>
    <w:rsid w:val="00A078CB"/>
    <w:rsid w:val="00A14AE3"/>
    <w:rsid w:val="00A16675"/>
    <w:rsid w:val="00A22CD6"/>
    <w:rsid w:val="00A234EC"/>
    <w:rsid w:val="00A2417A"/>
    <w:rsid w:val="00A26668"/>
    <w:rsid w:val="00A27804"/>
    <w:rsid w:val="00A348F0"/>
    <w:rsid w:val="00A36822"/>
    <w:rsid w:val="00A36AB5"/>
    <w:rsid w:val="00A411D1"/>
    <w:rsid w:val="00A428A4"/>
    <w:rsid w:val="00A42CE1"/>
    <w:rsid w:val="00A43389"/>
    <w:rsid w:val="00A43E71"/>
    <w:rsid w:val="00A45753"/>
    <w:rsid w:val="00A47B15"/>
    <w:rsid w:val="00A52F84"/>
    <w:rsid w:val="00A56B05"/>
    <w:rsid w:val="00A57678"/>
    <w:rsid w:val="00A60E2F"/>
    <w:rsid w:val="00A618F3"/>
    <w:rsid w:val="00A63284"/>
    <w:rsid w:val="00A64CB8"/>
    <w:rsid w:val="00A67018"/>
    <w:rsid w:val="00A672F3"/>
    <w:rsid w:val="00A673DC"/>
    <w:rsid w:val="00A7076E"/>
    <w:rsid w:val="00A709BE"/>
    <w:rsid w:val="00A7162E"/>
    <w:rsid w:val="00A7195A"/>
    <w:rsid w:val="00A72D71"/>
    <w:rsid w:val="00A75705"/>
    <w:rsid w:val="00A77C69"/>
    <w:rsid w:val="00A829DE"/>
    <w:rsid w:val="00A83953"/>
    <w:rsid w:val="00A85AF5"/>
    <w:rsid w:val="00A903B6"/>
    <w:rsid w:val="00A90F4F"/>
    <w:rsid w:val="00A92C40"/>
    <w:rsid w:val="00A947AA"/>
    <w:rsid w:val="00A968D2"/>
    <w:rsid w:val="00AA0AC5"/>
    <w:rsid w:val="00AA19FE"/>
    <w:rsid w:val="00AA1B53"/>
    <w:rsid w:val="00AA3556"/>
    <w:rsid w:val="00AA35FD"/>
    <w:rsid w:val="00AA3DB7"/>
    <w:rsid w:val="00AB3012"/>
    <w:rsid w:val="00AB321C"/>
    <w:rsid w:val="00AB5B99"/>
    <w:rsid w:val="00AB688F"/>
    <w:rsid w:val="00AB75EA"/>
    <w:rsid w:val="00AB7AA2"/>
    <w:rsid w:val="00AC44D9"/>
    <w:rsid w:val="00AC4BC1"/>
    <w:rsid w:val="00AD04BD"/>
    <w:rsid w:val="00AD25F6"/>
    <w:rsid w:val="00AD67CB"/>
    <w:rsid w:val="00AD7214"/>
    <w:rsid w:val="00AE1066"/>
    <w:rsid w:val="00AE4518"/>
    <w:rsid w:val="00AE5D7F"/>
    <w:rsid w:val="00AE79F0"/>
    <w:rsid w:val="00AF2DAE"/>
    <w:rsid w:val="00AF5585"/>
    <w:rsid w:val="00AF6EC1"/>
    <w:rsid w:val="00B00331"/>
    <w:rsid w:val="00B01A80"/>
    <w:rsid w:val="00B06D4D"/>
    <w:rsid w:val="00B07C27"/>
    <w:rsid w:val="00B10017"/>
    <w:rsid w:val="00B10DE1"/>
    <w:rsid w:val="00B10FF8"/>
    <w:rsid w:val="00B203C4"/>
    <w:rsid w:val="00B22E81"/>
    <w:rsid w:val="00B23996"/>
    <w:rsid w:val="00B23CB2"/>
    <w:rsid w:val="00B2561A"/>
    <w:rsid w:val="00B25A64"/>
    <w:rsid w:val="00B32AB3"/>
    <w:rsid w:val="00B34E7C"/>
    <w:rsid w:val="00B368EA"/>
    <w:rsid w:val="00B37EEF"/>
    <w:rsid w:val="00B51D20"/>
    <w:rsid w:val="00B5298E"/>
    <w:rsid w:val="00B54370"/>
    <w:rsid w:val="00B54B5F"/>
    <w:rsid w:val="00B55185"/>
    <w:rsid w:val="00B55BB5"/>
    <w:rsid w:val="00B60D38"/>
    <w:rsid w:val="00B61923"/>
    <w:rsid w:val="00B621D6"/>
    <w:rsid w:val="00B63EF5"/>
    <w:rsid w:val="00B65D6F"/>
    <w:rsid w:val="00B677E1"/>
    <w:rsid w:val="00B67C23"/>
    <w:rsid w:val="00B7090F"/>
    <w:rsid w:val="00B70DC7"/>
    <w:rsid w:val="00B73042"/>
    <w:rsid w:val="00B75283"/>
    <w:rsid w:val="00B75735"/>
    <w:rsid w:val="00B77142"/>
    <w:rsid w:val="00B80A2C"/>
    <w:rsid w:val="00B81F60"/>
    <w:rsid w:val="00B841AC"/>
    <w:rsid w:val="00B865B0"/>
    <w:rsid w:val="00B90780"/>
    <w:rsid w:val="00B91F9C"/>
    <w:rsid w:val="00B9240D"/>
    <w:rsid w:val="00BA22A8"/>
    <w:rsid w:val="00BA285B"/>
    <w:rsid w:val="00BA39A9"/>
    <w:rsid w:val="00BA3E48"/>
    <w:rsid w:val="00BA4BD3"/>
    <w:rsid w:val="00BA7473"/>
    <w:rsid w:val="00BB0187"/>
    <w:rsid w:val="00BB1EB3"/>
    <w:rsid w:val="00BB22CA"/>
    <w:rsid w:val="00BB2678"/>
    <w:rsid w:val="00BC013A"/>
    <w:rsid w:val="00BC2343"/>
    <w:rsid w:val="00BC23F8"/>
    <w:rsid w:val="00BC56FA"/>
    <w:rsid w:val="00BD30C8"/>
    <w:rsid w:val="00BD3EB4"/>
    <w:rsid w:val="00BD5C65"/>
    <w:rsid w:val="00BD7DB4"/>
    <w:rsid w:val="00BE1A80"/>
    <w:rsid w:val="00BE2F07"/>
    <w:rsid w:val="00BE5751"/>
    <w:rsid w:val="00BE5CAB"/>
    <w:rsid w:val="00BE6018"/>
    <w:rsid w:val="00BF0F8F"/>
    <w:rsid w:val="00BF1F57"/>
    <w:rsid w:val="00BF4086"/>
    <w:rsid w:val="00BF426C"/>
    <w:rsid w:val="00BF47C9"/>
    <w:rsid w:val="00BF58D0"/>
    <w:rsid w:val="00BF7D6A"/>
    <w:rsid w:val="00C013E1"/>
    <w:rsid w:val="00C01611"/>
    <w:rsid w:val="00C02D59"/>
    <w:rsid w:val="00C030B6"/>
    <w:rsid w:val="00C03284"/>
    <w:rsid w:val="00C050D7"/>
    <w:rsid w:val="00C05B5F"/>
    <w:rsid w:val="00C104CC"/>
    <w:rsid w:val="00C152FE"/>
    <w:rsid w:val="00C16739"/>
    <w:rsid w:val="00C21C43"/>
    <w:rsid w:val="00C22C7D"/>
    <w:rsid w:val="00C22CCE"/>
    <w:rsid w:val="00C231D6"/>
    <w:rsid w:val="00C23BA2"/>
    <w:rsid w:val="00C32AF2"/>
    <w:rsid w:val="00C33204"/>
    <w:rsid w:val="00C338EB"/>
    <w:rsid w:val="00C3465D"/>
    <w:rsid w:val="00C379E9"/>
    <w:rsid w:val="00C439FB"/>
    <w:rsid w:val="00C43F23"/>
    <w:rsid w:val="00C47790"/>
    <w:rsid w:val="00C50011"/>
    <w:rsid w:val="00C5274B"/>
    <w:rsid w:val="00C55A77"/>
    <w:rsid w:val="00C645E6"/>
    <w:rsid w:val="00C64D82"/>
    <w:rsid w:val="00C64FBC"/>
    <w:rsid w:val="00C65A83"/>
    <w:rsid w:val="00C721F2"/>
    <w:rsid w:val="00C72C6F"/>
    <w:rsid w:val="00C75BB1"/>
    <w:rsid w:val="00C76CF1"/>
    <w:rsid w:val="00C80F23"/>
    <w:rsid w:val="00C81151"/>
    <w:rsid w:val="00C82CC6"/>
    <w:rsid w:val="00C8434E"/>
    <w:rsid w:val="00C850A3"/>
    <w:rsid w:val="00C85C32"/>
    <w:rsid w:val="00C87568"/>
    <w:rsid w:val="00C905A7"/>
    <w:rsid w:val="00C909E1"/>
    <w:rsid w:val="00C90DB6"/>
    <w:rsid w:val="00C9394F"/>
    <w:rsid w:val="00C93B1A"/>
    <w:rsid w:val="00C96A14"/>
    <w:rsid w:val="00C96F5F"/>
    <w:rsid w:val="00CA21B5"/>
    <w:rsid w:val="00CA5927"/>
    <w:rsid w:val="00CA79EC"/>
    <w:rsid w:val="00CB26A5"/>
    <w:rsid w:val="00CB39C2"/>
    <w:rsid w:val="00CB4664"/>
    <w:rsid w:val="00CB4C8C"/>
    <w:rsid w:val="00CB6782"/>
    <w:rsid w:val="00CC080A"/>
    <w:rsid w:val="00CC52E1"/>
    <w:rsid w:val="00CD319D"/>
    <w:rsid w:val="00CD6BC3"/>
    <w:rsid w:val="00CD72D0"/>
    <w:rsid w:val="00CE3519"/>
    <w:rsid w:val="00CE5277"/>
    <w:rsid w:val="00CE6358"/>
    <w:rsid w:val="00CF2D54"/>
    <w:rsid w:val="00CF3CDE"/>
    <w:rsid w:val="00CF6570"/>
    <w:rsid w:val="00D03538"/>
    <w:rsid w:val="00D049B8"/>
    <w:rsid w:val="00D0516C"/>
    <w:rsid w:val="00D05EE7"/>
    <w:rsid w:val="00D068D0"/>
    <w:rsid w:val="00D078D1"/>
    <w:rsid w:val="00D129A8"/>
    <w:rsid w:val="00D12FB9"/>
    <w:rsid w:val="00D148B5"/>
    <w:rsid w:val="00D200BD"/>
    <w:rsid w:val="00D22399"/>
    <w:rsid w:val="00D26460"/>
    <w:rsid w:val="00D33751"/>
    <w:rsid w:val="00D33924"/>
    <w:rsid w:val="00D36F6E"/>
    <w:rsid w:val="00D37343"/>
    <w:rsid w:val="00D4205E"/>
    <w:rsid w:val="00D42507"/>
    <w:rsid w:val="00D5574C"/>
    <w:rsid w:val="00D61982"/>
    <w:rsid w:val="00D6267A"/>
    <w:rsid w:val="00D67D12"/>
    <w:rsid w:val="00D7585A"/>
    <w:rsid w:val="00D80618"/>
    <w:rsid w:val="00D81A17"/>
    <w:rsid w:val="00D82494"/>
    <w:rsid w:val="00D84A4B"/>
    <w:rsid w:val="00D92168"/>
    <w:rsid w:val="00D940A9"/>
    <w:rsid w:val="00D940B5"/>
    <w:rsid w:val="00D95CB0"/>
    <w:rsid w:val="00D977C0"/>
    <w:rsid w:val="00DA00A3"/>
    <w:rsid w:val="00DA13F3"/>
    <w:rsid w:val="00DA2DE3"/>
    <w:rsid w:val="00DA7146"/>
    <w:rsid w:val="00DA716A"/>
    <w:rsid w:val="00DB1F4F"/>
    <w:rsid w:val="00DB37EE"/>
    <w:rsid w:val="00DB4450"/>
    <w:rsid w:val="00DB7895"/>
    <w:rsid w:val="00DB7B69"/>
    <w:rsid w:val="00DC02EC"/>
    <w:rsid w:val="00DC234A"/>
    <w:rsid w:val="00DC41E4"/>
    <w:rsid w:val="00DC5116"/>
    <w:rsid w:val="00DC77DD"/>
    <w:rsid w:val="00DC7C77"/>
    <w:rsid w:val="00DD2417"/>
    <w:rsid w:val="00DD7EA2"/>
    <w:rsid w:val="00DE00F2"/>
    <w:rsid w:val="00DE117F"/>
    <w:rsid w:val="00DE401C"/>
    <w:rsid w:val="00DE4CDE"/>
    <w:rsid w:val="00DF1ED6"/>
    <w:rsid w:val="00DF63FA"/>
    <w:rsid w:val="00E00A1C"/>
    <w:rsid w:val="00E012CC"/>
    <w:rsid w:val="00E02B71"/>
    <w:rsid w:val="00E02DEB"/>
    <w:rsid w:val="00E042A1"/>
    <w:rsid w:val="00E04CE6"/>
    <w:rsid w:val="00E104FA"/>
    <w:rsid w:val="00E1082A"/>
    <w:rsid w:val="00E11166"/>
    <w:rsid w:val="00E13182"/>
    <w:rsid w:val="00E15383"/>
    <w:rsid w:val="00E1738C"/>
    <w:rsid w:val="00E22D28"/>
    <w:rsid w:val="00E230E3"/>
    <w:rsid w:val="00E23611"/>
    <w:rsid w:val="00E25852"/>
    <w:rsid w:val="00E30EDF"/>
    <w:rsid w:val="00E31FBA"/>
    <w:rsid w:val="00E36AAE"/>
    <w:rsid w:val="00E41773"/>
    <w:rsid w:val="00E427F2"/>
    <w:rsid w:val="00E513F6"/>
    <w:rsid w:val="00E52F3B"/>
    <w:rsid w:val="00E53D94"/>
    <w:rsid w:val="00E53DEA"/>
    <w:rsid w:val="00E55A61"/>
    <w:rsid w:val="00E57F92"/>
    <w:rsid w:val="00E616DB"/>
    <w:rsid w:val="00E627A4"/>
    <w:rsid w:val="00E630ED"/>
    <w:rsid w:val="00E70C95"/>
    <w:rsid w:val="00E74EC5"/>
    <w:rsid w:val="00E75FDC"/>
    <w:rsid w:val="00E76B86"/>
    <w:rsid w:val="00E833B9"/>
    <w:rsid w:val="00E8342F"/>
    <w:rsid w:val="00E8375E"/>
    <w:rsid w:val="00E847A7"/>
    <w:rsid w:val="00E85F25"/>
    <w:rsid w:val="00E86E79"/>
    <w:rsid w:val="00E906B4"/>
    <w:rsid w:val="00E9095B"/>
    <w:rsid w:val="00E926B8"/>
    <w:rsid w:val="00E92E98"/>
    <w:rsid w:val="00E9399B"/>
    <w:rsid w:val="00E94008"/>
    <w:rsid w:val="00E94762"/>
    <w:rsid w:val="00E96B52"/>
    <w:rsid w:val="00EA2244"/>
    <w:rsid w:val="00EA4C93"/>
    <w:rsid w:val="00EA6FA7"/>
    <w:rsid w:val="00EB067F"/>
    <w:rsid w:val="00EB0BF5"/>
    <w:rsid w:val="00EB1F02"/>
    <w:rsid w:val="00EB5BC5"/>
    <w:rsid w:val="00EC086C"/>
    <w:rsid w:val="00EC42D0"/>
    <w:rsid w:val="00EC5CE0"/>
    <w:rsid w:val="00EC638F"/>
    <w:rsid w:val="00ED48AC"/>
    <w:rsid w:val="00EE224C"/>
    <w:rsid w:val="00EE4874"/>
    <w:rsid w:val="00EE4A8C"/>
    <w:rsid w:val="00EE674E"/>
    <w:rsid w:val="00EE79A6"/>
    <w:rsid w:val="00EF0C36"/>
    <w:rsid w:val="00EF2689"/>
    <w:rsid w:val="00EF454D"/>
    <w:rsid w:val="00EF6111"/>
    <w:rsid w:val="00F005A0"/>
    <w:rsid w:val="00F0225B"/>
    <w:rsid w:val="00F06616"/>
    <w:rsid w:val="00F11352"/>
    <w:rsid w:val="00F1498D"/>
    <w:rsid w:val="00F14DDF"/>
    <w:rsid w:val="00F152AD"/>
    <w:rsid w:val="00F20DFE"/>
    <w:rsid w:val="00F2285F"/>
    <w:rsid w:val="00F23155"/>
    <w:rsid w:val="00F24236"/>
    <w:rsid w:val="00F24E0E"/>
    <w:rsid w:val="00F26693"/>
    <w:rsid w:val="00F36130"/>
    <w:rsid w:val="00F40444"/>
    <w:rsid w:val="00F423BD"/>
    <w:rsid w:val="00F432FF"/>
    <w:rsid w:val="00F4715C"/>
    <w:rsid w:val="00F54869"/>
    <w:rsid w:val="00F556B2"/>
    <w:rsid w:val="00F5754B"/>
    <w:rsid w:val="00F576DE"/>
    <w:rsid w:val="00F57CE6"/>
    <w:rsid w:val="00F63BF7"/>
    <w:rsid w:val="00F65617"/>
    <w:rsid w:val="00F710BE"/>
    <w:rsid w:val="00F723CF"/>
    <w:rsid w:val="00F736D2"/>
    <w:rsid w:val="00F7564C"/>
    <w:rsid w:val="00F76220"/>
    <w:rsid w:val="00F769BE"/>
    <w:rsid w:val="00F82E6B"/>
    <w:rsid w:val="00F8677B"/>
    <w:rsid w:val="00F97B71"/>
    <w:rsid w:val="00FA1EC5"/>
    <w:rsid w:val="00FA2DDA"/>
    <w:rsid w:val="00FA34CA"/>
    <w:rsid w:val="00FA4A55"/>
    <w:rsid w:val="00FA4D4F"/>
    <w:rsid w:val="00FA54E8"/>
    <w:rsid w:val="00FA57F6"/>
    <w:rsid w:val="00FA7193"/>
    <w:rsid w:val="00FB2D17"/>
    <w:rsid w:val="00FB2F69"/>
    <w:rsid w:val="00FB368B"/>
    <w:rsid w:val="00FB45FF"/>
    <w:rsid w:val="00FB5D97"/>
    <w:rsid w:val="00FB6DE6"/>
    <w:rsid w:val="00FC023D"/>
    <w:rsid w:val="00FC1CA5"/>
    <w:rsid w:val="00FC2979"/>
    <w:rsid w:val="00FD1C3C"/>
    <w:rsid w:val="00FD38A8"/>
    <w:rsid w:val="00FD5477"/>
    <w:rsid w:val="00FD6AC8"/>
    <w:rsid w:val="00FE3EA1"/>
    <w:rsid w:val="00FE4818"/>
    <w:rsid w:val="00FE5D80"/>
    <w:rsid w:val="00FF1577"/>
    <w:rsid w:val="00FF6ADB"/>
    <w:rsid w:val="2FA972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EBE9B9F7-3084-4E23-82E2-17FB52A4F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footnote text" w:semiHidden="1" w:qFormat="1"/>
    <w:lsdException w:name="annotation text" w:semiHidden="1" w:qFormat="1"/>
    <w:lsdException w:name="header" w:uiPriority="99"/>
    <w:lsdException w:name="caption" w:semiHidden="1" w:unhideWhenUsed="1" w:qFormat="1"/>
    <w:lsdException w:name="footnote reference" w:semiHidden="1" w:qFormat="1"/>
    <w:lsdException w:name="annotation reference" w:semiHidden="1"/>
    <w:lsdException w:name="Title" w:qFormat="1"/>
    <w:lsdException w:name="Default Paragraph Font" w:semiHidden="1" w:uiPriority="1" w:unhideWhenUsed="1"/>
    <w:lsdException w:name="Subtitle" w:qFormat="1"/>
    <w:lsdException w:name="Date" w:uiPriority="99"/>
    <w:lsdException w:name="Body Text Indent 3" w:qFormat="1"/>
    <w:lsdException w:name="Hyperlink" w:qFormat="1"/>
    <w:lsdException w:name="Strong" w:uiPriority="22" w:qFormat="1"/>
    <w:lsdException w:name="Emphasis" w:qFormat="1"/>
    <w:lsdException w:name="Document Map" w:semiHidden="1"/>
    <w:lsdException w:name="Plain Text" w:uiPriority="99"/>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9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a4">
    <w:name w:val="annotation subject"/>
    <w:basedOn w:val="a5"/>
    <w:next w:val="a5"/>
    <w:semiHidden/>
    <w:rPr>
      <w:b/>
      <w:bCs/>
    </w:rPr>
  </w:style>
  <w:style w:type="paragraph" w:styleId="a5">
    <w:name w:val="annotation text"/>
    <w:basedOn w:val="a"/>
    <w:semiHidden/>
    <w:qFormat/>
    <w:pPr>
      <w:jc w:val="left"/>
    </w:pPr>
  </w:style>
  <w:style w:type="paragraph" w:styleId="a6">
    <w:name w:val="Document Map"/>
    <w:basedOn w:val="a"/>
    <w:semiHidden/>
    <w:pPr>
      <w:shd w:val="clear" w:color="auto" w:fill="000080"/>
    </w:pPr>
  </w:style>
  <w:style w:type="paragraph" w:styleId="a7">
    <w:name w:val="Body Text"/>
    <w:basedOn w:val="a"/>
    <w:pPr>
      <w:spacing w:after="120"/>
    </w:pPr>
  </w:style>
  <w:style w:type="paragraph" w:styleId="a8">
    <w:name w:val="Body Text Indent"/>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rPr>
      <w:rFonts w:ascii="宋体" w:hAnsi="Courier New"/>
      <w:szCs w:val="21"/>
    </w:rPr>
  </w:style>
  <w:style w:type="paragraph" w:styleId="ab">
    <w:name w:val="Date"/>
    <w:basedOn w:val="a"/>
    <w:next w:val="a"/>
    <w:link w:val="ac"/>
    <w:uiPriority w:val="99"/>
    <w:rPr>
      <w:sz w:val="24"/>
      <w:szCs w:val="20"/>
    </w:rPr>
  </w:style>
  <w:style w:type="paragraph" w:styleId="20">
    <w:name w:val="Body Text Indent 2"/>
    <w:basedOn w:val="a"/>
    <w:pPr>
      <w:spacing w:line="560" w:lineRule="exact"/>
      <w:ind w:firstLineChars="200" w:firstLine="480"/>
    </w:pPr>
    <w:rPr>
      <w:rFonts w:ascii="宋体" w:hAnsi="宋体"/>
      <w:color w:val="FF0000"/>
      <w:sz w:val="24"/>
    </w:rPr>
  </w:style>
  <w:style w:type="paragraph" w:styleId="ad">
    <w:name w:val="Balloon Text"/>
    <w:basedOn w:val="a"/>
    <w:semiHidden/>
    <w:rPr>
      <w:sz w:val="18"/>
      <w:szCs w:val="18"/>
    </w:rPr>
  </w:style>
  <w:style w:type="paragraph" w:styleId="ae">
    <w:name w:val="footer"/>
    <w:basedOn w:val="a"/>
    <w:pPr>
      <w:tabs>
        <w:tab w:val="center" w:pos="4153"/>
        <w:tab w:val="right" w:pos="8306"/>
      </w:tabs>
      <w:snapToGrid w:val="0"/>
      <w:jc w:val="left"/>
    </w:pPr>
    <w:rPr>
      <w:sz w:val="18"/>
      <w:szCs w:val="18"/>
    </w:rPr>
  </w:style>
  <w:style w:type="paragraph" w:styleId="af">
    <w:name w:val="header"/>
    <w:basedOn w:val="a"/>
    <w:link w:val="af0"/>
    <w:uiPriority w:val="99"/>
    <w:pPr>
      <w:pBdr>
        <w:bottom w:val="single" w:sz="6" w:space="1" w:color="auto"/>
      </w:pBdr>
      <w:tabs>
        <w:tab w:val="center" w:pos="4153"/>
        <w:tab w:val="right" w:pos="8306"/>
      </w:tabs>
      <w:snapToGrid w:val="0"/>
      <w:jc w:val="center"/>
    </w:pPr>
    <w:rPr>
      <w:sz w:val="18"/>
      <w:szCs w:val="18"/>
    </w:rPr>
  </w:style>
  <w:style w:type="paragraph" w:styleId="af1">
    <w:name w:val="List"/>
    <w:basedOn w:val="a7"/>
    <w:pPr>
      <w:spacing w:after="220" w:line="220" w:lineRule="atLeast"/>
      <w:ind w:left="1440" w:hanging="360"/>
    </w:pPr>
    <w:rPr>
      <w:szCs w:val="20"/>
    </w:rPr>
  </w:style>
  <w:style w:type="paragraph" w:styleId="af2">
    <w:name w:val="footnote text"/>
    <w:basedOn w:val="a"/>
    <w:semiHidden/>
    <w:qFormat/>
    <w:pPr>
      <w:snapToGrid w:val="0"/>
      <w:jc w:val="left"/>
    </w:pPr>
    <w:rPr>
      <w:sz w:val="18"/>
      <w:szCs w:val="18"/>
    </w:rPr>
  </w:style>
  <w:style w:type="paragraph" w:styleId="3">
    <w:name w:val="Body Text Indent 3"/>
    <w:basedOn w:val="a"/>
    <w:qFormat/>
    <w:pPr>
      <w:spacing w:line="560" w:lineRule="exact"/>
      <w:ind w:firstLineChars="200" w:firstLine="420"/>
    </w:pPr>
    <w:rPr>
      <w:rFonts w:ascii="Arial" w:hAnsi="Arial" w:cs="Arial"/>
      <w:color w:val="FF0000"/>
    </w:rPr>
  </w:style>
  <w:style w:type="paragraph" w:styleId="af3">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pPr>
      <w:jc w:val="right"/>
    </w:pPr>
    <w:rPr>
      <w:color w:val="008000"/>
    </w:rPr>
  </w:style>
  <w:style w:type="character" w:styleId="af4">
    <w:name w:val="Strong"/>
    <w:basedOn w:val="a1"/>
    <w:uiPriority w:val="22"/>
    <w:qFormat/>
    <w:rPr>
      <w:b/>
      <w:bCs/>
    </w:rPr>
  </w:style>
  <w:style w:type="character" w:styleId="af5">
    <w:name w:val="page number"/>
    <w:basedOn w:val="a1"/>
  </w:style>
  <w:style w:type="character" w:styleId="af6">
    <w:name w:val="FollowedHyperlink"/>
    <w:basedOn w:val="a1"/>
    <w:rPr>
      <w:color w:val="800080"/>
      <w:u w:val="single"/>
    </w:rPr>
  </w:style>
  <w:style w:type="character" w:styleId="af7">
    <w:name w:val="Hyperlink"/>
    <w:basedOn w:val="a1"/>
    <w:qFormat/>
    <w:rPr>
      <w:color w:val="0000FF"/>
      <w:u w:val="single"/>
    </w:rPr>
  </w:style>
  <w:style w:type="character" w:styleId="af8">
    <w:name w:val="annotation reference"/>
    <w:basedOn w:val="a1"/>
    <w:semiHidden/>
    <w:rPr>
      <w:sz w:val="21"/>
      <w:szCs w:val="21"/>
    </w:rPr>
  </w:style>
  <w:style w:type="character" w:styleId="af9">
    <w:name w:val="footnote reference"/>
    <w:basedOn w:val="a1"/>
    <w:semiHidden/>
    <w:qFormat/>
    <w:rPr>
      <w:vertAlign w:val="superscript"/>
    </w:rPr>
  </w:style>
  <w:style w:type="table" w:styleId="afa">
    <w:name w:val="Table Grid"/>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basedOn w:val="a1"/>
    <w:rPr>
      <w:color w:val="000000"/>
      <w:sz w:val="18"/>
      <w:szCs w:val="18"/>
    </w:rPr>
  </w:style>
  <w:style w:type="paragraph" w:customStyle="1" w:styleId="font5">
    <w:name w:val="font5"/>
    <w:basedOn w:val="a"/>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style>
  <w:style w:type="paragraph" w:customStyle="1" w:styleId="afb">
    <w:name w:val="正文 + (符号) 宋体"/>
    <w:basedOn w:val="a"/>
    <w:qFormat/>
    <w:pPr>
      <w:autoSpaceDE w:val="0"/>
      <w:autoSpaceDN w:val="0"/>
      <w:adjustRightInd w:val="0"/>
      <w:ind w:rightChars="671" w:right="1409" w:firstLineChars="512" w:firstLine="1229"/>
      <w:jc w:val="distribute"/>
    </w:pPr>
    <w:rPr>
      <w:sz w:val="24"/>
    </w:rPr>
  </w:style>
  <w:style w:type="paragraph" w:customStyle="1" w:styleId="Char1">
    <w:name w:val="Char1"/>
    <w:basedOn w:val="a"/>
    <w:qFormat/>
  </w:style>
  <w:style w:type="paragraph" w:customStyle="1" w:styleId="CharCharCharCharCharChar1CharCharChar">
    <w:name w:val="Char Char Char Char Char Char1 Char Char Char"/>
    <w:basedOn w:val="a"/>
    <w:qFormat/>
    <w:pPr>
      <w:autoSpaceDE w:val="0"/>
      <w:autoSpaceDN w:val="0"/>
      <w:adjustRightInd w:val="0"/>
      <w:jc w:val="left"/>
      <w:textAlignment w:val="baseline"/>
    </w:pPr>
    <w:rPr>
      <w:rFonts w:ascii="宋体"/>
      <w:kern w:val="0"/>
      <w:sz w:val="34"/>
      <w:szCs w:val="20"/>
    </w:rPr>
  </w:style>
  <w:style w:type="character" w:customStyle="1" w:styleId="aa">
    <w:name w:val="纯文本 字符"/>
    <w:link w:val="a9"/>
    <w:uiPriority w:val="99"/>
    <w:qFormat/>
    <w:rPr>
      <w:rFonts w:ascii="宋体" w:hAnsi="Courier New"/>
      <w:kern w:val="2"/>
      <w:sz w:val="21"/>
      <w:szCs w:val="21"/>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qFormat/>
    <w:rPr>
      <w:kern w:val="2"/>
      <w:sz w:val="18"/>
      <w:szCs w:val="18"/>
    </w:rPr>
  </w:style>
  <w:style w:type="character" w:customStyle="1" w:styleId="10">
    <w:name w:val="标题 1 字符"/>
    <w:basedOn w:val="a1"/>
    <w:link w:val="1"/>
    <w:qFormat/>
    <w:rPr>
      <w:b/>
      <w:bCs/>
      <w:kern w:val="44"/>
      <w:sz w:val="44"/>
      <w:szCs w:val="44"/>
    </w:rPr>
  </w:style>
  <w:style w:type="character" w:customStyle="1" w:styleId="ac">
    <w:name w:val="日期 字符"/>
    <w:basedOn w:val="a1"/>
    <w:link w:val="ab"/>
    <w:uiPriority w:val="99"/>
    <w:qFormat/>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419917">
      <w:bodyDiv w:val="1"/>
      <w:marLeft w:val="0"/>
      <w:marRight w:val="0"/>
      <w:marTop w:val="0"/>
      <w:marBottom w:val="0"/>
      <w:divBdr>
        <w:top w:val="none" w:sz="0" w:space="0" w:color="auto"/>
        <w:left w:val="none" w:sz="0" w:space="0" w:color="auto"/>
        <w:bottom w:val="none" w:sz="0" w:space="0" w:color="auto"/>
        <w:right w:val="none" w:sz="0" w:space="0" w:color="auto"/>
      </w:divBdr>
    </w:div>
    <w:div w:id="18903398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17</Pages>
  <Words>1455</Words>
  <Characters>8299</Characters>
  <Application>Microsoft Office Word</Application>
  <DocSecurity>0</DocSecurity>
  <Lines>69</Lines>
  <Paragraphs>19</Paragraphs>
  <ScaleCrop>false</ScaleCrop>
  <Company>TRT. Ltd. Co.</Company>
  <LinksUpToDate>false</LinksUpToDate>
  <CharactersWithSpaces>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Jesse.Zhang@FA</cp:lastModifiedBy>
  <cp:revision>159</cp:revision>
  <cp:lastPrinted>2007-07-19T00:46:00Z</cp:lastPrinted>
  <dcterms:created xsi:type="dcterms:W3CDTF">2012-11-21T04:46:00Z</dcterms:created>
  <dcterms:modified xsi:type="dcterms:W3CDTF">2022-04-21T02:55:00Z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