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2023</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8"/>
          <w:footerReference w:type="default" r:id="rId9"/>
          <w:pgSz w:w="11926" w:h="15840"/>
          <w:pgMar w:top="1418" w:right="1418" w:bottom="851" w:left="1418" w:header="851" w:footer="992" w:gutter="0"/>
          <w:cols w:space="720"/>
        </w:sectPr>
      </w:pPr>
      <w:r w:rsidRPr="00473486">
        <w:rPr>
          <w:rFonts w:eastAsiaTheme="minorEastAsia"/>
          <w:b/>
          <w:color w:val="000000" w:themeColor="text1"/>
          <w:sz w:val="24"/>
        </w:rPr>
        <w:t>报告送出日期：二〇二三年七月二十一日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84,727,323.00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79671A" w:rsidRDefault="004139D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139D4" w:rsidRPr="00473486" w:rsidTr="004139D4">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-2023</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4139D4" w:rsidRPr="00473486" w:rsidTr="00413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-191,744.00</w:t>
            </w:r>
          </w:p>
        </w:tc>
      </w:tr>
      <w:tr w:rsidR="004139D4" w:rsidRPr="00473486" w:rsidTr="00413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-5,256,723.67</w:t>
            </w:r>
          </w:p>
        </w:tc>
      </w:tr>
      <w:tr w:rsidR="004139D4" w:rsidRPr="00473486" w:rsidTr="00413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-0.0604</w:t>
            </w:r>
          </w:p>
        </w:tc>
      </w:tr>
      <w:tr w:rsidR="004139D4" w:rsidRPr="00473486" w:rsidTr="004139D4">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95,163,223.44</w:t>
            </w:r>
          </w:p>
        </w:tc>
      </w:tr>
      <w:tr w:rsidR="004139D4" w:rsidRPr="00473486" w:rsidTr="004139D4">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1.1232</w:t>
            </w:r>
          </w:p>
        </w:tc>
      </w:tr>
    </w:tbl>
    <w:p w:rsidR="0079671A" w:rsidRDefault="00413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79671A">
        <w:tc>
          <w:tcPr>
            <w:tcW w:w="1395" w:type="dxa"/>
            <w:vAlign w:val="center"/>
          </w:tcPr>
          <w:p w:rsidR="0079671A" w:rsidRDefault="004139D4">
            <w:pPr>
              <w:jc w:val="left"/>
            </w:pPr>
            <w:r>
              <w:rPr>
                <w:rFonts w:eastAsiaTheme="minorEastAsia"/>
                <w:color w:val="000000" w:themeColor="text1"/>
                <w:szCs w:val="21"/>
              </w:rPr>
              <w:t>过去三个月</w:t>
            </w:r>
          </w:p>
        </w:tc>
        <w:tc>
          <w:tcPr>
            <w:tcW w:w="1092" w:type="dxa"/>
            <w:vAlign w:val="center"/>
          </w:tcPr>
          <w:p w:rsidR="0079671A" w:rsidRDefault="004139D4">
            <w:pPr>
              <w:jc w:val="center"/>
            </w:pPr>
            <w:r>
              <w:rPr>
                <w:rFonts w:eastAsiaTheme="minorEastAsia"/>
                <w:color w:val="000000" w:themeColor="text1"/>
                <w:szCs w:val="21"/>
              </w:rPr>
              <w:t>-5.14%</w:t>
            </w:r>
          </w:p>
        </w:tc>
        <w:tc>
          <w:tcPr>
            <w:tcW w:w="1161" w:type="dxa"/>
            <w:vAlign w:val="center"/>
          </w:tcPr>
          <w:p w:rsidR="0079671A" w:rsidRDefault="004139D4">
            <w:pPr>
              <w:jc w:val="center"/>
            </w:pPr>
            <w:r>
              <w:rPr>
                <w:rFonts w:eastAsiaTheme="minorEastAsia"/>
                <w:color w:val="000000" w:themeColor="text1"/>
                <w:szCs w:val="21"/>
              </w:rPr>
              <w:t>0.77%</w:t>
            </w:r>
          </w:p>
        </w:tc>
        <w:tc>
          <w:tcPr>
            <w:tcW w:w="1181" w:type="dxa"/>
            <w:vAlign w:val="center"/>
          </w:tcPr>
          <w:p w:rsidR="0079671A" w:rsidRDefault="004139D4">
            <w:pPr>
              <w:jc w:val="center"/>
            </w:pPr>
            <w:r>
              <w:rPr>
                <w:rFonts w:eastAsiaTheme="minorEastAsia"/>
                <w:color w:val="000000" w:themeColor="text1"/>
                <w:szCs w:val="21"/>
              </w:rPr>
              <w:t>-6.34%</w:t>
            </w:r>
          </w:p>
        </w:tc>
        <w:tc>
          <w:tcPr>
            <w:tcW w:w="1188" w:type="dxa"/>
            <w:vAlign w:val="center"/>
          </w:tcPr>
          <w:p w:rsidR="0079671A" w:rsidRDefault="004139D4">
            <w:pPr>
              <w:jc w:val="center"/>
            </w:pPr>
            <w:r>
              <w:rPr>
                <w:rFonts w:eastAsiaTheme="minorEastAsia"/>
                <w:color w:val="000000" w:themeColor="text1"/>
                <w:szCs w:val="21"/>
              </w:rPr>
              <w:t>0.79%</w:t>
            </w:r>
          </w:p>
        </w:tc>
        <w:tc>
          <w:tcPr>
            <w:tcW w:w="1199" w:type="dxa"/>
            <w:vAlign w:val="center"/>
          </w:tcPr>
          <w:p w:rsidR="0079671A" w:rsidRDefault="004139D4">
            <w:pPr>
              <w:jc w:val="center"/>
            </w:pPr>
            <w:r>
              <w:rPr>
                <w:rFonts w:eastAsiaTheme="minorEastAsia"/>
                <w:color w:val="000000" w:themeColor="text1"/>
                <w:szCs w:val="21"/>
              </w:rPr>
              <w:t>1.20%</w:t>
            </w:r>
          </w:p>
        </w:tc>
        <w:tc>
          <w:tcPr>
            <w:tcW w:w="1204" w:type="dxa"/>
            <w:vAlign w:val="center"/>
          </w:tcPr>
          <w:p w:rsidR="0079671A" w:rsidRDefault="004139D4">
            <w:pPr>
              <w:jc w:val="center"/>
            </w:pPr>
            <w:r>
              <w:rPr>
                <w:rFonts w:eastAsiaTheme="minorEastAsia"/>
                <w:color w:val="000000" w:themeColor="text1"/>
                <w:szCs w:val="21"/>
              </w:rPr>
              <w:t>-0.02%</w:t>
            </w:r>
          </w:p>
        </w:tc>
      </w:tr>
      <w:tr w:rsidR="0079671A">
        <w:tc>
          <w:tcPr>
            <w:tcW w:w="1395" w:type="dxa"/>
            <w:vAlign w:val="center"/>
          </w:tcPr>
          <w:p w:rsidR="0079671A" w:rsidRDefault="004139D4">
            <w:pPr>
              <w:jc w:val="left"/>
            </w:pPr>
            <w:r>
              <w:rPr>
                <w:rFonts w:eastAsiaTheme="minorEastAsia"/>
                <w:color w:val="000000" w:themeColor="text1"/>
                <w:szCs w:val="21"/>
              </w:rPr>
              <w:t>过去六个月</w:t>
            </w:r>
          </w:p>
        </w:tc>
        <w:tc>
          <w:tcPr>
            <w:tcW w:w="1092" w:type="dxa"/>
            <w:vAlign w:val="center"/>
          </w:tcPr>
          <w:p w:rsidR="0079671A" w:rsidRDefault="004139D4">
            <w:pPr>
              <w:jc w:val="center"/>
            </w:pPr>
            <w:r>
              <w:rPr>
                <w:rFonts w:eastAsiaTheme="minorEastAsia"/>
                <w:color w:val="000000" w:themeColor="text1"/>
                <w:szCs w:val="21"/>
              </w:rPr>
              <w:t>-1.78%</w:t>
            </w:r>
          </w:p>
        </w:tc>
        <w:tc>
          <w:tcPr>
            <w:tcW w:w="1161" w:type="dxa"/>
            <w:vAlign w:val="center"/>
          </w:tcPr>
          <w:p w:rsidR="0079671A" w:rsidRDefault="004139D4">
            <w:pPr>
              <w:jc w:val="center"/>
            </w:pPr>
            <w:r>
              <w:rPr>
                <w:rFonts w:eastAsiaTheme="minorEastAsia"/>
                <w:color w:val="000000" w:themeColor="text1"/>
                <w:szCs w:val="21"/>
              </w:rPr>
              <w:t>0.77%</w:t>
            </w:r>
          </w:p>
        </w:tc>
        <w:tc>
          <w:tcPr>
            <w:tcW w:w="1181" w:type="dxa"/>
            <w:vAlign w:val="center"/>
          </w:tcPr>
          <w:p w:rsidR="0079671A" w:rsidRDefault="004139D4">
            <w:pPr>
              <w:jc w:val="center"/>
            </w:pPr>
            <w:r>
              <w:rPr>
                <w:rFonts w:eastAsiaTheme="minorEastAsia"/>
                <w:color w:val="000000" w:themeColor="text1"/>
                <w:szCs w:val="21"/>
              </w:rPr>
              <w:t>-2.71%</w:t>
            </w:r>
          </w:p>
        </w:tc>
        <w:tc>
          <w:tcPr>
            <w:tcW w:w="1188" w:type="dxa"/>
            <w:vAlign w:val="center"/>
          </w:tcPr>
          <w:p w:rsidR="0079671A" w:rsidRDefault="004139D4">
            <w:pPr>
              <w:jc w:val="center"/>
            </w:pPr>
            <w:r>
              <w:rPr>
                <w:rFonts w:eastAsiaTheme="minorEastAsia"/>
                <w:color w:val="000000" w:themeColor="text1"/>
                <w:szCs w:val="21"/>
              </w:rPr>
              <w:t>0.79%</w:t>
            </w:r>
          </w:p>
        </w:tc>
        <w:tc>
          <w:tcPr>
            <w:tcW w:w="1199" w:type="dxa"/>
            <w:vAlign w:val="center"/>
          </w:tcPr>
          <w:p w:rsidR="0079671A" w:rsidRDefault="004139D4">
            <w:pPr>
              <w:jc w:val="center"/>
            </w:pPr>
            <w:r>
              <w:rPr>
                <w:rFonts w:eastAsiaTheme="minorEastAsia"/>
                <w:color w:val="000000" w:themeColor="text1"/>
                <w:szCs w:val="21"/>
              </w:rPr>
              <w:t>0.93%</w:t>
            </w:r>
          </w:p>
        </w:tc>
        <w:tc>
          <w:tcPr>
            <w:tcW w:w="1204" w:type="dxa"/>
            <w:vAlign w:val="center"/>
          </w:tcPr>
          <w:p w:rsidR="0079671A" w:rsidRDefault="004139D4">
            <w:pPr>
              <w:jc w:val="center"/>
            </w:pPr>
            <w:r>
              <w:rPr>
                <w:rFonts w:eastAsiaTheme="minorEastAsia"/>
                <w:color w:val="000000" w:themeColor="text1"/>
                <w:szCs w:val="21"/>
              </w:rPr>
              <w:t>-0.02%</w:t>
            </w:r>
          </w:p>
        </w:tc>
      </w:tr>
      <w:tr w:rsidR="0079671A">
        <w:tc>
          <w:tcPr>
            <w:tcW w:w="1395" w:type="dxa"/>
            <w:vAlign w:val="center"/>
          </w:tcPr>
          <w:p w:rsidR="0079671A" w:rsidRDefault="004139D4">
            <w:pPr>
              <w:jc w:val="left"/>
            </w:pPr>
            <w:r>
              <w:rPr>
                <w:rFonts w:eastAsiaTheme="minorEastAsia"/>
                <w:color w:val="000000" w:themeColor="text1"/>
                <w:szCs w:val="21"/>
              </w:rPr>
              <w:t>过去一年</w:t>
            </w:r>
          </w:p>
        </w:tc>
        <w:tc>
          <w:tcPr>
            <w:tcW w:w="1092" w:type="dxa"/>
            <w:vAlign w:val="center"/>
          </w:tcPr>
          <w:p w:rsidR="0079671A" w:rsidRDefault="004139D4">
            <w:pPr>
              <w:jc w:val="center"/>
            </w:pPr>
            <w:r>
              <w:rPr>
                <w:rFonts w:eastAsiaTheme="minorEastAsia"/>
                <w:color w:val="000000" w:themeColor="text1"/>
                <w:szCs w:val="21"/>
              </w:rPr>
              <w:t>-13.46%</w:t>
            </w:r>
          </w:p>
        </w:tc>
        <w:tc>
          <w:tcPr>
            <w:tcW w:w="1161" w:type="dxa"/>
            <w:vAlign w:val="center"/>
          </w:tcPr>
          <w:p w:rsidR="0079671A" w:rsidRDefault="004139D4">
            <w:pPr>
              <w:jc w:val="center"/>
            </w:pPr>
            <w:r>
              <w:rPr>
                <w:rFonts w:eastAsiaTheme="minorEastAsia"/>
                <w:color w:val="000000" w:themeColor="text1"/>
                <w:szCs w:val="21"/>
              </w:rPr>
              <w:t>0.92%</w:t>
            </w:r>
          </w:p>
        </w:tc>
        <w:tc>
          <w:tcPr>
            <w:tcW w:w="1181" w:type="dxa"/>
            <w:vAlign w:val="center"/>
          </w:tcPr>
          <w:p w:rsidR="0079671A" w:rsidRDefault="004139D4">
            <w:pPr>
              <w:jc w:val="center"/>
            </w:pPr>
            <w:r>
              <w:rPr>
                <w:rFonts w:eastAsiaTheme="minorEastAsia"/>
                <w:color w:val="000000" w:themeColor="text1"/>
                <w:szCs w:val="21"/>
              </w:rPr>
              <w:t>-15.40%</w:t>
            </w:r>
          </w:p>
        </w:tc>
        <w:tc>
          <w:tcPr>
            <w:tcW w:w="1188" w:type="dxa"/>
            <w:vAlign w:val="center"/>
          </w:tcPr>
          <w:p w:rsidR="0079671A" w:rsidRDefault="004139D4">
            <w:pPr>
              <w:jc w:val="center"/>
            </w:pPr>
            <w:r>
              <w:rPr>
                <w:rFonts w:eastAsiaTheme="minorEastAsia"/>
                <w:color w:val="000000" w:themeColor="text1"/>
                <w:szCs w:val="21"/>
              </w:rPr>
              <w:t>0.95%</w:t>
            </w:r>
          </w:p>
        </w:tc>
        <w:tc>
          <w:tcPr>
            <w:tcW w:w="1199" w:type="dxa"/>
            <w:vAlign w:val="center"/>
          </w:tcPr>
          <w:p w:rsidR="0079671A" w:rsidRDefault="004139D4">
            <w:pPr>
              <w:jc w:val="center"/>
            </w:pPr>
            <w:r>
              <w:rPr>
                <w:rFonts w:eastAsiaTheme="minorEastAsia"/>
                <w:color w:val="000000" w:themeColor="text1"/>
                <w:szCs w:val="21"/>
              </w:rPr>
              <w:t>1.94%</w:t>
            </w:r>
          </w:p>
        </w:tc>
        <w:tc>
          <w:tcPr>
            <w:tcW w:w="1204" w:type="dxa"/>
            <w:vAlign w:val="center"/>
          </w:tcPr>
          <w:p w:rsidR="0079671A" w:rsidRDefault="004139D4">
            <w:pPr>
              <w:jc w:val="center"/>
            </w:pPr>
            <w:r>
              <w:rPr>
                <w:rFonts w:eastAsiaTheme="minorEastAsia"/>
                <w:color w:val="000000" w:themeColor="text1"/>
                <w:szCs w:val="21"/>
              </w:rPr>
              <w:t>-0.03%</w:t>
            </w:r>
          </w:p>
        </w:tc>
      </w:tr>
      <w:tr w:rsidR="0079671A">
        <w:tc>
          <w:tcPr>
            <w:tcW w:w="1395" w:type="dxa"/>
            <w:vAlign w:val="center"/>
          </w:tcPr>
          <w:p w:rsidR="0079671A" w:rsidRDefault="004139D4">
            <w:pPr>
              <w:jc w:val="left"/>
            </w:pPr>
            <w:r>
              <w:rPr>
                <w:rFonts w:eastAsiaTheme="minorEastAsia"/>
                <w:color w:val="000000" w:themeColor="text1"/>
                <w:szCs w:val="21"/>
              </w:rPr>
              <w:t>过去三年</w:t>
            </w:r>
          </w:p>
        </w:tc>
        <w:tc>
          <w:tcPr>
            <w:tcW w:w="1092" w:type="dxa"/>
            <w:vAlign w:val="center"/>
          </w:tcPr>
          <w:p w:rsidR="0079671A" w:rsidRDefault="004139D4">
            <w:pPr>
              <w:jc w:val="center"/>
            </w:pPr>
            <w:r>
              <w:rPr>
                <w:rFonts w:eastAsiaTheme="minorEastAsia"/>
                <w:color w:val="000000" w:themeColor="text1"/>
                <w:szCs w:val="21"/>
              </w:rPr>
              <w:t>5.31%</w:t>
            </w:r>
          </w:p>
        </w:tc>
        <w:tc>
          <w:tcPr>
            <w:tcW w:w="1161" w:type="dxa"/>
            <w:vAlign w:val="center"/>
          </w:tcPr>
          <w:p w:rsidR="0079671A" w:rsidRDefault="004139D4">
            <w:pPr>
              <w:jc w:val="center"/>
            </w:pPr>
            <w:r>
              <w:rPr>
                <w:rFonts w:eastAsiaTheme="minorEastAsia"/>
                <w:color w:val="000000" w:themeColor="text1"/>
                <w:szCs w:val="21"/>
              </w:rPr>
              <w:t>1.16%</w:t>
            </w:r>
          </w:p>
        </w:tc>
        <w:tc>
          <w:tcPr>
            <w:tcW w:w="1181" w:type="dxa"/>
            <w:vAlign w:val="center"/>
          </w:tcPr>
          <w:p w:rsidR="0079671A" w:rsidRDefault="004139D4">
            <w:pPr>
              <w:jc w:val="center"/>
            </w:pPr>
            <w:r>
              <w:rPr>
                <w:rFonts w:eastAsiaTheme="minorEastAsia"/>
                <w:color w:val="000000" w:themeColor="text1"/>
                <w:szCs w:val="21"/>
              </w:rPr>
              <w:t>-4.83%</w:t>
            </w:r>
          </w:p>
        </w:tc>
        <w:tc>
          <w:tcPr>
            <w:tcW w:w="1188" w:type="dxa"/>
            <w:vAlign w:val="center"/>
          </w:tcPr>
          <w:p w:rsidR="0079671A" w:rsidRDefault="004139D4">
            <w:pPr>
              <w:jc w:val="center"/>
            </w:pPr>
            <w:r>
              <w:rPr>
                <w:rFonts w:eastAsiaTheme="minorEastAsia"/>
                <w:color w:val="000000" w:themeColor="text1"/>
                <w:szCs w:val="21"/>
              </w:rPr>
              <w:t>1.19%</w:t>
            </w:r>
          </w:p>
        </w:tc>
        <w:tc>
          <w:tcPr>
            <w:tcW w:w="1199" w:type="dxa"/>
            <w:vAlign w:val="center"/>
          </w:tcPr>
          <w:p w:rsidR="0079671A" w:rsidRDefault="004139D4">
            <w:pPr>
              <w:jc w:val="center"/>
            </w:pPr>
            <w:r>
              <w:rPr>
                <w:rFonts w:eastAsiaTheme="minorEastAsia"/>
                <w:color w:val="000000" w:themeColor="text1"/>
                <w:szCs w:val="21"/>
              </w:rPr>
              <w:t>10.14%</w:t>
            </w:r>
          </w:p>
        </w:tc>
        <w:tc>
          <w:tcPr>
            <w:tcW w:w="1204" w:type="dxa"/>
            <w:vAlign w:val="center"/>
          </w:tcPr>
          <w:p w:rsidR="0079671A" w:rsidRDefault="004139D4">
            <w:pPr>
              <w:jc w:val="center"/>
            </w:pPr>
            <w:r>
              <w:rPr>
                <w:rFonts w:eastAsiaTheme="minorEastAsia"/>
                <w:color w:val="000000" w:themeColor="text1"/>
                <w:szCs w:val="21"/>
              </w:rPr>
              <w:t>-0.03%</w:t>
            </w:r>
          </w:p>
        </w:tc>
      </w:tr>
      <w:tr w:rsidR="0079671A">
        <w:tc>
          <w:tcPr>
            <w:tcW w:w="1395" w:type="dxa"/>
            <w:vAlign w:val="center"/>
          </w:tcPr>
          <w:p w:rsidR="0079671A" w:rsidRDefault="004139D4">
            <w:pPr>
              <w:jc w:val="left"/>
            </w:pPr>
            <w:r>
              <w:rPr>
                <w:rFonts w:eastAsiaTheme="minorEastAsia"/>
                <w:color w:val="000000" w:themeColor="text1"/>
                <w:szCs w:val="21"/>
              </w:rPr>
              <w:t>过去五年</w:t>
            </w:r>
          </w:p>
        </w:tc>
        <w:tc>
          <w:tcPr>
            <w:tcW w:w="1092" w:type="dxa"/>
            <w:vAlign w:val="center"/>
          </w:tcPr>
          <w:p w:rsidR="0079671A" w:rsidRDefault="004139D4">
            <w:pPr>
              <w:jc w:val="center"/>
            </w:pPr>
            <w:r>
              <w:rPr>
                <w:rFonts w:eastAsiaTheme="minorEastAsia"/>
                <w:color w:val="000000" w:themeColor="text1"/>
                <w:szCs w:val="21"/>
              </w:rPr>
              <w:t>-</w:t>
            </w:r>
          </w:p>
        </w:tc>
        <w:tc>
          <w:tcPr>
            <w:tcW w:w="1161" w:type="dxa"/>
            <w:vAlign w:val="center"/>
          </w:tcPr>
          <w:p w:rsidR="0079671A" w:rsidRDefault="004139D4">
            <w:pPr>
              <w:jc w:val="center"/>
            </w:pPr>
            <w:r>
              <w:rPr>
                <w:rFonts w:eastAsiaTheme="minorEastAsia"/>
                <w:color w:val="000000" w:themeColor="text1"/>
                <w:szCs w:val="21"/>
              </w:rPr>
              <w:t>-</w:t>
            </w:r>
          </w:p>
        </w:tc>
        <w:tc>
          <w:tcPr>
            <w:tcW w:w="1181" w:type="dxa"/>
            <w:vAlign w:val="center"/>
          </w:tcPr>
          <w:p w:rsidR="0079671A" w:rsidRDefault="004139D4">
            <w:pPr>
              <w:jc w:val="center"/>
            </w:pPr>
            <w:r>
              <w:rPr>
                <w:rFonts w:eastAsiaTheme="minorEastAsia"/>
                <w:color w:val="000000" w:themeColor="text1"/>
                <w:szCs w:val="21"/>
              </w:rPr>
              <w:t>-</w:t>
            </w:r>
          </w:p>
        </w:tc>
        <w:tc>
          <w:tcPr>
            <w:tcW w:w="1188" w:type="dxa"/>
            <w:vAlign w:val="center"/>
          </w:tcPr>
          <w:p w:rsidR="0079671A" w:rsidRDefault="004139D4">
            <w:pPr>
              <w:jc w:val="center"/>
            </w:pPr>
            <w:r>
              <w:rPr>
                <w:rFonts w:eastAsiaTheme="minorEastAsia"/>
                <w:color w:val="000000" w:themeColor="text1"/>
                <w:szCs w:val="21"/>
              </w:rPr>
              <w:t>-</w:t>
            </w:r>
          </w:p>
        </w:tc>
        <w:tc>
          <w:tcPr>
            <w:tcW w:w="1199" w:type="dxa"/>
            <w:vAlign w:val="center"/>
          </w:tcPr>
          <w:p w:rsidR="0079671A" w:rsidRDefault="004139D4">
            <w:pPr>
              <w:jc w:val="center"/>
            </w:pPr>
            <w:r>
              <w:rPr>
                <w:rFonts w:eastAsiaTheme="minorEastAsia"/>
                <w:color w:val="000000" w:themeColor="text1"/>
                <w:szCs w:val="21"/>
              </w:rPr>
              <w:t>-</w:t>
            </w:r>
          </w:p>
        </w:tc>
        <w:tc>
          <w:tcPr>
            <w:tcW w:w="1204" w:type="dxa"/>
            <w:vAlign w:val="center"/>
          </w:tcPr>
          <w:p w:rsidR="0079671A" w:rsidRDefault="004139D4">
            <w:pPr>
              <w:jc w:val="center"/>
            </w:pPr>
            <w:r>
              <w:rPr>
                <w:rFonts w:eastAsiaTheme="minorEastAsia"/>
                <w:color w:val="000000" w:themeColor="text1"/>
                <w:szCs w:val="21"/>
              </w:rPr>
              <w:t>-</w:t>
            </w:r>
          </w:p>
        </w:tc>
      </w:tr>
      <w:tr w:rsidR="0079671A">
        <w:tc>
          <w:tcPr>
            <w:tcW w:w="1395" w:type="dxa"/>
            <w:vAlign w:val="center"/>
          </w:tcPr>
          <w:p w:rsidR="0079671A" w:rsidRDefault="004139D4">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79671A" w:rsidRDefault="004139D4">
            <w:pPr>
              <w:jc w:val="center"/>
            </w:pPr>
            <w:r>
              <w:rPr>
                <w:rFonts w:eastAsiaTheme="minorEastAsia"/>
                <w:color w:val="000000" w:themeColor="text1"/>
                <w:szCs w:val="21"/>
              </w:rPr>
              <w:lastRenderedPageBreak/>
              <w:t>12.32%</w:t>
            </w:r>
          </w:p>
        </w:tc>
        <w:tc>
          <w:tcPr>
            <w:tcW w:w="1161" w:type="dxa"/>
            <w:vAlign w:val="center"/>
          </w:tcPr>
          <w:p w:rsidR="0079671A" w:rsidRDefault="004139D4">
            <w:pPr>
              <w:jc w:val="center"/>
            </w:pPr>
            <w:r>
              <w:rPr>
                <w:rFonts w:eastAsiaTheme="minorEastAsia"/>
                <w:color w:val="000000" w:themeColor="text1"/>
                <w:szCs w:val="21"/>
              </w:rPr>
              <w:t>1.14%</w:t>
            </w:r>
          </w:p>
        </w:tc>
        <w:tc>
          <w:tcPr>
            <w:tcW w:w="1181" w:type="dxa"/>
            <w:vAlign w:val="center"/>
          </w:tcPr>
          <w:p w:rsidR="0079671A" w:rsidRDefault="004139D4">
            <w:pPr>
              <w:jc w:val="center"/>
            </w:pPr>
            <w:r>
              <w:rPr>
                <w:rFonts w:eastAsiaTheme="minorEastAsia"/>
                <w:color w:val="000000" w:themeColor="text1"/>
                <w:szCs w:val="21"/>
              </w:rPr>
              <w:t>1.03%</w:t>
            </w:r>
          </w:p>
        </w:tc>
        <w:tc>
          <w:tcPr>
            <w:tcW w:w="1188" w:type="dxa"/>
            <w:vAlign w:val="center"/>
          </w:tcPr>
          <w:p w:rsidR="0079671A" w:rsidRDefault="004139D4">
            <w:pPr>
              <w:jc w:val="center"/>
            </w:pPr>
            <w:r>
              <w:rPr>
                <w:rFonts w:eastAsiaTheme="minorEastAsia"/>
                <w:color w:val="000000" w:themeColor="text1"/>
                <w:szCs w:val="21"/>
              </w:rPr>
              <w:t>1.18%</w:t>
            </w:r>
          </w:p>
        </w:tc>
        <w:tc>
          <w:tcPr>
            <w:tcW w:w="1199" w:type="dxa"/>
            <w:vAlign w:val="center"/>
          </w:tcPr>
          <w:p w:rsidR="0079671A" w:rsidRDefault="004139D4">
            <w:pPr>
              <w:jc w:val="center"/>
            </w:pPr>
            <w:r>
              <w:rPr>
                <w:rFonts w:eastAsiaTheme="minorEastAsia"/>
                <w:color w:val="000000" w:themeColor="text1"/>
                <w:szCs w:val="21"/>
              </w:rPr>
              <w:t>11.29%</w:t>
            </w:r>
          </w:p>
        </w:tc>
        <w:tc>
          <w:tcPr>
            <w:tcW w:w="1204" w:type="dxa"/>
            <w:vAlign w:val="center"/>
          </w:tcPr>
          <w:p w:rsidR="0079671A" w:rsidRDefault="004139D4">
            <w:pPr>
              <w:jc w:val="center"/>
            </w:pPr>
            <w:r>
              <w:rPr>
                <w:rFonts w:eastAsiaTheme="minorEastAsia"/>
                <w:color w:val="000000" w:themeColor="text1"/>
                <w:szCs w:val="21"/>
              </w:rPr>
              <w:t>-0.04%</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79671A" w:rsidRDefault="00413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79671A">
        <w:tc>
          <w:tcPr>
            <w:tcW w:w="851" w:type="dxa"/>
            <w:vAlign w:val="center"/>
          </w:tcPr>
          <w:p w:rsidR="0079671A" w:rsidRDefault="004139D4">
            <w:pPr>
              <w:jc w:val="center"/>
            </w:pPr>
            <w:r>
              <w:rPr>
                <w:rFonts w:eastAsiaTheme="minorEastAsia"/>
                <w:color w:val="000000" w:themeColor="text1"/>
                <w:szCs w:val="21"/>
              </w:rPr>
              <w:t>胡迪</w:t>
            </w:r>
          </w:p>
        </w:tc>
        <w:tc>
          <w:tcPr>
            <w:tcW w:w="850" w:type="dxa"/>
            <w:vAlign w:val="center"/>
          </w:tcPr>
          <w:p w:rsidR="0079671A" w:rsidRDefault="004139D4">
            <w:pPr>
              <w:jc w:val="center"/>
            </w:pPr>
            <w:r>
              <w:rPr>
                <w:rFonts w:eastAsiaTheme="minorEastAsia"/>
                <w:color w:val="000000" w:themeColor="text1"/>
                <w:szCs w:val="21"/>
              </w:rPr>
              <w:t>本基金基金经理、指</w:t>
            </w:r>
            <w:r>
              <w:rPr>
                <w:rFonts w:eastAsiaTheme="minorEastAsia"/>
                <w:color w:val="000000" w:themeColor="text1"/>
                <w:szCs w:val="21"/>
              </w:rPr>
              <w:lastRenderedPageBreak/>
              <w:t>数及量化投资部总监</w:t>
            </w:r>
          </w:p>
        </w:tc>
        <w:tc>
          <w:tcPr>
            <w:tcW w:w="1560" w:type="dxa"/>
            <w:vAlign w:val="center"/>
          </w:tcPr>
          <w:p w:rsidR="0079671A" w:rsidRDefault="004139D4">
            <w:pPr>
              <w:jc w:val="center"/>
            </w:pPr>
            <w:r>
              <w:rPr>
                <w:rFonts w:eastAsiaTheme="minorEastAsia"/>
                <w:color w:val="000000" w:themeColor="text1"/>
                <w:szCs w:val="21"/>
              </w:rPr>
              <w:lastRenderedPageBreak/>
              <w:t>2021-01-07</w:t>
            </w:r>
          </w:p>
        </w:tc>
        <w:tc>
          <w:tcPr>
            <w:tcW w:w="1559" w:type="dxa"/>
            <w:vAlign w:val="center"/>
          </w:tcPr>
          <w:p w:rsidR="0079671A" w:rsidRDefault="004139D4">
            <w:pPr>
              <w:jc w:val="center"/>
            </w:pPr>
            <w:r>
              <w:rPr>
                <w:rFonts w:eastAsiaTheme="minorEastAsia"/>
                <w:color w:val="000000" w:themeColor="text1"/>
                <w:szCs w:val="21"/>
              </w:rPr>
              <w:t>-</w:t>
            </w:r>
          </w:p>
        </w:tc>
        <w:tc>
          <w:tcPr>
            <w:tcW w:w="1417" w:type="dxa"/>
            <w:vAlign w:val="center"/>
          </w:tcPr>
          <w:p w:rsidR="0079671A" w:rsidRDefault="004139D4">
            <w:pPr>
              <w:jc w:val="center"/>
            </w:pPr>
            <w:r>
              <w:rPr>
                <w:rFonts w:eastAsiaTheme="minorEastAsia"/>
                <w:color w:val="000000" w:themeColor="text1"/>
                <w:szCs w:val="21"/>
              </w:rPr>
              <w:t>15</w:t>
            </w:r>
            <w:r>
              <w:rPr>
                <w:rFonts w:eastAsiaTheme="minorEastAsia"/>
                <w:color w:val="000000" w:themeColor="text1"/>
                <w:szCs w:val="21"/>
              </w:rPr>
              <w:t>年</w:t>
            </w:r>
          </w:p>
        </w:tc>
        <w:tc>
          <w:tcPr>
            <w:tcW w:w="2694" w:type="dxa"/>
            <w:vAlign w:val="center"/>
          </w:tcPr>
          <w:p w:rsidR="0079671A" w:rsidRDefault="004139D4">
            <w:r>
              <w:rPr>
                <w:rFonts w:eastAsiaTheme="minorEastAsia"/>
                <w:color w:val="000000" w:themeColor="text1"/>
                <w:szCs w:val="21"/>
              </w:rPr>
              <w:t>胡迪女士曾任纽约美林证券全球资产管理部高级经理，纽约标准普尔量化投资</w:t>
            </w:r>
            <w:r>
              <w:rPr>
                <w:rFonts w:eastAsiaTheme="minorEastAsia"/>
                <w:color w:val="000000" w:themeColor="text1"/>
                <w:szCs w:val="21"/>
              </w:rPr>
              <w:lastRenderedPageBreak/>
              <w:t>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79671A">
        <w:tc>
          <w:tcPr>
            <w:tcW w:w="851" w:type="dxa"/>
            <w:vAlign w:val="center"/>
          </w:tcPr>
          <w:p w:rsidR="0079671A" w:rsidRDefault="004139D4">
            <w:pPr>
              <w:jc w:val="center"/>
            </w:pPr>
            <w:r>
              <w:rPr>
                <w:rFonts w:eastAsiaTheme="minorEastAsia"/>
                <w:color w:val="000000" w:themeColor="text1"/>
                <w:szCs w:val="21"/>
              </w:rPr>
              <w:lastRenderedPageBreak/>
              <w:t>何智豪</w:t>
            </w:r>
          </w:p>
        </w:tc>
        <w:tc>
          <w:tcPr>
            <w:tcW w:w="850" w:type="dxa"/>
            <w:vAlign w:val="center"/>
          </w:tcPr>
          <w:p w:rsidR="0079671A" w:rsidRDefault="004139D4">
            <w:pPr>
              <w:jc w:val="center"/>
            </w:pPr>
            <w:r>
              <w:rPr>
                <w:rFonts w:eastAsiaTheme="minorEastAsia"/>
                <w:color w:val="000000" w:themeColor="text1"/>
                <w:szCs w:val="21"/>
              </w:rPr>
              <w:t>本基金基金经理</w:t>
            </w:r>
          </w:p>
        </w:tc>
        <w:tc>
          <w:tcPr>
            <w:tcW w:w="1560" w:type="dxa"/>
            <w:vAlign w:val="center"/>
          </w:tcPr>
          <w:p w:rsidR="0079671A" w:rsidRDefault="004139D4">
            <w:pPr>
              <w:jc w:val="center"/>
            </w:pPr>
            <w:r>
              <w:rPr>
                <w:rFonts w:eastAsiaTheme="minorEastAsia"/>
                <w:color w:val="000000" w:themeColor="text1"/>
                <w:szCs w:val="21"/>
              </w:rPr>
              <w:t>2021-02-19</w:t>
            </w:r>
          </w:p>
        </w:tc>
        <w:tc>
          <w:tcPr>
            <w:tcW w:w="1559" w:type="dxa"/>
            <w:vAlign w:val="center"/>
          </w:tcPr>
          <w:p w:rsidR="0079671A" w:rsidRDefault="004139D4">
            <w:pPr>
              <w:jc w:val="center"/>
            </w:pPr>
            <w:r>
              <w:rPr>
                <w:rFonts w:eastAsiaTheme="minorEastAsia"/>
                <w:color w:val="000000" w:themeColor="text1"/>
                <w:szCs w:val="21"/>
              </w:rPr>
              <w:t>-</w:t>
            </w:r>
          </w:p>
        </w:tc>
        <w:tc>
          <w:tcPr>
            <w:tcW w:w="1417" w:type="dxa"/>
            <w:vAlign w:val="center"/>
          </w:tcPr>
          <w:p w:rsidR="0079671A" w:rsidRDefault="004139D4">
            <w:pPr>
              <w:jc w:val="center"/>
            </w:pPr>
            <w:r>
              <w:rPr>
                <w:rFonts w:eastAsiaTheme="minorEastAsia"/>
                <w:color w:val="000000" w:themeColor="text1"/>
                <w:szCs w:val="21"/>
              </w:rPr>
              <w:t>9</w:t>
            </w:r>
            <w:r>
              <w:rPr>
                <w:rFonts w:eastAsiaTheme="minorEastAsia"/>
                <w:color w:val="000000" w:themeColor="text1"/>
                <w:szCs w:val="21"/>
              </w:rPr>
              <w:t>年</w:t>
            </w:r>
          </w:p>
        </w:tc>
        <w:tc>
          <w:tcPr>
            <w:tcW w:w="2694" w:type="dxa"/>
            <w:vAlign w:val="center"/>
          </w:tcPr>
          <w:p w:rsidR="0079671A" w:rsidRDefault="004139D4">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rsidR="0079671A" w:rsidRDefault="004139D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r>
        <w:rPr>
          <w:rFonts w:eastAsiaTheme="minorEastAsia"/>
          <w:color w:val="000000" w:themeColor="text1"/>
          <w:szCs w:val="21"/>
        </w:rPr>
        <w:lastRenderedPageBreak/>
        <w:t>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股指数震荡下行，当季下跌</w:t>
      </w:r>
      <w:r>
        <w:rPr>
          <w:rFonts w:eastAsiaTheme="minorEastAsia"/>
          <w:color w:val="000000" w:themeColor="text1"/>
          <w:szCs w:val="21"/>
        </w:rPr>
        <w:t>6.34%</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5.15%</w:t>
      </w:r>
      <w:r>
        <w:rPr>
          <w:rFonts w:eastAsiaTheme="minorEastAsia"/>
          <w:color w:val="000000" w:themeColor="text1"/>
          <w:szCs w:val="21"/>
        </w:rPr>
        <w:t>。整体来看，二季度经济回暖动力减弱，市场结构性行情演绎，二季度经济预期的转弱为主题化投资提供土壤，相对充分的流动性进入到主题性板块中。二季度内，申万一级行业中，通信、传媒、家电等板块显著反弹，涨幅分别为</w:t>
      </w:r>
      <w:r>
        <w:rPr>
          <w:rFonts w:eastAsiaTheme="minorEastAsia"/>
          <w:color w:val="000000" w:themeColor="text1"/>
          <w:szCs w:val="21"/>
        </w:rPr>
        <w:t>16.33%</w:t>
      </w:r>
      <w:r>
        <w:rPr>
          <w:rFonts w:eastAsiaTheme="minorEastAsia"/>
          <w:color w:val="000000" w:themeColor="text1"/>
          <w:szCs w:val="21"/>
        </w:rPr>
        <w:t>、</w:t>
      </w:r>
      <w:r>
        <w:rPr>
          <w:rFonts w:eastAsiaTheme="minorEastAsia"/>
          <w:color w:val="000000" w:themeColor="text1"/>
          <w:szCs w:val="21"/>
        </w:rPr>
        <w:t>6.34%</w:t>
      </w:r>
      <w:r>
        <w:rPr>
          <w:rFonts w:eastAsiaTheme="minorEastAsia"/>
          <w:color w:val="000000" w:themeColor="text1"/>
          <w:szCs w:val="21"/>
        </w:rPr>
        <w:t>、</w:t>
      </w:r>
      <w:r>
        <w:rPr>
          <w:rFonts w:eastAsiaTheme="minorEastAsia"/>
          <w:color w:val="000000" w:themeColor="text1"/>
          <w:szCs w:val="21"/>
        </w:rPr>
        <w:t>5.15%</w:t>
      </w:r>
      <w:r>
        <w:rPr>
          <w:rFonts w:eastAsiaTheme="minorEastAsia"/>
          <w:color w:val="000000" w:themeColor="text1"/>
          <w:szCs w:val="21"/>
        </w:rPr>
        <w:t>；而商贸零售、食品饮料、建材等板块则显著回调，跌幅分别为</w:t>
      </w:r>
      <w:r>
        <w:rPr>
          <w:rFonts w:eastAsiaTheme="minorEastAsia"/>
          <w:color w:val="000000" w:themeColor="text1"/>
          <w:szCs w:val="21"/>
        </w:rPr>
        <w:t>19.32%</w:t>
      </w:r>
      <w:r>
        <w:rPr>
          <w:rFonts w:eastAsiaTheme="minorEastAsia"/>
          <w:color w:val="000000" w:themeColor="text1"/>
          <w:szCs w:val="21"/>
        </w:rPr>
        <w:t>、</w:t>
      </w:r>
      <w:r>
        <w:rPr>
          <w:rFonts w:eastAsiaTheme="minorEastAsia"/>
          <w:color w:val="000000" w:themeColor="text1"/>
          <w:szCs w:val="21"/>
        </w:rPr>
        <w:t>12.91%</w:t>
      </w:r>
      <w:r>
        <w:rPr>
          <w:rFonts w:eastAsiaTheme="minorEastAsia"/>
          <w:color w:val="000000" w:themeColor="text1"/>
          <w:szCs w:val="21"/>
        </w:rPr>
        <w:t>、</w:t>
      </w:r>
      <w:r>
        <w:rPr>
          <w:rFonts w:eastAsiaTheme="minorEastAsia"/>
          <w:color w:val="000000" w:themeColor="text1"/>
          <w:szCs w:val="21"/>
        </w:rPr>
        <w:t>12.21%</w:t>
      </w:r>
      <w:r>
        <w:rPr>
          <w:rFonts w:eastAsiaTheme="minorEastAsia"/>
          <w:color w:val="000000" w:themeColor="text1"/>
          <w:szCs w:val="21"/>
        </w:rPr>
        <w:t>。本基金继续采用完全复制的方法跟踪标的指数，跟踪误差保持在合理范围内。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展望下半年，在稳增长持续发力的背景下，对于我国经济复苏节奏保持乐观，预计上市公司盈利底部区域已经出现，下半年有望触底反弹。主要的风险来自于，海外风险事件超预期、国内经济复苏不及预期。</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:-5.14%</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w:t>
      </w:r>
      <w:r w:rsidR="004139D4">
        <w:rPr>
          <w:rFonts w:eastAsiaTheme="minorEastAsia"/>
          <w:color w:val="000000" w:themeColor="text1"/>
          <w:szCs w:val="21"/>
        </w:rPr>
        <w:t>-6.34</w:t>
      </w:r>
      <w:r w:rsidRPr="00473486">
        <w:rPr>
          <w:rFonts w:eastAsiaTheme="minorEastAsia"/>
          <w:color w:val="000000" w:themeColor="text1"/>
          <w:szCs w:val="21"/>
        </w:rPr>
        <w:t>%</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86,106,037.06</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90.30</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86,106,037.06</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90.30</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8,406,259.62</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8.82</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844,067.65</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0.89</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95,356,364.33</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34,506.00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516,745.06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42,880.00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33,418.00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627,549.06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0.66</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914,611.90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0.96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3,780,545.30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48,380,090.72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50.84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3,296,446.80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3.46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1,933,272.80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934,166.25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2,872,957.00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3.02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130,160.00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4,163,913.21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15,205,638.81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15.98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1,303,334.48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786,645.32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580,835.56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112,407.60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63,450.00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580,975.90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323,858.35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115,178.00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85,478,488.00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89.82</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9671A">
        <w:tc>
          <w:tcPr>
            <w:tcW w:w="817" w:type="dxa"/>
            <w:vAlign w:val="center"/>
          </w:tcPr>
          <w:p w:rsidR="0079671A" w:rsidRDefault="004139D4">
            <w:pPr>
              <w:jc w:val="center"/>
            </w:pPr>
            <w:r>
              <w:rPr>
                <w:rFonts w:eastAsiaTheme="minorEastAsia"/>
                <w:color w:val="000000" w:themeColor="text1"/>
                <w:szCs w:val="21"/>
              </w:rPr>
              <w:t>1</w:t>
            </w:r>
          </w:p>
        </w:tc>
        <w:tc>
          <w:tcPr>
            <w:tcW w:w="1276" w:type="dxa"/>
            <w:vAlign w:val="center"/>
          </w:tcPr>
          <w:p w:rsidR="0079671A" w:rsidRDefault="004139D4">
            <w:pPr>
              <w:jc w:val="center"/>
            </w:pPr>
            <w:r>
              <w:rPr>
                <w:rFonts w:eastAsiaTheme="minorEastAsia"/>
                <w:color w:val="000000" w:themeColor="text1"/>
                <w:szCs w:val="21"/>
              </w:rPr>
              <w:t>600519</w:t>
            </w:r>
          </w:p>
        </w:tc>
        <w:tc>
          <w:tcPr>
            <w:tcW w:w="1701" w:type="dxa"/>
            <w:vAlign w:val="center"/>
          </w:tcPr>
          <w:p w:rsidR="0079671A" w:rsidRDefault="004139D4">
            <w:pPr>
              <w:jc w:val="center"/>
            </w:pPr>
            <w:r>
              <w:rPr>
                <w:rFonts w:eastAsiaTheme="minorEastAsia"/>
                <w:color w:val="000000" w:themeColor="text1"/>
                <w:szCs w:val="21"/>
              </w:rPr>
              <w:t>贵州茅台</w:t>
            </w:r>
          </w:p>
        </w:tc>
        <w:tc>
          <w:tcPr>
            <w:tcW w:w="1276" w:type="dxa"/>
            <w:vAlign w:val="center"/>
          </w:tcPr>
          <w:p w:rsidR="0079671A" w:rsidRDefault="004139D4">
            <w:pPr>
              <w:jc w:val="right"/>
            </w:pPr>
            <w:r>
              <w:rPr>
                <w:rFonts w:eastAsiaTheme="minorEastAsia"/>
                <w:color w:val="000000" w:themeColor="text1"/>
                <w:szCs w:val="21"/>
              </w:rPr>
              <w:t>2,748.00</w:t>
            </w:r>
          </w:p>
        </w:tc>
        <w:tc>
          <w:tcPr>
            <w:tcW w:w="1842" w:type="dxa"/>
            <w:vAlign w:val="center"/>
          </w:tcPr>
          <w:p w:rsidR="0079671A" w:rsidRDefault="004139D4">
            <w:pPr>
              <w:jc w:val="right"/>
            </w:pPr>
            <w:r>
              <w:rPr>
                <w:rFonts w:eastAsiaTheme="minorEastAsia"/>
                <w:color w:val="000000" w:themeColor="text1"/>
                <w:szCs w:val="21"/>
              </w:rPr>
              <w:t>4,646,868.00</w:t>
            </w:r>
          </w:p>
        </w:tc>
        <w:tc>
          <w:tcPr>
            <w:tcW w:w="1616" w:type="dxa"/>
            <w:vAlign w:val="center"/>
          </w:tcPr>
          <w:p w:rsidR="0079671A" w:rsidRDefault="004139D4">
            <w:pPr>
              <w:jc w:val="right"/>
            </w:pPr>
            <w:r>
              <w:rPr>
                <w:rFonts w:eastAsiaTheme="minorEastAsia"/>
                <w:color w:val="000000" w:themeColor="text1"/>
                <w:szCs w:val="21"/>
              </w:rPr>
              <w:t>4.88</w:t>
            </w:r>
          </w:p>
        </w:tc>
      </w:tr>
      <w:tr w:rsidR="0079671A">
        <w:tc>
          <w:tcPr>
            <w:tcW w:w="817" w:type="dxa"/>
            <w:vAlign w:val="center"/>
          </w:tcPr>
          <w:p w:rsidR="0079671A" w:rsidRDefault="004139D4">
            <w:pPr>
              <w:jc w:val="center"/>
            </w:pPr>
            <w:r>
              <w:rPr>
                <w:rFonts w:eastAsiaTheme="minorEastAsia"/>
                <w:color w:val="000000" w:themeColor="text1"/>
                <w:szCs w:val="21"/>
              </w:rPr>
              <w:t>2</w:t>
            </w:r>
          </w:p>
        </w:tc>
        <w:tc>
          <w:tcPr>
            <w:tcW w:w="1276" w:type="dxa"/>
            <w:vAlign w:val="center"/>
          </w:tcPr>
          <w:p w:rsidR="0079671A" w:rsidRDefault="004139D4">
            <w:pPr>
              <w:jc w:val="center"/>
            </w:pPr>
            <w:r>
              <w:rPr>
                <w:rFonts w:eastAsiaTheme="minorEastAsia"/>
                <w:color w:val="000000" w:themeColor="text1"/>
                <w:szCs w:val="21"/>
              </w:rPr>
              <w:t>300750</w:t>
            </w:r>
          </w:p>
        </w:tc>
        <w:tc>
          <w:tcPr>
            <w:tcW w:w="1701" w:type="dxa"/>
            <w:vAlign w:val="center"/>
          </w:tcPr>
          <w:p w:rsidR="0079671A" w:rsidRDefault="004139D4">
            <w:pPr>
              <w:jc w:val="center"/>
            </w:pPr>
            <w:r>
              <w:rPr>
                <w:rFonts w:eastAsiaTheme="minorEastAsia"/>
                <w:color w:val="000000" w:themeColor="text1"/>
                <w:szCs w:val="21"/>
              </w:rPr>
              <w:t>宁德时代</w:t>
            </w:r>
          </w:p>
        </w:tc>
        <w:tc>
          <w:tcPr>
            <w:tcW w:w="1276" w:type="dxa"/>
            <w:vAlign w:val="center"/>
          </w:tcPr>
          <w:p w:rsidR="0079671A" w:rsidRDefault="004139D4">
            <w:pPr>
              <w:jc w:val="right"/>
            </w:pPr>
            <w:r>
              <w:rPr>
                <w:rFonts w:eastAsiaTheme="minorEastAsia"/>
                <w:color w:val="000000" w:themeColor="text1"/>
                <w:szCs w:val="21"/>
              </w:rPr>
              <w:t>9,639.00</w:t>
            </w:r>
          </w:p>
        </w:tc>
        <w:tc>
          <w:tcPr>
            <w:tcW w:w="1842" w:type="dxa"/>
            <w:vAlign w:val="center"/>
          </w:tcPr>
          <w:p w:rsidR="0079671A" w:rsidRDefault="004139D4">
            <w:pPr>
              <w:jc w:val="right"/>
            </w:pPr>
            <w:r>
              <w:rPr>
                <w:rFonts w:eastAsiaTheme="minorEastAsia"/>
                <w:color w:val="000000" w:themeColor="text1"/>
                <w:szCs w:val="21"/>
              </w:rPr>
              <w:t>2,205,306.81</w:t>
            </w:r>
          </w:p>
        </w:tc>
        <w:tc>
          <w:tcPr>
            <w:tcW w:w="1616" w:type="dxa"/>
            <w:vAlign w:val="center"/>
          </w:tcPr>
          <w:p w:rsidR="0079671A" w:rsidRDefault="004139D4">
            <w:pPr>
              <w:jc w:val="right"/>
            </w:pPr>
            <w:r>
              <w:rPr>
                <w:rFonts w:eastAsiaTheme="minorEastAsia"/>
                <w:color w:val="000000" w:themeColor="text1"/>
                <w:szCs w:val="21"/>
              </w:rPr>
              <w:t>2.32</w:t>
            </w:r>
          </w:p>
        </w:tc>
      </w:tr>
      <w:tr w:rsidR="0079671A">
        <w:tc>
          <w:tcPr>
            <w:tcW w:w="817" w:type="dxa"/>
            <w:vAlign w:val="center"/>
          </w:tcPr>
          <w:p w:rsidR="0079671A" w:rsidRDefault="004139D4">
            <w:pPr>
              <w:jc w:val="center"/>
            </w:pPr>
            <w:r>
              <w:rPr>
                <w:rFonts w:eastAsiaTheme="minorEastAsia"/>
                <w:color w:val="000000" w:themeColor="text1"/>
                <w:szCs w:val="21"/>
              </w:rPr>
              <w:t>3</w:t>
            </w:r>
          </w:p>
        </w:tc>
        <w:tc>
          <w:tcPr>
            <w:tcW w:w="1276" w:type="dxa"/>
            <w:vAlign w:val="center"/>
          </w:tcPr>
          <w:p w:rsidR="0079671A" w:rsidRDefault="004139D4">
            <w:pPr>
              <w:jc w:val="center"/>
            </w:pPr>
            <w:r>
              <w:rPr>
                <w:rFonts w:eastAsiaTheme="minorEastAsia"/>
                <w:color w:val="000000" w:themeColor="text1"/>
                <w:szCs w:val="21"/>
              </w:rPr>
              <w:t>600036</w:t>
            </w:r>
          </w:p>
        </w:tc>
        <w:tc>
          <w:tcPr>
            <w:tcW w:w="1701" w:type="dxa"/>
            <w:vAlign w:val="center"/>
          </w:tcPr>
          <w:p w:rsidR="0079671A" w:rsidRDefault="004139D4">
            <w:pPr>
              <w:jc w:val="center"/>
            </w:pPr>
            <w:r>
              <w:rPr>
                <w:rFonts w:eastAsiaTheme="minorEastAsia"/>
                <w:color w:val="000000" w:themeColor="text1"/>
                <w:szCs w:val="21"/>
              </w:rPr>
              <w:t>招商银行</w:t>
            </w:r>
          </w:p>
        </w:tc>
        <w:tc>
          <w:tcPr>
            <w:tcW w:w="1276" w:type="dxa"/>
            <w:vAlign w:val="center"/>
          </w:tcPr>
          <w:p w:rsidR="0079671A" w:rsidRDefault="004139D4">
            <w:pPr>
              <w:jc w:val="right"/>
            </w:pPr>
            <w:r>
              <w:rPr>
                <w:rFonts w:eastAsiaTheme="minorEastAsia"/>
                <w:color w:val="000000" w:themeColor="text1"/>
                <w:szCs w:val="21"/>
              </w:rPr>
              <w:t>43,225.00</w:t>
            </w:r>
          </w:p>
        </w:tc>
        <w:tc>
          <w:tcPr>
            <w:tcW w:w="1842" w:type="dxa"/>
            <w:vAlign w:val="center"/>
          </w:tcPr>
          <w:p w:rsidR="0079671A" w:rsidRDefault="004139D4">
            <w:pPr>
              <w:jc w:val="right"/>
            </w:pPr>
            <w:r>
              <w:rPr>
                <w:rFonts w:eastAsiaTheme="minorEastAsia"/>
                <w:color w:val="000000" w:themeColor="text1"/>
                <w:szCs w:val="21"/>
              </w:rPr>
              <w:t>1,416,051.00</w:t>
            </w:r>
          </w:p>
        </w:tc>
        <w:tc>
          <w:tcPr>
            <w:tcW w:w="1616" w:type="dxa"/>
            <w:vAlign w:val="center"/>
          </w:tcPr>
          <w:p w:rsidR="0079671A" w:rsidRDefault="004139D4">
            <w:pPr>
              <w:jc w:val="right"/>
            </w:pPr>
            <w:r>
              <w:rPr>
                <w:rFonts w:eastAsiaTheme="minorEastAsia"/>
                <w:color w:val="000000" w:themeColor="text1"/>
                <w:szCs w:val="21"/>
              </w:rPr>
              <w:t>1.49</w:t>
            </w:r>
          </w:p>
        </w:tc>
      </w:tr>
      <w:tr w:rsidR="0079671A">
        <w:tc>
          <w:tcPr>
            <w:tcW w:w="817" w:type="dxa"/>
            <w:vAlign w:val="center"/>
          </w:tcPr>
          <w:p w:rsidR="0079671A" w:rsidRDefault="004139D4">
            <w:pPr>
              <w:jc w:val="center"/>
            </w:pPr>
            <w:r>
              <w:rPr>
                <w:rFonts w:eastAsiaTheme="minorEastAsia"/>
                <w:color w:val="000000" w:themeColor="text1"/>
                <w:szCs w:val="21"/>
              </w:rPr>
              <w:t>4</w:t>
            </w:r>
          </w:p>
        </w:tc>
        <w:tc>
          <w:tcPr>
            <w:tcW w:w="1276" w:type="dxa"/>
            <w:vAlign w:val="center"/>
          </w:tcPr>
          <w:p w:rsidR="0079671A" w:rsidRDefault="004139D4">
            <w:pPr>
              <w:jc w:val="center"/>
            </w:pPr>
            <w:r>
              <w:rPr>
                <w:rFonts w:eastAsiaTheme="minorEastAsia"/>
                <w:color w:val="000000" w:themeColor="text1"/>
                <w:szCs w:val="21"/>
              </w:rPr>
              <w:t>000858</w:t>
            </w:r>
          </w:p>
        </w:tc>
        <w:tc>
          <w:tcPr>
            <w:tcW w:w="1701" w:type="dxa"/>
            <w:vAlign w:val="center"/>
          </w:tcPr>
          <w:p w:rsidR="0079671A" w:rsidRDefault="004139D4">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79671A" w:rsidRDefault="004139D4">
            <w:pPr>
              <w:jc w:val="right"/>
            </w:pPr>
            <w:r>
              <w:rPr>
                <w:rFonts w:eastAsiaTheme="minorEastAsia"/>
                <w:color w:val="000000" w:themeColor="text1"/>
                <w:szCs w:val="21"/>
              </w:rPr>
              <w:t>8,500.00</w:t>
            </w:r>
          </w:p>
        </w:tc>
        <w:tc>
          <w:tcPr>
            <w:tcW w:w="1842" w:type="dxa"/>
            <w:vAlign w:val="center"/>
          </w:tcPr>
          <w:p w:rsidR="0079671A" w:rsidRDefault="004139D4">
            <w:pPr>
              <w:jc w:val="right"/>
            </w:pPr>
            <w:r>
              <w:rPr>
                <w:rFonts w:eastAsiaTheme="minorEastAsia"/>
                <w:color w:val="000000" w:themeColor="text1"/>
                <w:szCs w:val="21"/>
              </w:rPr>
              <w:t>1,390,345.00</w:t>
            </w:r>
          </w:p>
        </w:tc>
        <w:tc>
          <w:tcPr>
            <w:tcW w:w="1616" w:type="dxa"/>
            <w:vAlign w:val="center"/>
          </w:tcPr>
          <w:p w:rsidR="0079671A" w:rsidRDefault="004139D4">
            <w:pPr>
              <w:jc w:val="right"/>
            </w:pPr>
            <w:r>
              <w:rPr>
                <w:rFonts w:eastAsiaTheme="minorEastAsia"/>
                <w:color w:val="000000" w:themeColor="text1"/>
                <w:szCs w:val="21"/>
              </w:rPr>
              <w:t>1.46</w:t>
            </w:r>
          </w:p>
        </w:tc>
      </w:tr>
      <w:tr w:rsidR="0079671A">
        <w:tc>
          <w:tcPr>
            <w:tcW w:w="817" w:type="dxa"/>
            <w:vAlign w:val="center"/>
          </w:tcPr>
          <w:p w:rsidR="0079671A" w:rsidRDefault="004139D4">
            <w:pPr>
              <w:jc w:val="center"/>
            </w:pPr>
            <w:r>
              <w:rPr>
                <w:rFonts w:eastAsiaTheme="minorEastAsia"/>
                <w:color w:val="000000" w:themeColor="text1"/>
                <w:szCs w:val="21"/>
              </w:rPr>
              <w:t>5</w:t>
            </w:r>
          </w:p>
        </w:tc>
        <w:tc>
          <w:tcPr>
            <w:tcW w:w="1276" w:type="dxa"/>
            <w:vAlign w:val="center"/>
          </w:tcPr>
          <w:p w:rsidR="0079671A" w:rsidRDefault="004139D4">
            <w:pPr>
              <w:jc w:val="center"/>
            </w:pPr>
            <w:r>
              <w:rPr>
                <w:rFonts w:eastAsiaTheme="minorEastAsia"/>
                <w:color w:val="000000" w:themeColor="text1"/>
                <w:szCs w:val="21"/>
              </w:rPr>
              <w:t>600900</w:t>
            </w:r>
          </w:p>
        </w:tc>
        <w:tc>
          <w:tcPr>
            <w:tcW w:w="1701" w:type="dxa"/>
            <w:vAlign w:val="center"/>
          </w:tcPr>
          <w:p w:rsidR="0079671A" w:rsidRDefault="004139D4">
            <w:pPr>
              <w:jc w:val="center"/>
            </w:pPr>
            <w:r>
              <w:rPr>
                <w:rFonts w:eastAsiaTheme="minorEastAsia"/>
                <w:color w:val="000000" w:themeColor="text1"/>
                <w:szCs w:val="21"/>
              </w:rPr>
              <w:t>长江电力</w:t>
            </w:r>
          </w:p>
        </w:tc>
        <w:tc>
          <w:tcPr>
            <w:tcW w:w="1276" w:type="dxa"/>
            <w:vAlign w:val="center"/>
          </w:tcPr>
          <w:p w:rsidR="0079671A" w:rsidRDefault="004139D4">
            <w:pPr>
              <w:jc w:val="right"/>
            </w:pPr>
            <w:r>
              <w:rPr>
                <w:rFonts w:eastAsiaTheme="minorEastAsia"/>
                <w:color w:val="000000" w:themeColor="text1"/>
                <w:szCs w:val="21"/>
              </w:rPr>
              <w:t>51,680.00</w:t>
            </w:r>
          </w:p>
        </w:tc>
        <w:tc>
          <w:tcPr>
            <w:tcW w:w="1842" w:type="dxa"/>
            <w:vAlign w:val="center"/>
          </w:tcPr>
          <w:p w:rsidR="0079671A" w:rsidRDefault="004139D4">
            <w:pPr>
              <w:jc w:val="right"/>
            </w:pPr>
            <w:r>
              <w:rPr>
                <w:rFonts w:eastAsiaTheme="minorEastAsia"/>
                <w:color w:val="000000" w:themeColor="text1"/>
                <w:szCs w:val="21"/>
              </w:rPr>
              <w:t>1,140,060.80</w:t>
            </w:r>
          </w:p>
        </w:tc>
        <w:tc>
          <w:tcPr>
            <w:tcW w:w="1616" w:type="dxa"/>
            <w:vAlign w:val="center"/>
          </w:tcPr>
          <w:p w:rsidR="0079671A" w:rsidRDefault="004139D4">
            <w:pPr>
              <w:jc w:val="right"/>
            </w:pPr>
            <w:r>
              <w:rPr>
                <w:rFonts w:eastAsiaTheme="minorEastAsia"/>
                <w:color w:val="000000" w:themeColor="text1"/>
                <w:szCs w:val="21"/>
              </w:rPr>
              <w:t>1.20</w:t>
            </w:r>
          </w:p>
        </w:tc>
      </w:tr>
      <w:tr w:rsidR="0079671A">
        <w:tc>
          <w:tcPr>
            <w:tcW w:w="817" w:type="dxa"/>
            <w:vAlign w:val="center"/>
          </w:tcPr>
          <w:p w:rsidR="0079671A" w:rsidRDefault="004139D4">
            <w:pPr>
              <w:jc w:val="center"/>
            </w:pPr>
            <w:r>
              <w:rPr>
                <w:rFonts w:eastAsiaTheme="minorEastAsia"/>
                <w:color w:val="000000" w:themeColor="text1"/>
                <w:szCs w:val="21"/>
              </w:rPr>
              <w:t>6</w:t>
            </w:r>
          </w:p>
        </w:tc>
        <w:tc>
          <w:tcPr>
            <w:tcW w:w="1276" w:type="dxa"/>
            <w:vAlign w:val="center"/>
          </w:tcPr>
          <w:p w:rsidR="0079671A" w:rsidRDefault="004139D4">
            <w:pPr>
              <w:jc w:val="center"/>
            </w:pPr>
            <w:r>
              <w:rPr>
                <w:rFonts w:eastAsiaTheme="minorEastAsia"/>
                <w:color w:val="000000" w:themeColor="text1"/>
                <w:szCs w:val="21"/>
              </w:rPr>
              <w:t>601318</w:t>
            </w:r>
          </w:p>
        </w:tc>
        <w:tc>
          <w:tcPr>
            <w:tcW w:w="1701" w:type="dxa"/>
            <w:vAlign w:val="center"/>
          </w:tcPr>
          <w:p w:rsidR="0079671A" w:rsidRDefault="004139D4">
            <w:pPr>
              <w:jc w:val="center"/>
            </w:pPr>
            <w:r>
              <w:rPr>
                <w:rFonts w:eastAsiaTheme="minorEastAsia"/>
                <w:color w:val="000000" w:themeColor="text1"/>
                <w:szCs w:val="21"/>
              </w:rPr>
              <w:t>中国平安</w:t>
            </w:r>
          </w:p>
        </w:tc>
        <w:tc>
          <w:tcPr>
            <w:tcW w:w="1276" w:type="dxa"/>
            <w:vAlign w:val="center"/>
          </w:tcPr>
          <w:p w:rsidR="0079671A" w:rsidRDefault="004139D4">
            <w:pPr>
              <w:jc w:val="right"/>
            </w:pPr>
            <w:r>
              <w:rPr>
                <w:rFonts w:eastAsiaTheme="minorEastAsia"/>
                <w:color w:val="000000" w:themeColor="text1"/>
                <w:szCs w:val="21"/>
              </w:rPr>
              <w:t>23,620.00</w:t>
            </w:r>
          </w:p>
        </w:tc>
        <w:tc>
          <w:tcPr>
            <w:tcW w:w="1842" w:type="dxa"/>
            <w:vAlign w:val="center"/>
          </w:tcPr>
          <w:p w:rsidR="0079671A" w:rsidRDefault="004139D4">
            <w:pPr>
              <w:jc w:val="right"/>
            </w:pPr>
            <w:r>
              <w:rPr>
                <w:rFonts w:eastAsiaTheme="minorEastAsia"/>
                <w:color w:val="000000" w:themeColor="text1"/>
                <w:szCs w:val="21"/>
              </w:rPr>
              <w:t>1,095,968.00</w:t>
            </w:r>
          </w:p>
        </w:tc>
        <w:tc>
          <w:tcPr>
            <w:tcW w:w="1616" w:type="dxa"/>
            <w:vAlign w:val="center"/>
          </w:tcPr>
          <w:p w:rsidR="0079671A" w:rsidRDefault="004139D4">
            <w:pPr>
              <w:jc w:val="right"/>
            </w:pPr>
            <w:r>
              <w:rPr>
                <w:rFonts w:eastAsiaTheme="minorEastAsia"/>
                <w:color w:val="000000" w:themeColor="text1"/>
                <w:szCs w:val="21"/>
              </w:rPr>
              <w:t>1.15</w:t>
            </w:r>
          </w:p>
        </w:tc>
      </w:tr>
      <w:tr w:rsidR="0079671A">
        <w:tc>
          <w:tcPr>
            <w:tcW w:w="817" w:type="dxa"/>
            <w:vAlign w:val="center"/>
          </w:tcPr>
          <w:p w:rsidR="0079671A" w:rsidRDefault="004139D4">
            <w:pPr>
              <w:jc w:val="center"/>
            </w:pPr>
            <w:r>
              <w:rPr>
                <w:rFonts w:eastAsiaTheme="minorEastAsia"/>
                <w:color w:val="000000" w:themeColor="text1"/>
                <w:szCs w:val="21"/>
              </w:rPr>
              <w:t>7</w:t>
            </w:r>
          </w:p>
        </w:tc>
        <w:tc>
          <w:tcPr>
            <w:tcW w:w="1276" w:type="dxa"/>
            <w:vAlign w:val="center"/>
          </w:tcPr>
          <w:p w:rsidR="0079671A" w:rsidRDefault="004139D4">
            <w:pPr>
              <w:jc w:val="center"/>
            </w:pPr>
            <w:r>
              <w:rPr>
                <w:rFonts w:eastAsiaTheme="minorEastAsia"/>
                <w:color w:val="000000" w:themeColor="text1"/>
                <w:szCs w:val="21"/>
              </w:rPr>
              <w:t>002594</w:t>
            </w:r>
          </w:p>
        </w:tc>
        <w:tc>
          <w:tcPr>
            <w:tcW w:w="1701" w:type="dxa"/>
            <w:vAlign w:val="center"/>
          </w:tcPr>
          <w:p w:rsidR="0079671A" w:rsidRDefault="004139D4">
            <w:pPr>
              <w:jc w:val="center"/>
            </w:pPr>
            <w:r>
              <w:rPr>
                <w:rFonts w:eastAsiaTheme="minorEastAsia"/>
                <w:color w:val="000000" w:themeColor="text1"/>
                <w:szCs w:val="21"/>
              </w:rPr>
              <w:t>比亚迪</w:t>
            </w:r>
          </w:p>
        </w:tc>
        <w:tc>
          <w:tcPr>
            <w:tcW w:w="1276" w:type="dxa"/>
            <w:vAlign w:val="center"/>
          </w:tcPr>
          <w:p w:rsidR="0079671A" w:rsidRDefault="004139D4">
            <w:pPr>
              <w:jc w:val="right"/>
            </w:pPr>
            <w:r>
              <w:rPr>
                <w:rFonts w:eastAsiaTheme="minorEastAsia"/>
                <w:color w:val="000000" w:themeColor="text1"/>
                <w:szCs w:val="21"/>
              </w:rPr>
              <w:t>3,953.00</w:t>
            </w:r>
          </w:p>
        </w:tc>
        <w:tc>
          <w:tcPr>
            <w:tcW w:w="1842" w:type="dxa"/>
            <w:vAlign w:val="center"/>
          </w:tcPr>
          <w:p w:rsidR="0079671A" w:rsidRDefault="004139D4">
            <w:pPr>
              <w:jc w:val="right"/>
            </w:pPr>
            <w:r>
              <w:rPr>
                <w:rFonts w:eastAsiaTheme="minorEastAsia"/>
                <w:color w:val="000000" w:themeColor="text1"/>
                <w:szCs w:val="21"/>
              </w:rPr>
              <w:t>1,020,941.31</w:t>
            </w:r>
          </w:p>
        </w:tc>
        <w:tc>
          <w:tcPr>
            <w:tcW w:w="1616" w:type="dxa"/>
            <w:vAlign w:val="center"/>
          </w:tcPr>
          <w:p w:rsidR="0079671A" w:rsidRDefault="004139D4">
            <w:pPr>
              <w:jc w:val="right"/>
            </w:pPr>
            <w:r>
              <w:rPr>
                <w:rFonts w:eastAsiaTheme="minorEastAsia"/>
                <w:color w:val="000000" w:themeColor="text1"/>
                <w:szCs w:val="21"/>
              </w:rPr>
              <w:t>1.07</w:t>
            </w:r>
          </w:p>
        </w:tc>
      </w:tr>
      <w:tr w:rsidR="0079671A">
        <w:tc>
          <w:tcPr>
            <w:tcW w:w="817" w:type="dxa"/>
            <w:vAlign w:val="center"/>
          </w:tcPr>
          <w:p w:rsidR="0079671A" w:rsidRDefault="004139D4">
            <w:pPr>
              <w:jc w:val="center"/>
            </w:pPr>
            <w:r>
              <w:rPr>
                <w:rFonts w:eastAsiaTheme="minorEastAsia"/>
                <w:color w:val="000000" w:themeColor="text1"/>
                <w:szCs w:val="21"/>
              </w:rPr>
              <w:t>8</w:t>
            </w:r>
          </w:p>
        </w:tc>
        <w:tc>
          <w:tcPr>
            <w:tcW w:w="1276" w:type="dxa"/>
            <w:vAlign w:val="center"/>
          </w:tcPr>
          <w:p w:rsidR="0079671A" w:rsidRDefault="004139D4">
            <w:pPr>
              <w:jc w:val="center"/>
            </w:pPr>
            <w:r>
              <w:rPr>
                <w:rFonts w:eastAsiaTheme="minorEastAsia"/>
                <w:color w:val="000000" w:themeColor="text1"/>
                <w:szCs w:val="21"/>
              </w:rPr>
              <w:t>300760</w:t>
            </w:r>
          </w:p>
        </w:tc>
        <w:tc>
          <w:tcPr>
            <w:tcW w:w="1701" w:type="dxa"/>
            <w:vAlign w:val="center"/>
          </w:tcPr>
          <w:p w:rsidR="0079671A" w:rsidRDefault="004139D4">
            <w:pPr>
              <w:jc w:val="center"/>
            </w:pPr>
            <w:r>
              <w:rPr>
                <w:rFonts w:eastAsiaTheme="minorEastAsia"/>
                <w:color w:val="000000" w:themeColor="text1"/>
                <w:szCs w:val="21"/>
              </w:rPr>
              <w:t>迈瑞医疗</w:t>
            </w:r>
          </w:p>
        </w:tc>
        <w:tc>
          <w:tcPr>
            <w:tcW w:w="1276" w:type="dxa"/>
            <w:vAlign w:val="center"/>
          </w:tcPr>
          <w:p w:rsidR="0079671A" w:rsidRDefault="004139D4">
            <w:pPr>
              <w:jc w:val="right"/>
            </w:pPr>
            <w:r>
              <w:rPr>
                <w:rFonts w:eastAsiaTheme="minorEastAsia"/>
                <w:color w:val="000000" w:themeColor="text1"/>
                <w:szCs w:val="21"/>
              </w:rPr>
              <w:t>2,667.00</w:t>
            </w:r>
          </w:p>
        </w:tc>
        <w:tc>
          <w:tcPr>
            <w:tcW w:w="1842" w:type="dxa"/>
            <w:vAlign w:val="center"/>
          </w:tcPr>
          <w:p w:rsidR="0079671A" w:rsidRDefault="004139D4">
            <w:pPr>
              <w:jc w:val="right"/>
            </w:pPr>
            <w:r>
              <w:rPr>
                <w:rFonts w:eastAsiaTheme="minorEastAsia"/>
                <w:color w:val="000000" w:themeColor="text1"/>
                <w:szCs w:val="21"/>
              </w:rPr>
              <w:t>799,566.60</w:t>
            </w:r>
          </w:p>
        </w:tc>
        <w:tc>
          <w:tcPr>
            <w:tcW w:w="1616" w:type="dxa"/>
            <w:vAlign w:val="center"/>
          </w:tcPr>
          <w:p w:rsidR="0079671A" w:rsidRDefault="004139D4">
            <w:pPr>
              <w:jc w:val="right"/>
            </w:pPr>
            <w:r>
              <w:rPr>
                <w:rFonts w:eastAsiaTheme="minorEastAsia"/>
                <w:color w:val="000000" w:themeColor="text1"/>
                <w:szCs w:val="21"/>
              </w:rPr>
              <w:t>0.84</w:t>
            </w:r>
          </w:p>
        </w:tc>
      </w:tr>
      <w:tr w:rsidR="0079671A">
        <w:tc>
          <w:tcPr>
            <w:tcW w:w="817" w:type="dxa"/>
            <w:vAlign w:val="center"/>
          </w:tcPr>
          <w:p w:rsidR="0079671A" w:rsidRDefault="004139D4">
            <w:pPr>
              <w:jc w:val="center"/>
            </w:pPr>
            <w:r>
              <w:rPr>
                <w:rFonts w:eastAsiaTheme="minorEastAsia"/>
                <w:color w:val="000000" w:themeColor="text1"/>
                <w:szCs w:val="21"/>
              </w:rPr>
              <w:t>9</w:t>
            </w:r>
          </w:p>
        </w:tc>
        <w:tc>
          <w:tcPr>
            <w:tcW w:w="1276" w:type="dxa"/>
            <w:vAlign w:val="center"/>
          </w:tcPr>
          <w:p w:rsidR="0079671A" w:rsidRDefault="004139D4">
            <w:pPr>
              <w:jc w:val="center"/>
            </w:pPr>
            <w:r>
              <w:rPr>
                <w:rFonts w:eastAsiaTheme="minorEastAsia"/>
                <w:color w:val="000000" w:themeColor="text1"/>
                <w:szCs w:val="21"/>
              </w:rPr>
              <w:t>601166</w:t>
            </w:r>
          </w:p>
        </w:tc>
        <w:tc>
          <w:tcPr>
            <w:tcW w:w="1701" w:type="dxa"/>
            <w:vAlign w:val="center"/>
          </w:tcPr>
          <w:p w:rsidR="0079671A" w:rsidRDefault="004139D4">
            <w:pPr>
              <w:jc w:val="center"/>
            </w:pPr>
            <w:r>
              <w:rPr>
                <w:rFonts w:eastAsiaTheme="minorEastAsia"/>
                <w:color w:val="000000" w:themeColor="text1"/>
                <w:szCs w:val="21"/>
              </w:rPr>
              <w:t>兴业银行</w:t>
            </w:r>
          </w:p>
        </w:tc>
        <w:tc>
          <w:tcPr>
            <w:tcW w:w="1276" w:type="dxa"/>
            <w:vAlign w:val="center"/>
          </w:tcPr>
          <w:p w:rsidR="0079671A" w:rsidRDefault="004139D4">
            <w:pPr>
              <w:jc w:val="right"/>
            </w:pPr>
            <w:r>
              <w:rPr>
                <w:rFonts w:eastAsiaTheme="minorEastAsia"/>
                <w:color w:val="000000" w:themeColor="text1"/>
                <w:szCs w:val="21"/>
              </w:rPr>
              <w:t>45,400.00</w:t>
            </w:r>
          </w:p>
        </w:tc>
        <w:tc>
          <w:tcPr>
            <w:tcW w:w="1842" w:type="dxa"/>
            <w:vAlign w:val="center"/>
          </w:tcPr>
          <w:p w:rsidR="0079671A" w:rsidRDefault="004139D4">
            <w:pPr>
              <w:jc w:val="right"/>
            </w:pPr>
            <w:r>
              <w:rPr>
                <w:rFonts w:eastAsiaTheme="minorEastAsia"/>
                <w:color w:val="000000" w:themeColor="text1"/>
                <w:szCs w:val="21"/>
              </w:rPr>
              <w:t>710,510.00</w:t>
            </w:r>
          </w:p>
        </w:tc>
        <w:tc>
          <w:tcPr>
            <w:tcW w:w="1616" w:type="dxa"/>
            <w:vAlign w:val="center"/>
          </w:tcPr>
          <w:p w:rsidR="0079671A" w:rsidRDefault="004139D4">
            <w:pPr>
              <w:jc w:val="right"/>
            </w:pPr>
            <w:r>
              <w:rPr>
                <w:rFonts w:eastAsiaTheme="minorEastAsia"/>
                <w:color w:val="000000" w:themeColor="text1"/>
                <w:szCs w:val="21"/>
              </w:rPr>
              <w:t>0.75</w:t>
            </w:r>
          </w:p>
        </w:tc>
      </w:tr>
      <w:tr w:rsidR="0079671A">
        <w:tc>
          <w:tcPr>
            <w:tcW w:w="817" w:type="dxa"/>
            <w:vAlign w:val="center"/>
          </w:tcPr>
          <w:p w:rsidR="0079671A" w:rsidRDefault="004139D4">
            <w:pPr>
              <w:jc w:val="center"/>
            </w:pPr>
            <w:r>
              <w:rPr>
                <w:rFonts w:eastAsiaTheme="minorEastAsia"/>
                <w:color w:val="000000" w:themeColor="text1"/>
                <w:szCs w:val="21"/>
              </w:rPr>
              <w:t>10</w:t>
            </w:r>
          </w:p>
        </w:tc>
        <w:tc>
          <w:tcPr>
            <w:tcW w:w="1276" w:type="dxa"/>
            <w:vAlign w:val="center"/>
          </w:tcPr>
          <w:p w:rsidR="0079671A" w:rsidRDefault="004139D4">
            <w:pPr>
              <w:jc w:val="center"/>
            </w:pPr>
            <w:r>
              <w:rPr>
                <w:rFonts w:eastAsiaTheme="minorEastAsia"/>
                <w:color w:val="000000" w:themeColor="text1"/>
                <w:szCs w:val="21"/>
              </w:rPr>
              <w:t>000568</w:t>
            </w:r>
          </w:p>
        </w:tc>
        <w:tc>
          <w:tcPr>
            <w:tcW w:w="1701" w:type="dxa"/>
            <w:vAlign w:val="center"/>
          </w:tcPr>
          <w:p w:rsidR="0079671A" w:rsidRDefault="004139D4">
            <w:pPr>
              <w:jc w:val="center"/>
            </w:pPr>
            <w:r>
              <w:rPr>
                <w:rFonts w:eastAsiaTheme="minorEastAsia"/>
                <w:color w:val="000000" w:themeColor="text1"/>
                <w:szCs w:val="21"/>
              </w:rPr>
              <w:t>泸州老窖</w:t>
            </w:r>
          </w:p>
        </w:tc>
        <w:tc>
          <w:tcPr>
            <w:tcW w:w="1276" w:type="dxa"/>
            <w:vAlign w:val="center"/>
          </w:tcPr>
          <w:p w:rsidR="0079671A" w:rsidRDefault="004139D4">
            <w:pPr>
              <w:jc w:val="right"/>
            </w:pPr>
            <w:r>
              <w:rPr>
                <w:rFonts w:eastAsiaTheme="minorEastAsia"/>
                <w:color w:val="000000" w:themeColor="text1"/>
                <w:szCs w:val="21"/>
              </w:rPr>
              <w:t>3,259.00</w:t>
            </w:r>
          </w:p>
        </w:tc>
        <w:tc>
          <w:tcPr>
            <w:tcW w:w="1842" w:type="dxa"/>
            <w:vAlign w:val="center"/>
          </w:tcPr>
          <w:p w:rsidR="0079671A" w:rsidRDefault="004139D4">
            <w:pPr>
              <w:jc w:val="right"/>
            </w:pPr>
            <w:r>
              <w:rPr>
                <w:rFonts w:eastAsiaTheme="minorEastAsia"/>
                <w:color w:val="000000" w:themeColor="text1"/>
                <w:szCs w:val="21"/>
              </w:rPr>
              <w:t>682,988.63</w:t>
            </w:r>
          </w:p>
        </w:tc>
        <w:tc>
          <w:tcPr>
            <w:tcW w:w="1616" w:type="dxa"/>
            <w:vAlign w:val="center"/>
          </w:tcPr>
          <w:p w:rsidR="0079671A" w:rsidRDefault="004139D4">
            <w:pPr>
              <w:jc w:val="right"/>
            </w:pPr>
            <w:r>
              <w:rPr>
                <w:rFonts w:eastAsiaTheme="minorEastAsia"/>
                <w:color w:val="000000" w:themeColor="text1"/>
                <w:szCs w:val="21"/>
              </w:rPr>
              <w:t>0.72</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9671A">
        <w:tc>
          <w:tcPr>
            <w:tcW w:w="817" w:type="dxa"/>
            <w:vAlign w:val="center"/>
          </w:tcPr>
          <w:p w:rsidR="0079671A" w:rsidRDefault="004139D4">
            <w:pPr>
              <w:jc w:val="center"/>
            </w:pPr>
            <w:r>
              <w:rPr>
                <w:rFonts w:eastAsiaTheme="minorEastAsia"/>
                <w:color w:val="000000" w:themeColor="text1"/>
                <w:szCs w:val="21"/>
              </w:rPr>
              <w:t>1</w:t>
            </w:r>
          </w:p>
        </w:tc>
        <w:tc>
          <w:tcPr>
            <w:tcW w:w="1276" w:type="dxa"/>
            <w:vAlign w:val="center"/>
          </w:tcPr>
          <w:p w:rsidR="0079671A" w:rsidRDefault="004139D4">
            <w:pPr>
              <w:jc w:val="center"/>
            </w:pPr>
            <w:r>
              <w:rPr>
                <w:rFonts w:eastAsiaTheme="minorEastAsia"/>
                <w:color w:val="000000" w:themeColor="text1"/>
                <w:szCs w:val="21"/>
              </w:rPr>
              <w:t>600372</w:t>
            </w:r>
          </w:p>
        </w:tc>
        <w:tc>
          <w:tcPr>
            <w:tcW w:w="1701" w:type="dxa"/>
            <w:vAlign w:val="center"/>
          </w:tcPr>
          <w:p w:rsidR="0079671A" w:rsidRDefault="004139D4">
            <w:pPr>
              <w:jc w:val="center"/>
            </w:pPr>
            <w:r>
              <w:rPr>
                <w:rFonts w:eastAsiaTheme="minorEastAsia"/>
                <w:color w:val="000000" w:themeColor="text1"/>
                <w:szCs w:val="21"/>
              </w:rPr>
              <w:t>中航电子</w:t>
            </w:r>
          </w:p>
        </w:tc>
        <w:tc>
          <w:tcPr>
            <w:tcW w:w="1276" w:type="dxa"/>
            <w:vAlign w:val="center"/>
          </w:tcPr>
          <w:p w:rsidR="0079671A" w:rsidRDefault="004139D4">
            <w:pPr>
              <w:jc w:val="right"/>
            </w:pPr>
            <w:r>
              <w:rPr>
                <w:rFonts w:eastAsiaTheme="minorEastAsia"/>
                <w:color w:val="000000" w:themeColor="text1"/>
                <w:szCs w:val="21"/>
              </w:rPr>
              <w:t>6,315.00</w:t>
            </w:r>
          </w:p>
        </w:tc>
        <w:tc>
          <w:tcPr>
            <w:tcW w:w="1842" w:type="dxa"/>
            <w:vAlign w:val="center"/>
          </w:tcPr>
          <w:p w:rsidR="0079671A" w:rsidRDefault="004139D4">
            <w:pPr>
              <w:jc w:val="right"/>
            </w:pPr>
            <w:r>
              <w:rPr>
                <w:rFonts w:eastAsiaTheme="minorEastAsia"/>
                <w:color w:val="000000" w:themeColor="text1"/>
                <w:szCs w:val="21"/>
              </w:rPr>
              <w:t>95,861.70</w:t>
            </w:r>
          </w:p>
        </w:tc>
        <w:tc>
          <w:tcPr>
            <w:tcW w:w="1616" w:type="dxa"/>
            <w:vAlign w:val="center"/>
          </w:tcPr>
          <w:p w:rsidR="0079671A" w:rsidRDefault="004139D4">
            <w:pPr>
              <w:jc w:val="right"/>
            </w:pPr>
            <w:r>
              <w:rPr>
                <w:rFonts w:eastAsiaTheme="minorEastAsia"/>
                <w:color w:val="000000" w:themeColor="text1"/>
                <w:szCs w:val="21"/>
              </w:rPr>
              <w:t>0.10</w:t>
            </w:r>
          </w:p>
        </w:tc>
      </w:tr>
      <w:tr w:rsidR="0079671A">
        <w:tc>
          <w:tcPr>
            <w:tcW w:w="817" w:type="dxa"/>
            <w:vAlign w:val="center"/>
          </w:tcPr>
          <w:p w:rsidR="0079671A" w:rsidRDefault="004139D4">
            <w:pPr>
              <w:jc w:val="center"/>
            </w:pPr>
            <w:r>
              <w:rPr>
                <w:rFonts w:eastAsiaTheme="minorEastAsia"/>
                <w:color w:val="000000" w:themeColor="text1"/>
                <w:szCs w:val="21"/>
              </w:rPr>
              <w:t>2</w:t>
            </w:r>
          </w:p>
        </w:tc>
        <w:tc>
          <w:tcPr>
            <w:tcW w:w="1276" w:type="dxa"/>
            <w:vAlign w:val="center"/>
          </w:tcPr>
          <w:p w:rsidR="0079671A" w:rsidRDefault="004139D4">
            <w:pPr>
              <w:jc w:val="center"/>
            </w:pPr>
            <w:r>
              <w:rPr>
                <w:rFonts w:eastAsiaTheme="minorEastAsia"/>
                <w:color w:val="000000" w:themeColor="text1"/>
                <w:szCs w:val="21"/>
              </w:rPr>
              <w:t>301035</w:t>
            </w:r>
          </w:p>
        </w:tc>
        <w:tc>
          <w:tcPr>
            <w:tcW w:w="1701" w:type="dxa"/>
            <w:vAlign w:val="center"/>
          </w:tcPr>
          <w:p w:rsidR="0079671A" w:rsidRDefault="004139D4">
            <w:pPr>
              <w:jc w:val="center"/>
            </w:pPr>
            <w:r>
              <w:rPr>
                <w:rFonts w:eastAsiaTheme="minorEastAsia"/>
                <w:color w:val="000000" w:themeColor="text1"/>
                <w:szCs w:val="21"/>
              </w:rPr>
              <w:t>润丰股份</w:t>
            </w:r>
          </w:p>
        </w:tc>
        <w:tc>
          <w:tcPr>
            <w:tcW w:w="1276" w:type="dxa"/>
            <w:vAlign w:val="center"/>
          </w:tcPr>
          <w:p w:rsidR="0079671A" w:rsidRDefault="004139D4">
            <w:pPr>
              <w:jc w:val="right"/>
            </w:pPr>
            <w:r>
              <w:rPr>
                <w:rFonts w:eastAsiaTheme="minorEastAsia"/>
                <w:color w:val="000000" w:themeColor="text1"/>
                <w:szCs w:val="21"/>
              </w:rPr>
              <w:t>700.00</w:t>
            </w:r>
          </w:p>
        </w:tc>
        <w:tc>
          <w:tcPr>
            <w:tcW w:w="1842" w:type="dxa"/>
            <w:vAlign w:val="center"/>
          </w:tcPr>
          <w:p w:rsidR="0079671A" w:rsidRDefault="004139D4">
            <w:pPr>
              <w:jc w:val="right"/>
            </w:pPr>
            <w:r>
              <w:rPr>
                <w:rFonts w:eastAsiaTheme="minorEastAsia"/>
                <w:color w:val="000000" w:themeColor="text1"/>
                <w:szCs w:val="21"/>
              </w:rPr>
              <w:t>54,999.00</w:t>
            </w:r>
          </w:p>
        </w:tc>
        <w:tc>
          <w:tcPr>
            <w:tcW w:w="1616" w:type="dxa"/>
            <w:vAlign w:val="center"/>
          </w:tcPr>
          <w:p w:rsidR="0079671A" w:rsidRDefault="004139D4">
            <w:pPr>
              <w:jc w:val="right"/>
            </w:pPr>
            <w:r>
              <w:rPr>
                <w:rFonts w:eastAsiaTheme="minorEastAsia"/>
                <w:color w:val="000000" w:themeColor="text1"/>
                <w:szCs w:val="21"/>
              </w:rPr>
              <w:t>0.06</w:t>
            </w:r>
          </w:p>
        </w:tc>
      </w:tr>
      <w:tr w:rsidR="0079671A">
        <w:tc>
          <w:tcPr>
            <w:tcW w:w="817" w:type="dxa"/>
            <w:vAlign w:val="center"/>
          </w:tcPr>
          <w:p w:rsidR="0079671A" w:rsidRDefault="004139D4">
            <w:pPr>
              <w:jc w:val="center"/>
            </w:pPr>
            <w:r>
              <w:rPr>
                <w:rFonts w:eastAsiaTheme="minorEastAsia"/>
                <w:color w:val="000000" w:themeColor="text1"/>
                <w:szCs w:val="21"/>
              </w:rPr>
              <w:t>3</w:t>
            </w:r>
          </w:p>
        </w:tc>
        <w:tc>
          <w:tcPr>
            <w:tcW w:w="1276" w:type="dxa"/>
            <w:vAlign w:val="center"/>
          </w:tcPr>
          <w:p w:rsidR="0079671A" w:rsidRDefault="004139D4">
            <w:pPr>
              <w:jc w:val="center"/>
            </w:pPr>
            <w:r>
              <w:rPr>
                <w:rFonts w:eastAsiaTheme="minorEastAsia"/>
                <w:color w:val="000000" w:themeColor="text1"/>
                <w:szCs w:val="21"/>
              </w:rPr>
              <w:t>603605</w:t>
            </w:r>
          </w:p>
        </w:tc>
        <w:tc>
          <w:tcPr>
            <w:tcW w:w="1701" w:type="dxa"/>
            <w:vAlign w:val="center"/>
          </w:tcPr>
          <w:p w:rsidR="0079671A" w:rsidRDefault="004139D4">
            <w:pPr>
              <w:jc w:val="center"/>
            </w:pPr>
            <w:r>
              <w:rPr>
                <w:rFonts w:eastAsiaTheme="minorEastAsia"/>
                <w:color w:val="000000" w:themeColor="text1"/>
                <w:szCs w:val="21"/>
              </w:rPr>
              <w:t>珀莱雅</w:t>
            </w:r>
          </w:p>
        </w:tc>
        <w:tc>
          <w:tcPr>
            <w:tcW w:w="1276" w:type="dxa"/>
            <w:vAlign w:val="center"/>
          </w:tcPr>
          <w:p w:rsidR="0079671A" w:rsidRDefault="004139D4">
            <w:pPr>
              <w:jc w:val="right"/>
            </w:pPr>
            <w:r>
              <w:rPr>
                <w:rFonts w:eastAsiaTheme="minorEastAsia"/>
                <w:color w:val="000000" w:themeColor="text1"/>
                <w:szCs w:val="21"/>
              </w:rPr>
              <w:t>448.00</w:t>
            </w:r>
          </w:p>
        </w:tc>
        <w:tc>
          <w:tcPr>
            <w:tcW w:w="1842" w:type="dxa"/>
            <w:vAlign w:val="center"/>
          </w:tcPr>
          <w:p w:rsidR="0079671A" w:rsidRDefault="004139D4">
            <w:pPr>
              <w:jc w:val="right"/>
            </w:pPr>
            <w:r>
              <w:rPr>
                <w:rFonts w:eastAsiaTheme="minorEastAsia"/>
                <w:color w:val="000000" w:themeColor="text1"/>
                <w:szCs w:val="21"/>
              </w:rPr>
              <w:t>50,355.20</w:t>
            </w:r>
          </w:p>
        </w:tc>
        <w:tc>
          <w:tcPr>
            <w:tcW w:w="1616" w:type="dxa"/>
            <w:vAlign w:val="center"/>
          </w:tcPr>
          <w:p w:rsidR="0079671A" w:rsidRDefault="004139D4">
            <w:pPr>
              <w:jc w:val="right"/>
            </w:pPr>
            <w:r>
              <w:rPr>
                <w:rFonts w:eastAsiaTheme="minorEastAsia"/>
                <w:color w:val="000000" w:themeColor="text1"/>
                <w:szCs w:val="21"/>
              </w:rPr>
              <w:t>0.05</w:t>
            </w:r>
          </w:p>
        </w:tc>
      </w:tr>
      <w:tr w:rsidR="0079671A">
        <w:tc>
          <w:tcPr>
            <w:tcW w:w="817" w:type="dxa"/>
            <w:vAlign w:val="center"/>
          </w:tcPr>
          <w:p w:rsidR="0079671A" w:rsidRDefault="004139D4">
            <w:pPr>
              <w:jc w:val="center"/>
            </w:pPr>
            <w:r>
              <w:rPr>
                <w:rFonts w:eastAsiaTheme="minorEastAsia"/>
                <w:color w:val="000000" w:themeColor="text1"/>
                <w:szCs w:val="21"/>
              </w:rPr>
              <w:t>4</w:t>
            </w:r>
          </w:p>
        </w:tc>
        <w:tc>
          <w:tcPr>
            <w:tcW w:w="1276" w:type="dxa"/>
            <w:vAlign w:val="center"/>
          </w:tcPr>
          <w:p w:rsidR="0079671A" w:rsidRDefault="004139D4">
            <w:pPr>
              <w:jc w:val="center"/>
            </w:pPr>
            <w:r>
              <w:rPr>
                <w:rFonts w:eastAsiaTheme="minorEastAsia"/>
                <w:color w:val="000000" w:themeColor="text1"/>
                <w:szCs w:val="21"/>
              </w:rPr>
              <w:t>300034</w:t>
            </w:r>
          </w:p>
        </w:tc>
        <w:tc>
          <w:tcPr>
            <w:tcW w:w="1701" w:type="dxa"/>
            <w:vAlign w:val="center"/>
          </w:tcPr>
          <w:p w:rsidR="0079671A" w:rsidRDefault="004139D4">
            <w:pPr>
              <w:jc w:val="center"/>
            </w:pPr>
            <w:r>
              <w:rPr>
                <w:rFonts w:eastAsiaTheme="minorEastAsia"/>
                <w:color w:val="000000" w:themeColor="text1"/>
                <w:szCs w:val="21"/>
              </w:rPr>
              <w:t>钢研高纳</w:t>
            </w:r>
          </w:p>
        </w:tc>
        <w:tc>
          <w:tcPr>
            <w:tcW w:w="1276" w:type="dxa"/>
            <w:vAlign w:val="center"/>
          </w:tcPr>
          <w:p w:rsidR="0079671A" w:rsidRDefault="004139D4">
            <w:pPr>
              <w:jc w:val="right"/>
            </w:pPr>
            <w:r>
              <w:rPr>
                <w:rFonts w:eastAsiaTheme="minorEastAsia"/>
                <w:color w:val="000000" w:themeColor="text1"/>
                <w:szCs w:val="21"/>
              </w:rPr>
              <w:t>1,200.00</w:t>
            </w:r>
          </w:p>
        </w:tc>
        <w:tc>
          <w:tcPr>
            <w:tcW w:w="1842" w:type="dxa"/>
            <w:vAlign w:val="center"/>
          </w:tcPr>
          <w:p w:rsidR="0079671A" w:rsidRDefault="004139D4">
            <w:pPr>
              <w:jc w:val="right"/>
            </w:pPr>
            <w:r>
              <w:rPr>
                <w:rFonts w:eastAsiaTheme="minorEastAsia"/>
                <w:color w:val="000000" w:themeColor="text1"/>
                <w:szCs w:val="21"/>
              </w:rPr>
              <w:t>47,268.00</w:t>
            </w:r>
          </w:p>
        </w:tc>
        <w:tc>
          <w:tcPr>
            <w:tcW w:w="1616" w:type="dxa"/>
            <w:vAlign w:val="center"/>
          </w:tcPr>
          <w:p w:rsidR="0079671A" w:rsidRDefault="004139D4">
            <w:pPr>
              <w:jc w:val="right"/>
            </w:pPr>
            <w:r>
              <w:rPr>
                <w:rFonts w:eastAsiaTheme="minorEastAsia"/>
                <w:color w:val="000000" w:themeColor="text1"/>
                <w:szCs w:val="21"/>
              </w:rPr>
              <w:t>0.05</w:t>
            </w:r>
          </w:p>
        </w:tc>
      </w:tr>
      <w:tr w:rsidR="0079671A">
        <w:tc>
          <w:tcPr>
            <w:tcW w:w="817" w:type="dxa"/>
            <w:vAlign w:val="center"/>
          </w:tcPr>
          <w:p w:rsidR="0079671A" w:rsidRDefault="004139D4">
            <w:pPr>
              <w:jc w:val="center"/>
            </w:pPr>
            <w:r>
              <w:rPr>
                <w:rFonts w:eastAsiaTheme="minorEastAsia"/>
                <w:color w:val="000000" w:themeColor="text1"/>
                <w:szCs w:val="21"/>
              </w:rPr>
              <w:t>5</w:t>
            </w:r>
          </w:p>
        </w:tc>
        <w:tc>
          <w:tcPr>
            <w:tcW w:w="1276" w:type="dxa"/>
            <w:vAlign w:val="center"/>
          </w:tcPr>
          <w:p w:rsidR="0079671A" w:rsidRDefault="004139D4">
            <w:pPr>
              <w:jc w:val="center"/>
            </w:pPr>
            <w:r>
              <w:rPr>
                <w:rFonts w:eastAsiaTheme="minorEastAsia"/>
                <w:color w:val="000000" w:themeColor="text1"/>
                <w:szCs w:val="21"/>
              </w:rPr>
              <w:t>688006</w:t>
            </w:r>
          </w:p>
        </w:tc>
        <w:tc>
          <w:tcPr>
            <w:tcW w:w="1701" w:type="dxa"/>
            <w:vAlign w:val="center"/>
          </w:tcPr>
          <w:p w:rsidR="0079671A" w:rsidRDefault="004139D4">
            <w:pPr>
              <w:jc w:val="center"/>
            </w:pPr>
            <w:r>
              <w:rPr>
                <w:rFonts w:eastAsiaTheme="minorEastAsia"/>
                <w:color w:val="000000" w:themeColor="text1"/>
                <w:szCs w:val="21"/>
              </w:rPr>
              <w:t>杭可科技</w:t>
            </w:r>
          </w:p>
        </w:tc>
        <w:tc>
          <w:tcPr>
            <w:tcW w:w="1276" w:type="dxa"/>
            <w:vAlign w:val="center"/>
          </w:tcPr>
          <w:p w:rsidR="0079671A" w:rsidRDefault="004139D4">
            <w:pPr>
              <w:jc w:val="right"/>
            </w:pPr>
            <w:r>
              <w:rPr>
                <w:rFonts w:eastAsiaTheme="minorEastAsia"/>
                <w:color w:val="000000" w:themeColor="text1"/>
                <w:szCs w:val="21"/>
              </w:rPr>
              <w:t>1,520.00</w:t>
            </w:r>
          </w:p>
        </w:tc>
        <w:tc>
          <w:tcPr>
            <w:tcW w:w="1842" w:type="dxa"/>
            <w:vAlign w:val="center"/>
          </w:tcPr>
          <w:p w:rsidR="0079671A" w:rsidRDefault="004139D4">
            <w:pPr>
              <w:jc w:val="right"/>
            </w:pPr>
            <w:r>
              <w:rPr>
                <w:rFonts w:eastAsiaTheme="minorEastAsia"/>
                <w:color w:val="000000" w:themeColor="text1"/>
                <w:szCs w:val="21"/>
              </w:rPr>
              <w:t>46,314.40</w:t>
            </w:r>
          </w:p>
        </w:tc>
        <w:tc>
          <w:tcPr>
            <w:tcW w:w="1616" w:type="dxa"/>
            <w:vAlign w:val="center"/>
          </w:tcPr>
          <w:p w:rsidR="0079671A" w:rsidRDefault="004139D4">
            <w:pPr>
              <w:jc w:val="right"/>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lastRenderedPageBreak/>
        <w:t xml:space="preserve">5.5 </w:t>
      </w:r>
      <w:r w:rsidRPr="00473486">
        <w:rPr>
          <w:rFonts w:eastAsiaTheme="minorEastAsia"/>
          <w:b/>
          <w:color w:val="000000" w:themeColor="text1"/>
          <w:kern w:val="0"/>
          <w:sz w:val="24"/>
        </w:rPr>
        <w:t>报告期末按公允价值占基金资产净值比例大小排序的前五名债券投资明细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79671A">
        <w:tc>
          <w:tcPr>
            <w:tcW w:w="1422" w:type="dxa"/>
            <w:vAlign w:val="center"/>
          </w:tcPr>
          <w:p w:rsidR="0079671A" w:rsidRDefault="004139D4">
            <w:pPr>
              <w:jc w:val="center"/>
            </w:pPr>
            <w:r>
              <w:rPr>
                <w:rFonts w:eastAsiaTheme="minorEastAsia"/>
                <w:color w:val="000000" w:themeColor="text1"/>
                <w:szCs w:val="21"/>
              </w:rPr>
              <w:t>IF2309</w:t>
            </w:r>
          </w:p>
        </w:tc>
        <w:tc>
          <w:tcPr>
            <w:tcW w:w="1422" w:type="dxa"/>
            <w:vAlign w:val="center"/>
          </w:tcPr>
          <w:p w:rsidR="0079671A" w:rsidRDefault="004139D4">
            <w:pPr>
              <w:jc w:val="left"/>
            </w:pPr>
            <w:r>
              <w:rPr>
                <w:rFonts w:eastAsiaTheme="minorEastAsia"/>
                <w:color w:val="000000" w:themeColor="text1"/>
                <w:szCs w:val="21"/>
              </w:rPr>
              <w:t>IF2309</w:t>
            </w:r>
          </w:p>
        </w:tc>
        <w:tc>
          <w:tcPr>
            <w:tcW w:w="1422" w:type="dxa"/>
            <w:vAlign w:val="center"/>
          </w:tcPr>
          <w:p w:rsidR="0079671A" w:rsidRDefault="004139D4">
            <w:pPr>
              <w:jc w:val="right"/>
            </w:pPr>
            <w:r>
              <w:rPr>
                <w:rFonts w:eastAsiaTheme="minorEastAsia"/>
                <w:color w:val="000000" w:themeColor="text1"/>
                <w:szCs w:val="21"/>
              </w:rPr>
              <w:t>6.00</w:t>
            </w:r>
          </w:p>
        </w:tc>
        <w:tc>
          <w:tcPr>
            <w:tcW w:w="1422" w:type="dxa"/>
            <w:vAlign w:val="center"/>
          </w:tcPr>
          <w:p w:rsidR="0079671A" w:rsidRDefault="004139D4">
            <w:pPr>
              <w:jc w:val="right"/>
            </w:pPr>
            <w:r>
              <w:rPr>
                <w:rFonts w:eastAsiaTheme="minorEastAsia"/>
                <w:color w:val="000000" w:themeColor="text1"/>
                <w:szCs w:val="21"/>
              </w:rPr>
              <w:t>6,910,200.00</w:t>
            </w:r>
          </w:p>
        </w:tc>
        <w:tc>
          <w:tcPr>
            <w:tcW w:w="1423" w:type="dxa"/>
            <w:vAlign w:val="center"/>
          </w:tcPr>
          <w:p w:rsidR="0079671A" w:rsidRDefault="004139D4">
            <w:pPr>
              <w:jc w:val="right"/>
            </w:pPr>
            <w:r>
              <w:rPr>
                <w:rFonts w:eastAsiaTheme="minorEastAsia"/>
                <w:color w:val="000000" w:themeColor="text1"/>
                <w:szCs w:val="21"/>
              </w:rPr>
              <w:t>-436,440.00</w:t>
            </w:r>
          </w:p>
        </w:tc>
        <w:tc>
          <w:tcPr>
            <w:tcW w:w="1416" w:type="dxa"/>
            <w:vAlign w:val="center"/>
          </w:tcPr>
          <w:p w:rsidR="0079671A" w:rsidRDefault="004139D4">
            <w:pPr>
              <w:jc w:val="left"/>
            </w:pPr>
            <w:r>
              <w:rPr>
                <w:rFonts w:eastAsiaTheme="minorEastAsia"/>
                <w:color w:val="000000" w:themeColor="text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-436,440.00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-188.44</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-436,440.00</w:t>
            </w:r>
          </w:p>
        </w:tc>
      </w:tr>
    </w:tbl>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844,067.65</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844,067.65</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87,727,323.00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84,727,323.00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lastRenderedPageBreak/>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79671A">
        <w:tc>
          <w:tcPr>
            <w:tcW w:w="993" w:type="dxa"/>
            <w:vMerge w:val="restart"/>
            <w:vAlign w:val="center"/>
          </w:tcPr>
          <w:p w:rsidR="0079671A" w:rsidRDefault="004139D4">
            <w:r>
              <w:rPr>
                <w:kern w:val="0"/>
                <w:szCs w:val="21"/>
              </w:rPr>
              <w:t>联接基金</w:t>
            </w:r>
          </w:p>
        </w:tc>
        <w:tc>
          <w:tcPr>
            <w:tcW w:w="992" w:type="dxa"/>
            <w:vAlign w:val="center"/>
          </w:tcPr>
          <w:p w:rsidR="0079671A" w:rsidRDefault="004139D4">
            <w:pPr>
              <w:jc w:val="center"/>
            </w:pPr>
            <w:r>
              <w:rPr>
                <w:bCs/>
                <w:color w:val="000000"/>
                <w:kern w:val="0"/>
                <w:szCs w:val="21"/>
              </w:rPr>
              <w:t>1</w:t>
            </w:r>
          </w:p>
        </w:tc>
        <w:tc>
          <w:tcPr>
            <w:tcW w:w="1843" w:type="dxa"/>
            <w:vAlign w:val="center"/>
          </w:tcPr>
          <w:p w:rsidR="0079671A" w:rsidRDefault="004139D4">
            <w:pPr>
              <w:jc w:val="center"/>
            </w:pPr>
            <w:r>
              <w:rPr>
                <w:bCs/>
                <w:color w:val="000000"/>
                <w:kern w:val="0"/>
                <w:szCs w:val="21"/>
              </w:rPr>
              <w:t>20230401-20230630</w:t>
            </w:r>
          </w:p>
        </w:tc>
        <w:tc>
          <w:tcPr>
            <w:tcW w:w="851" w:type="dxa"/>
            <w:vAlign w:val="center"/>
          </w:tcPr>
          <w:p w:rsidR="0079671A" w:rsidRDefault="004139D4">
            <w:pPr>
              <w:jc w:val="center"/>
            </w:pPr>
            <w:r>
              <w:rPr>
                <w:bCs/>
                <w:color w:val="000000"/>
                <w:kern w:val="0"/>
                <w:szCs w:val="21"/>
              </w:rPr>
              <w:t>30,047,900.00</w:t>
            </w:r>
          </w:p>
        </w:tc>
        <w:tc>
          <w:tcPr>
            <w:tcW w:w="850" w:type="dxa"/>
            <w:vAlign w:val="center"/>
          </w:tcPr>
          <w:p w:rsidR="0079671A" w:rsidRDefault="004139D4">
            <w:pPr>
              <w:jc w:val="center"/>
            </w:pPr>
            <w:r>
              <w:rPr>
                <w:bCs/>
                <w:color w:val="000000"/>
                <w:kern w:val="0"/>
                <w:szCs w:val="21"/>
              </w:rPr>
              <w:t>0.00</w:t>
            </w:r>
          </w:p>
        </w:tc>
        <w:tc>
          <w:tcPr>
            <w:tcW w:w="1134" w:type="dxa"/>
            <w:vAlign w:val="center"/>
          </w:tcPr>
          <w:p w:rsidR="0079671A" w:rsidRDefault="004139D4">
            <w:pPr>
              <w:jc w:val="center"/>
            </w:pPr>
            <w:r>
              <w:rPr>
                <w:bCs/>
                <w:color w:val="000000"/>
                <w:kern w:val="0"/>
                <w:szCs w:val="21"/>
              </w:rPr>
              <w:t>450,000.00</w:t>
            </w:r>
          </w:p>
        </w:tc>
        <w:tc>
          <w:tcPr>
            <w:tcW w:w="1419" w:type="dxa"/>
            <w:vAlign w:val="center"/>
          </w:tcPr>
          <w:p w:rsidR="0079671A" w:rsidRDefault="004139D4">
            <w:pPr>
              <w:jc w:val="center"/>
            </w:pPr>
            <w:r>
              <w:rPr>
                <w:bCs/>
                <w:color w:val="000000"/>
                <w:kern w:val="0"/>
                <w:szCs w:val="21"/>
              </w:rPr>
              <w:t>29,597,900.00</w:t>
            </w:r>
          </w:p>
        </w:tc>
        <w:tc>
          <w:tcPr>
            <w:tcW w:w="1130" w:type="dxa"/>
            <w:vAlign w:val="center"/>
          </w:tcPr>
          <w:p w:rsidR="0079671A" w:rsidRDefault="004139D4">
            <w:pPr>
              <w:jc w:val="center"/>
            </w:pPr>
            <w:r>
              <w:rPr>
                <w:bCs/>
                <w:color w:val="000000"/>
                <w:kern w:val="0"/>
                <w:szCs w:val="21"/>
              </w:rPr>
              <w:t>34.93%</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9671A" w:rsidRDefault="004139D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二〇二三年七月二十一日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90" w:rsidRDefault="00321690">
      <w:r>
        <w:separator/>
      </w:r>
    </w:p>
  </w:endnote>
  <w:endnote w:type="continuationSeparator" w:id="0">
    <w:p w:rsidR="00321690" w:rsidRDefault="0032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E0C4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E0C4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E0C44">
      <w:rPr>
        <w:rStyle w:val="af5"/>
        <w:noProof/>
      </w:rPr>
      <w:t>2</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90" w:rsidRDefault="00321690">
      <w:r>
        <w:separator/>
      </w:r>
    </w:p>
  </w:footnote>
  <w:footnote w:type="continuationSeparator" w:id="0">
    <w:p w:rsidR="00321690" w:rsidRDefault="0032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摩根</w:t>
    </w:r>
    <w:r>
      <w:t>MSCI</w:t>
    </w:r>
    <w:r>
      <w:t>中国</w:t>
    </w:r>
    <w:r>
      <w:t>A</w:t>
    </w:r>
    <w:r>
      <w:t>股交易型开放式指数证券投资基金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0C44"/>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39D4"/>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22F2"/>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671A"/>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 w:type="paragraph" w:styleId="afc">
    <w:name w:val="Revision"/>
    <w:hidden/>
    <w:uiPriority w:val="99"/>
    <w:semiHidden/>
    <w:rsid w:val="007022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FE0AD-7859-4C00-8F40-D042D6AE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1258</Words>
  <Characters>7171</Characters>
  <Application>Microsoft Office Word</Application>
  <DocSecurity>0</DocSecurity>
  <Lines>59</Lines>
  <Paragraphs>16</Paragraphs>
  <ScaleCrop>false</ScaleCrop>
  <Company>TRT. Ltd. Co.</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159</cp:revision>
  <cp:lastPrinted>2007-07-19T00:46:00Z</cp:lastPrinted>
  <dcterms:created xsi:type="dcterms:W3CDTF">2012-11-21T04:46:00Z</dcterms:created>
  <dcterms:modified xsi:type="dcterms:W3CDTF">2023-07-20T05:38:00Z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