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A82" w:rsidRPr="00473486" w:rsidRDefault="00881A82">
      <w:pPr>
        <w:autoSpaceDE w:val="0"/>
        <w:autoSpaceDN w:val="0"/>
        <w:adjustRightInd w:val="0"/>
        <w:spacing w:line="360" w:lineRule="auto"/>
        <w:jc w:val="left"/>
        <w:rPr>
          <w:rFonts w:eastAsiaTheme="minorEastAsia" w:hint="eastAsia"/>
          <w:color w:val="000000" w:themeColor="text1"/>
          <w:kern w:val="0"/>
          <w:sz w:val="24"/>
        </w:rPr>
      </w:pPr>
      <w:bookmarkStart w:id="0" w:name="_GoBack"/>
      <w:bookmarkEnd w:id="0"/>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881A82">
      <w:pPr>
        <w:autoSpaceDE w:val="0"/>
        <w:autoSpaceDN w:val="0"/>
        <w:adjustRightInd w:val="0"/>
        <w:spacing w:line="360" w:lineRule="auto"/>
        <w:jc w:val="left"/>
        <w:rPr>
          <w:rFonts w:eastAsiaTheme="minorEastAsia"/>
          <w:color w:val="000000" w:themeColor="text1"/>
          <w:kern w:val="0"/>
          <w:sz w:val="36"/>
          <w:szCs w:val="36"/>
        </w:rPr>
      </w:pPr>
    </w:p>
    <w:p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摩根</w:t>
      </w:r>
      <w:r w:rsidRPr="00473486">
        <w:rPr>
          <w:rFonts w:eastAsiaTheme="minorEastAsia"/>
          <w:b/>
          <w:color w:val="000000" w:themeColor="text1"/>
          <w:sz w:val="36"/>
          <w:szCs w:val="36"/>
        </w:rPr>
        <w:t>MSCI</w:t>
      </w:r>
      <w:r w:rsidRPr="00473486">
        <w:rPr>
          <w:rFonts w:eastAsiaTheme="minorEastAsia"/>
          <w:b/>
          <w:color w:val="000000" w:themeColor="text1"/>
          <w:sz w:val="36"/>
          <w:szCs w:val="36"/>
        </w:rPr>
        <w:t>中国</w:t>
      </w:r>
      <w:r w:rsidRPr="00473486">
        <w:rPr>
          <w:rFonts w:eastAsiaTheme="minorEastAsia"/>
          <w:b/>
          <w:color w:val="000000" w:themeColor="text1"/>
          <w:sz w:val="36"/>
          <w:szCs w:val="36"/>
        </w:rPr>
        <w:t>A</w:t>
      </w:r>
      <w:r w:rsidRPr="00473486">
        <w:rPr>
          <w:rFonts w:eastAsiaTheme="minorEastAsia"/>
          <w:b/>
          <w:color w:val="000000" w:themeColor="text1"/>
          <w:sz w:val="36"/>
          <w:szCs w:val="36"/>
        </w:rPr>
        <w:t>股交易型开放式指数证券投资基金</w:t>
      </w:r>
    </w:p>
    <w:p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2024</w:t>
      </w:r>
      <w:r w:rsidRPr="00473486">
        <w:rPr>
          <w:rFonts w:eastAsiaTheme="minorEastAsia"/>
          <w:b/>
          <w:color w:val="000000" w:themeColor="text1"/>
          <w:sz w:val="36"/>
          <w:szCs w:val="36"/>
        </w:rPr>
        <w:t>年第</w:t>
      </w:r>
      <w:r w:rsidRPr="00473486">
        <w:rPr>
          <w:rFonts w:eastAsiaTheme="minorEastAsia"/>
          <w:b/>
          <w:color w:val="000000" w:themeColor="text1"/>
          <w:sz w:val="36"/>
          <w:szCs w:val="36"/>
        </w:rPr>
        <w:t>1</w:t>
      </w:r>
      <w:r w:rsidRPr="00473486">
        <w:rPr>
          <w:rFonts w:eastAsiaTheme="minorEastAsia"/>
          <w:b/>
          <w:color w:val="000000" w:themeColor="text1"/>
          <w:sz w:val="36"/>
          <w:szCs w:val="36"/>
        </w:rPr>
        <w:t>季度报告</w:t>
      </w:r>
    </w:p>
    <w:p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2024</w:t>
      </w:r>
      <w:r w:rsidRPr="00473486">
        <w:rPr>
          <w:rFonts w:eastAsiaTheme="minorEastAsia"/>
          <w:b/>
          <w:color w:val="000000" w:themeColor="text1"/>
          <w:sz w:val="36"/>
          <w:szCs w:val="36"/>
        </w:rPr>
        <w:t>年</w:t>
      </w:r>
      <w:r w:rsidRPr="00473486">
        <w:rPr>
          <w:rFonts w:eastAsiaTheme="minorEastAsia"/>
          <w:b/>
          <w:color w:val="000000" w:themeColor="text1"/>
          <w:sz w:val="36"/>
          <w:szCs w:val="36"/>
        </w:rPr>
        <w:t>3</w:t>
      </w:r>
      <w:r w:rsidRPr="00473486">
        <w:rPr>
          <w:rFonts w:eastAsiaTheme="minorEastAsia"/>
          <w:b/>
          <w:color w:val="000000" w:themeColor="text1"/>
          <w:sz w:val="36"/>
          <w:szCs w:val="36"/>
        </w:rPr>
        <w:t>月</w:t>
      </w:r>
      <w:r w:rsidRPr="00473486">
        <w:rPr>
          <w:rFonts w:eastAsiaTheme="minorEastAsia"/>
          <w:b/>
          <w:color w:val="000000" w:themeColor="text1"/>
          <w:sz w:val="36"/>
          <w:szCs w:val="36"/>
        </w:rPr>
        <w:t>31</w:t>
      </w:r>
      <w:r w:rsidRPr="00473486">
        <w:rPr>
          <w:rFonts w:eastAsiaTheme="minorEastAsia"/>
          <w:b/>
          <w:color w:val="000000" w:themeColor="text1"/>
          <w:sz w:val="36"/>
          <w:szCs w:val="36"/>
        </w:rPr>
        <w:t>日</w:t>
      </w: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rPr>
          <w:rFonts w:eastAsiaTheme="minorEastAsia"/>
          <w:b/>
          <w:color w:val="000000" w:themeColor="text1"/>
          <w:sz w:val="24"/>
        </w:rPr>
      </w:pPr>
    </w:p>
    <w:p w:rsidR="00881A82" w:rsidRPr="00473486" w:rsidRDefault="007D1E3A">
      <w:pPr>
        <w:spacing w:line="360" w:lineRule="auto"/>
        <w:ind w:firstLineChars="900" w:firstLine="2168"/>
        <w:rPr>
          <w:rFonts w:eastAsiaTheme="minorEastAsia"/>
          <w:b/>
          <w:color w:val="000000" w:themeColor="text1"/>
          <w:sz w:val="24"/>
        </w:rPr>
      </w:pPr>
      <w:r w:rsidRPr="00473486">
        <w:rPr>
          <w:rFonts w:eastAsiaTheme="minorEastAsia"/>
          <w:b/>
          <w:color w:val="000000" w:themeColor="text1"/>
          <w:sz w:val="24"/>
        </w:rPr>
        <w:t>基金管理人：摩根基金管理（中国）有限公司</w:t>
      </w:r>
    </w:p>
    <w:p w:rsidR="00881A82" w:rsidRPr="00473486" w:rsidRDefault="007D1E3A">
      <w:pPr>
        <w:spacing w:line="360" w:lineRule="auto"/>
        <w:ind w:firstLineChars="900" w:firstLine="2168"/>
        <w:rPr>
          <w:rFonts w:eastAsiaTheme="minorEastAsia"/>
          <w:b/>
          <w:color w:val="000000" w:themeColor="text1"/>
          <w:sz w:val="24"/>
        </w:rPr>
      </w:pPr>
      <w:r w:rsidRPr="00473486">
        <w:rPr>
          <w:rFonts w:eastAsiaTheme="minorEastAsia"/>
          <w:b/>
          <w:color w:val="000000" w:themeColor="text1"/>
          <w:sz w:val="24"/>
        </w:rPr>
        <w:t>基金托管人：平安银行股份有限公司</w:t>
      </w:r>
    </w:p>
    <w:p w:rsidR="00881A82" w:rsidRPr="00473486" w:rsidRDefault="007D1E3A">
      <w:pPr>
        <w:spacing w:line="360" w:lineRule="auto"/>
        <w:ind w:firstLineChars="900" w:firstLine="2168"/>
        <w:rPr>
          <w:rFonts w:eastAsiaTheme="minorEastAsia"/>
          <w:b/>
          <w:color w:val="000000" w:themeColor="text1"/>
          <w:sz w:val="24"/>
        </w:rPr>
        <w:sectPr w:rsidR="00881A82" w:rsidRPr="00473486">
          <w:headerReference w:type="default" r:id="rId7"/>
          <w:footerReference w:type="default" r:id="rId8"/>
          <w:pgSz w:w="11926" w:h="15840"/>
          <w:pgMar w:top="1418" w:right="1418" w:bottom="851" w:left="1418" w:header="851" w:footer="992" w:gutter="0"/>
          <w:cols w:space="720"/>
        </w:sectPr>
      </w:pPr>
      <w:r w:rsidRPr="00473486">
        <w:rPr>
          <w:rFonts w:eastAsiaTheme="minorEastAsia"/>
          <w:b/>
          <w:color w:val="000000" w:themeColor="text1"/>
          <w:sz w:val="24"/>
        </w:rPr>
        <w:t>报告送出日期：二〇二四年四月二十二日</w:t>
      </w:r>
    </w:p>
    <w:p w:rsidR="00881A82" w:rsidRPr="00473486" w:rsidRDefault="007D1E3A">
      <w:pPr>
        <w:pStyle w:val="1"/>
        <w:spacing w:beforeLines="100" w:before="312" w:afterLines="100" w:after="312" w:line="360" w:lineRule="auto"/>
        <w:jc w:val="center"/>
        <w:rPr>
          <w:rFonts w:eastAsiaTheme="minorEastAsia"/>
          <w:b w:val="0"/>
          <w:color w:val="000000" w:themeColor="text1"/>
          <w:kern w:val="0"/>
          <w:sz w:val="24"/>
          <w:szCs w:val="24"/>
        </w:rPr>
      </w:pPr>
      <w:r w:rsidRPr="00473486">
        <w:rPr>
          <w:rFonts w:eastAsiaTheme="minorEastAsia"/>
          <w:color w:val="000000" w:themeColor="text1"/>
          <w:kern w:val="0"/>
          <w:sz w:val="24"/>
          <w:szCs w:val="24"/>
        </w:rPr>
        <w:lastRenderedPageBreak/>
        <w:t xml:space="preserve">§1  </w:t>
      </w:r>
      <w:r w:rsidRPr="00473486">
        <w:rPr>
          <w:rFonts w:eastAsiaTheme="minorEastAsia"/>
          <w:color w:val="000000" w:themeColor="text1"/>
          <w:kern w:val="0"/>
          <w:sz w:val="24"/>
          <w:szCs w:val="24"/>
        </w:rPr>
        <w:t>重要提示</w:t>
      </w:r>
    </w:p>
    <w:p w:rsidR="00C341FE" w:rsidRDefault="00612AD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C341FE" w:rsidRDefault="00612AD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基金托管人平安银行股份有限公司根据本基金合同规定，于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C341FE" w:rsidRDefault="00612AD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C341FE" w:rsidRDefault="00612AD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C341FE" w:rsidRDefault="00612AD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本报告期自</w:t>
      </w:r>
      <w:r w:rsidRPr="00473486">
        <w:rPr>
          <w:rFonts w:eastAsiaTheme="minorEastAsia"/>
          <w:color w:val="000000" w:themeColor="text1"/>
          <w:szCs w:val="21"/>
        </w:rPr>
        <w:t>2024</w:t>
      </w:r>
      <w:r w:rsidRPr="00473486">
        <w:rPr>
          <w:rFonts w:eastAsiaTheme="minorEastAsia"/>
          <w:color w:val="000000" w:themeColor="text1"/>
          <w:szCs w:val="21"/>
        </w:rPr>
        <w:t>年</w:t>
      </w:r>
      <w:r w:rsidRPr="00473486">
        <w:rPr>
          <w:rFonts w:eastAsiaTheme="minorEastAsia"/>
          <w:color w:val="000000" w:themeColor="text1"/>
          <w:szCs w:val="21"/>
        </w:rPr>
        <w:t>1</w:t>
      </w:r>
      <w:r w:rsidRPr="00473486">
        <w:rPr>
          <w:rFonts w:eastAsiaTheme="minorEastAsia"/>
          <w:color w:val="000000" w:themeColor="text1"/>
          <w:szCs w:val="21"/>
        </w:rPr>
        <w:t>月</w:t>
      </w:r>
      <w:r w:rsidRPr="00473486">
        <w:rPr>
          <w:rFonts w:eastAsiaTheme="minorEastAsia"/>
          <w:color w:val="000000" w:themeColor="text1"/>
          <w:szCs w:val="21"/>
        </w:rPr>
        <w:t>1</w:t>
      </w:r>
      <w:r w:rsidRPr="00473486">
        <w:rPr>
          <w:rFonts w:eastAsiaTheme="minorEastAsia"/>
          <w:color w:val="000000" w:themeColor="text1"/>
          <w:szCs w:val="21"/>
        </w:rPr>
        <w:t>日起至</w:t>
      </w:r>
      <w:r w:rsidRPr="00473486">
        <w:rPr>
          <w:rFonts w:eastAsiaTheme="minorEastAsia"/>
          <w:color w:val="000000" w:themeColor="text1"/>
          <w:szCs w:val="21"/>
        </w:rPr>
        <w:t>3</w:t>
      </w:r>
      <w:r w:rsidRPr="00473486">
        <w:rPr>
          <w:rFonts w:eastAsiaTheme="minorEastAsia"/>
          <w:color w:val="000000" w:themeColor="text1"/>
          <w:szCs w:val="21"/>
        </w:rPr>
        <w:t>月</w:t>
      </w:r>
      <w:r w:rsidRPr="00473486">
        <w:rPr>
          <w:rFonts w:eastAsiaTheme="minorEastAsia"/>
          <w:color w:val="000000" w:themeColor="text1"/>
          <w:szCs w:val="21"/>
        </w:rPr>
        <w:t>31</w:t>
      </w:r>
      <w:r w:rsidRPr="00473486">
        <w:rPr>
          <w:rFonts w:eastAsiaTheme="minorEastAsia"/>
          <w:color w:val="000000" w:themeColor="text1"/>
          <w:szCs w:val="21"/>
        </w:rPr>
        <w:t>日止。</w:t>
      </w: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§2  </w:t>
      </w:r>
      <w:r w:rsidRPr="00473486">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基金简称</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摩根</w:t>
            </w:r>
            <w:r w:rsidRPr="00473486">
              <w:rPr>
                <w:rFonts w:eastAsiaTheme="minorEastAsia"/>
                <w:color w:val="000000" w:themeColor="text1"/>
                <w:kern w:val="0"/>
                <w:szCs w:val="21"/>
              </w:rPr>
              <w:t>MSCI</w:t>
            </w:r>
            <w:r w:rsidRPr="00473486">
              <w:rPr>
                <w:rFonts w:eastAsiaTheme="minorEastAsia"/>
                <w:color w:val="000000" w:themeColor="text1"/>
                <w:kern w:val="0"/>
                <w:szCs w:val="21"/>
              </w:rPr>
              <w:t>中国</w:t>
            </w:r>
            <w:r w:rsidRPr="00473486">
              <w:rPr>
                <w:rFonts w:eastAsiaTheme="minorEastAsia"/>
                <w:color w:val="000000" w:themeColor="text1"/>
                <w:kern w:val="0"/>
                <w:szCs w:val="21"/>
              </w:rPr>
              <w:t>A</w:t>
            </w:r>
            <w:r w:rsidRPr="00473486">
              <w:rPr>
                <w:rFonts w:eastAsiaTheme="minorEastAsia"/>
                <w:color w:val="000000" w:themeColor="text1"/>
                <w:kern w:val="0"/>
                <w:szCs w:val="21"/>
              </w:rPr>
              <w:t>股</w:t>
            </w:r>
            <w:r w:rsidRPr="00473486">
              <w:rPr>
                <w:rFonts w:eastAsiaTheme="minorEastAsia"/>
                <w:color w:val="000000" w:themeColor="text1"/>
                <w:kern w:val="0"/>
                <w:szCs w:val="21"/>
              </w:rPr>
              <w:t>ETF</w:t>
            </w:r>
          </w:p>
        </w:tc>
      </w:tr>
      <w:tr w:rsidR="00881A82" w:rsidRPr="00473486">
        <w:tc>
          <w:tcPr>
            <w:tcW w:w="2835" w:type="dxa"/>
            <w:tcBorders>
              <w:top w:val="single" w:sz="4" w:space="0" w:color="auto"/>
              <w:left w:val="single" w:sz="4" w:space="0" w:color="auto"/>
              <w:bottom w:val="single" w:sz="4" w:space="0" w:color="auto"/>
              <w:right w:val="single" w:sz="4" w:space="0" w:color="auto"/>
            </w:tcBorders>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515770</w:t>
            </w:r>
          </w:p>
        </w:tc>
      </w:tr>
      <w:tr w:rsidR="00881A82" w:rsidRPr="00473486">
        <w:tc>
          <w:tcPr>
            <w:tcW w:w="2835" w:type="dxa"/>
            <w:tcBorders>
              <w:top w:val="single" w:sz="4" w:space="0" w:color="auto"/>
              <w:left w:val="single" w:sz="4" w:space="0" w:color="auto"/>
              <w:bottom w:val="single" w:sz="4" w:space="0" w:color="auto"/>
              <w:right w:val="single" w:sz="4" w:space="0" w:color="auto"/>
            </w:tcBorders>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515770</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基金运作方式</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交易型开放式</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基金合同生效日</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2020</w:t>
            </w:r>
            <w:r w:rsidRPr="00473486">
              <w:rPr>
                <w:rFonts w:eastAsiaTheme="minorEastAsia"/>
                <w:color w:val="000000" w:themeColor="text1"/>
                <w:kern w:val="0"/>
                <w:szCs w:val="21"/>
              </w:rPr>
              <w:t>年</w:t>
            </w:r>
            <w:r w:rsidRPr="00473486">
              <w:rPr>
                <w:rFonts w:eastAsiaTheme="minorEastAsia"/>
                <w:color w:val="000000" w:themeColor="text1"/>
                <w:kern w:val="0"/>
                <w:szCs w:val="21"/>
              </w:rPr>
              <w:t>5</w:t>
            </w:r>
            <w:r w:rsidRPr="00473486">
              <w:rPr>
                <w:rFonts w:eastAsiaTheme="minorEastAsia"/>
                <w:color w:val="000000" w:themeColor="text1"/>
                <w:kern w:val="0"/>
                <w:szCs w:val="21"/>
              </w:rPr>
              <w:t>月</w:t>
            </w:r>
            <w:r w:rsidRPr="00473486">
              <w:rPr>
                <w:rFonts w:eastAsiaTheme="minorEastAsia"/>
                <w:color w:val="000000" w:themeColor="text1"/>
                <w:kern w:val="0"/>
                <w:szCs w:val="21"/>
              </w:rPr>
              <w:t>13</w:t>
            </w:r>
            <w:r w:rsidRPr="00473486">
              <w:rPr>
                <w:rFonts w:eastAsiaTheme="minorEastAsia"/>
                <w:color w:val="000000" w:themeColor="text1"/>
                <w:kern w:val="0"/>
                <w:szCs w:val="21"/>
              </w:rPr>
              <w:t>日</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报告期末基金份额总额</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72,727,323.00</w:t>
            </w:r>
            <w:r w:rsidRPr="00473486">
              <w:rPr>
                <w:rFonts w:eastAsiaTheme="minorEastAsia"/>
                <w:color w:val="000000" w:themeColor="text1"/>
                <w:kern w:val="0"/>
                <w:szCs w:val="21"/>
              </w:rPr>
              <w:t>份</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投资目标</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本基金进行被动式指数化投资，紧密跟踪标的指数，追求跟踪偏离度和跟踪误差最小化。</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投资策略</w:t>
            </w:r>
          </w:p>
        </w:tc>
        <w:tc>
          <w:tcPr>
            <w:tcW w:w="5479" w:type="dxa"/>
            <w:vAlign w:val="center"/>
          </w:tcPr>
          <w:p w:rsidR="00C341FE" w:rsidRDefault="00612AD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采用完全复制法，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相对业绩比较基准的跟踪误差最小</w:t>
            </w:r>
            <w:r>
              <w:rPr>
                <w:rFonts w:eastAsiaTheme="minorEastAsia"/>
                <w:color w:val="000000" w:themeColor="text1"/>
                <w:kern w:val="0"/>
                <w:szCs w:val="21"/>
              </w:rPr>
              <w:lastRenderedPageBreak/>
              <w:t>化。</w:t>
            </w:r>
          </w:p>
          <w:p w:rsidR="00C341FE" w:rsidRDefault="00612AD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C341FE" w:rsidRDefault="00612AD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为了实现追踪误差最小化，本基金投资于标的指数的成份股及其备选成份股的比例不低于基金资产净值的</w:t>
            </w:r>
            <w:r>
              <w:rPr>
                <w:rFonts w:eastAsiaTheme="minorEastAsia"/>
                <w:color w:val="000000" w:themeColor="text1"/>
                <w:kern w:val="0"/>
                <w:szCs w:val="21"/>
              </w:rPr>
              <w:t>90%</w:t>
            </w:r>
            <w:r>
              <w:rPr>
                <w:rFonts w:eastAsiaTheme="minorEastAsia"/>
                <w:color w:val="000000" w:themeColor="text1"/>
                <w:kern w:val="0"/>
                <w:szCs w:val="21"/>
              </w:rPr>
              <w:t>，且不低于非现金基金资产</w:t>
            </w:r>
            <w:r>
              <w:rPr>
                <w:rFonts w:eastAsiaTheme="minorEastAsia"/>
                <w:color w:val="000000" w:themeColor="text1"/>
                <w:kern w:val="0"/>
                <w:szCs w:val="21"/>
              </w:rPr>
              <w:t>80%</w:t>
            </w:r>
            <w:r>
              <w:rPr>
                <w:rFonts w:eastAsiaTheme="minorEastAsia"/>
                <w:color w:val="000000" w:themeColor="text1"/>
                <w:kern w:val="0"/>
                <w:szCs w:val="21"/>
              </w:rPr>
              <w:t>。</w:t>
            </w:r>
          </w:p>
          <w:p w:rsidR="00C341FE" w:rsidRDefault="00612AD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C341FE" w:rsidRDefault="00612AD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）投资组合构建</w:t>
            </w:r>
          </w:p>
          <w:p w:rsidR="00C341FE" w:rsidRDefault="00612AD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采用完全复制法构建股票资产组合，对于因法规限制、流动性限制而无法交易的成份股，将采用与被限制股预期收益率相近的股票或股票组合进行相应的替代。本基金根据成份股构成及其权重的变动进行动态调整。</w:t>
            </w:r>
          </w:p>
          <w:p w:rsidR="00C341FE" w:rsidRDefault="00612AD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）投资组合调整</w:t>
            </w:r>
          </w:p>
          <w:p w:rsidR="00C341FE" w:rsidRDefault="00612AD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）定期调整</w:t>
            </w:r>
          </w:p>
          <w:p w:rsidR="00C341FE" w:rsidRDefault="00612AD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本基金所构建的投资组合将定期根据标的指数成份股的调整进行相应的跟踪调整。若成份股的集中调整短期内会对跟踪误差产生较大影响，将采用逐步调整的方式。</w:t>
            </w:r>
          </w:p>
          <w:p w:rsidR="00C341FE" w:rsidRDefault="00612AD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）不定期调整</w:t>
            </w:r>
          </w:p>
          <w:p w:rsidR="00C341FE" w:rsidRDefault="00612AD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①</w:t>
            </w:r>
            <w:r>
              <w:rPr>
                <w:rFonts w:eastAsiaTheme="minorEastAsia"/>
                <w:color w:val="000000" w:themeColor="text1"/>
                <w:kern w:val="0"/>
                <w:szCs w:val="21"/>
              </w:rPr>
              <w:t>根据指数编制规则，当标的指数成份股因增发、送配等股权变动而需进行成份股权重调整时，本基金将根据标的指数权重比例的变化，进行相应调整。</w:t>
            </w:r>
          </w:p>
          <w:p w:rsidR="00C341FE" w:rsidRDefault="00612AD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②</w:t>
            </w:r>
            <w:r>
              <w:rPr>
                <w:rFonts w:eastAsiaTheme="minorEastAsia"/>
                <w:color w:val="000000" w:themeColor="text1"/>
                <w:kern w:val="0"/>
                <w:szCs w:val="21"/>
              </w:rPr>
              <w:t>当标的指数成份股因停牌、流动性不足等因素导致基金无法按照指数权重进行配置，基金管理人将选择相关股票进行适当的替代。</w:t>
            </w:r>
          </w:p>
          <w:p w:rsidR="00C341FE" w:rsidRDefault="00612AD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③</w:t>
            </w:r>
            <w:r>
              <w:rPr>
                <w:rFonts w:eastAsiaTheme="minorEastAsia"/>
                <w:color w:val="000000" w:themeColor="text1"/>
                <w:kern w:val="0"/>
                <w:szCs w:val="21"/>
              </w:rPr>
              <w:t>本基金将根据申购和赎回情况对股票投资组合进行调整，保证基金正常运行。</w:t>
            </w:r>
          </w:p>
          <w:p w:rsidR="00C341FE" w:rsidRDefault="00612AD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本基金力争日均跟踪偏离度的绝对值不超过</w:t>
            </w:r>
            <w:r>
              <w:rPr>
                <w:rFonts w:eastAsiaTheme="minorEastAsia"/>
                <w:color w:val="000000" w:themeColor="text1"/>
                <w:kern w:val="0"/>
                <w:szCs w:val="21"/>
              </w:rPr>
              <w:t>0.2%</w:t>
            </w:r>
            <w:r>
              <w:rPr>
                <w:rFonts w:eastAsiaTheme="minorEastAsia"/>
                <w:color w:val="000000" w:themeColor="text1"/>
                <w:kern w:val="0"/>
                <w:szCs w:val="21"/>
              </w:rPr>
              <w:t>，年跟踪误差不超过</w:t>
            </w:r>
            <w:r>
              <w:rPr>
                <w:rFonts w:eastAsiaTheme="minorEastAsia"/>
                <w:color w:val="000000" w:themeColor="text1"/>
                <w:kern w:val="0"/>
                <w:szCs w:val="21"/>
              </w:rPr>
              <w:t>2%</w:t>
            </w:r>
            <w:r>
              <w:rPr>
                <w:rFonts w:eastAsiaTheme="minorEastAsia"/>
                <w:color w:val="000000" w:themeColor="text1"/>
                <w:kern w:val="0"/>
                <w:szCs w:val="21"/>
              </w:rPr>
              <w:t>。如因标的指数编制规则调整等其他原因，导致基金跟踪偏离度和跟踪误差超过上述范围，基金管理</w:t>
            </w:r>
            <w:r>
              <w:rPr>
                <w:rFonts w:eastAsiaTheme="minorEastAsia"/>
                <w:color w:val="000000" w:themeColor="text1"/>
                <w:kern w:val="0"/>
                <w:szCs w:val="21"/>
              </w:rPr>
              <w:lastRenderedPageBreak/>
              <w:t>人应采取合理措施，避免跟踪偏离度和跟踪误差的进一步扩大。</w:t>
            </w:r>
          </w:p>
          <w:p w:rsidR="00C341FE" w:rsidRDefault="00612AD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、金融衍生品投资策略</w:t>
            </w:r>
          </w:p>
          <w:p w:rsidR="00C341FE" w:rsidRDefault="00612AD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本基金将根据风险管理的原则，主要选择流动性好、交易活跃的衍生品合约，力争利用金融衍生品提高投资效率，降低交易成本和跟踪误差。</w:t>
            </w:r>
          </w:p>
          <w:p w:rsidR="00C341FE" w:rsidRDefault="00612AD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、债券投资策略</w:t>
            </w:r>
          </w:p>
          <w:p w:rsidR="00C341FE" w:rsidRDefault="00612AD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在保证基金资产流动性的基础上，使基金资产得到更加合理有效的利用，从而提高投资组合收益。</w:t>
            </w:r>
          </w:p>
          <w:p w:rsidR="00C341FE" w:rsidRDefault="00612AD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、资产支持证券投资策略：综合考虑市场利率、发行条款、支持资产的构成及质量等因素，在严格控制风险的情况下，确定资产合理配置比例。</w:t>
            </w:r>
          </w:p>
          <w:p w:rsidR="00C341FE" w:rsidRDefault="00612AD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6</w:t>
            </w:r>
            <w:r>
              <w:rPr>
                <w:rFonts w:eastAsiaTheme="minorEastAsia"/>
                <w:color w:val="000000" w:themeColor="text1"/>
                <w:kern w:val="0"/>
                <w:szCs w:val="21"/>
              </w:rPr>
              <w:t>、融资及转融通证券出借策略</w:t>
            </w:r>
          </w:p>
          <w:p w:rsidR="00C341FE" w:rsidRDefault="00612AD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参与融资业务，将综合考虑融资成本、保证金比例、冲抵保证金证券折算率、信用资质等条件，选择合适的交易对手方。同时，在保障投资组合流动性以及控制融资杠杆风险的前提下，确定融资比例。转融通证券出借策略按照分散化投资原则，分批、分期进行交易。</w:t>
            </w:r>
          </w:p>
          <w:p w:rsidR="00C341FE" w:rsidRDefault="00612AD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7</w:t>
            </w:r>
            <w:r>
              <w:rPr>
                <w:rFonts w:eastAsiaTheme="minorEastAsia"/>
                <w:color w:val="000000" w:themeColor="text1"/>
                <w:kern w:val="0"/>
                <w:szCs w:val="21"/>
              </w:rPr>
              <w:t>、存托凭证投资策略</w:t>
            </w:r>
          </w:p>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本基金将根据本基金的投资目标和股票投资策略，基于对基础证券投资价值的深入研究判断，进行存托凭证的投资。</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lastRenderedPageBreak/>
              <w:t>业绩比较基准</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本基金的业绩比较基准为标的指数，即</w:t>
            </w:r>
            <w:r w:rsidRPr="00473486">
              <w:rPr>
                <w:rFonts w:eastAsiaTheme="minorEastAsia"/>
                <w:color w:val="000000" w:themeColor="text1"/>
                <w:kern w:val="0"/>
                <w:szCs w:val="21"/>
              </w:rPr>
              <w:t>MSCI</w:t>
            </w:r>
            <w:r w:rsidRPr="00473486">
              <w:rPr>
                <w:rFonts w:eastAsiaTheme="minorEastAsia"/>
                <w:color w:val="000000" w:themeColor="text1"/>
                <w:kern w:val="0"/>
                <w:szCs w:val="21"/>
              </w:rPr>
              <w:t>中国</w:t>
            </w:r>
            <w:r w:rsidRPr="00473486">
              <w:rPr>
                <w:rFonts w:eastAsiaTheme="minorEastAsia"/>
                <w:color w:val="000000" w:themeColor="text1"/>
                <w:kern w:val="0"/>
                <w:szCs w:val="21"/>
              </w:rPr>
              <w:t>A</w:t>
            </w:r>
            <w:r w:rsidRPr="00473486">
              <w:rPr>
                <w:rFonts w:eastAsiaTheme="minorEastAsia"/>
                <w:color w:val="000000" w:themeColor="text1"/>
                <w:kern w:val="0"/>
                <w:szCs w:val="21"/>
              </w:rPr>
              <w:t>股人民币指数收益率。</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风险收益特征</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本基金为股票型指数基金，其预期风险和预期收益高于货币市场基金、债券型基金和混合型基金。本基金主要投资于标的指数成份股及备选成份股，具有与标的指数相似的风险收益特征。</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lastRenderedPageBreak/>
              <w:t>基金管理人</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摩根基金管理（中国）有限公司</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基金托管人</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平安银行股份有限公司</w:t>
            </w:r>
          </w:p>
        </w:tc>
      </w:tr>
    </w:tbl>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§3  </w:t>
      </w:r>
      <w:r w:rsidRPr="00473486">
        <w:rPr>
          <w:rFonts w:eastAsiaTheme="minorEastAsia"/>
          <w:color w:val="000000" w:themeColor="text1"/>
          <w:kern w:val="0"/>
          <w:sz w:val="24"/>
          <w:szCs w:val="24"/>
        </w:rPr>
        <w:t>主要财务指标和基金净值表现</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3.1 </w:t>
      </w:r>
      <w:r w:rsidRPr="00473486">
        <w:rPr>
          <w:rFonts w:eastAsiaTheme="minorEastAsia"/>
          <w:b/>
          <w:color w:val="000000" w:themeColor="text1"/>
          <w:kern w:val="0"/>
          <w:sz w:val="24"/>
        </w:rPr>
        <w:t>主要财务指标</w:t>
      </w:r>
    </w:p>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612AD1" w:rsidRPr="00473486" w:rsidTr="00612AD1">
        <w:tc>
          <w:tcPr>
            <w:tcW w:w="3402" w:type="dxa"/>
            <w:vAlign w:val="center"/>
          </w:tcPr>
          <w:p w:rsidR="00881A82" w:rsidRPr="00473486" w:rsidRDefault="007D1E3A">
            <w:pPr>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主要财务指标</w:t>
            </w:r>
          </w:p>
        </w:tc>
        <w:tc>
          <w:tcPr>
            <w:tcW w:w="4962" w:type="dxa"/>
            <w:vAlign w:val="center"/>
          </w:tcPr>
          <w:p w:rsidR="00881A82" w:rsidRPr="00473486" w:rsidRDefault="007D1E3A">
            <w:pPr>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报告期</w:t>
            </w:r>
          </w:p>
          <w:p w:rsidR="00881A82" w:rsidRPr="00473486" w:rsidRDefault="007D1E3A">
            <w:pPr>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(2024</w:t>
            </w:r>
            <w:r w:rsidRPr="00473486">
              <w:rPr>
                <w:rFonts w:eastAsiaTheme="minorEastAsia"/>
                <w:color w:val="000000" w:themeColor="text1"/>
                <w:szCs w:val="21"/>
              </w:rPr>
              <w:t>年</w:t>
            </w:r>
            <w:r w:rsidRPr="00473486">
              <w:rPr>
                <w:rFonts w:eastAsiaTheme="minorEastAsia"/>
                <w:color w:val="000000" w:themeColor="text1"/>
                <w:szCs w:val="21"/>
              </w:rPr>
              <w:t>1</w:t>
            </w:r>
            <w:r w:rsidRPr="00473486">
              <w:rPr>
                <w:rFonts w:eastAsiaTheme="minorEastAsia"/>
                <w:color w:val="000000" w:themeColor="text1"/>
                <w:szCs w:val="21"/>
              </w:rPr>
              <w:t>月</w:t>
            </w:r>
            <w:r w:rsidRPr="00473486">
              <w:rPr>
                <w:rFonts w:eastAsiaTheme="minorEastAsia"/>
                <w:color w:val="000000" w:themeColor="text1"/>
                <w:szCs w:val="21"/>
              </w:rPr>
              <w:t>1</w:t>
            </w:r>
            <w:r w:rsidRPr="00473486">
              <w:rPr>
                <w:rFonts w:eastAsiaTheme="minorEastAsia"/>
                <w:color w:val="000000" w:themeColor="text1"/>
                <w:szCs w:val="21"/>
              </w:rPr>
              <w:t>日</w:t>
            </w:r>
            <w:r w:rsidRPr="00473486">
              <w:rPr>
                <w:rFonts w:eastAsiaTheme="minorEastAsia"/>
                <w:color w:val="000000" w:themeColor="text1"/>
                <w:szCs w:val="21"/>
              </w:rPr>
              <w:t>-2024</w:t>
            </w:r>
            <w:r w:rsidRPr="00473486">
              <w:rPr>
                <w:rFonts w:eastAsiaTheme="minorEastAsia"/>
                <w:color w:val="000000" w:themeColor="text1"/>
                <w:szCs w:val="21"/>
              </w:rPr>
              <w:t>年</w:t>
            </w:r>
            <w:r w:rsidRPr="00473486">
              <w:rPr>
                <w:rFonts w:eastAsiaTheme="minorEastAsia"/>
                <w:color w:val="000000" w:themeColor="text1"/>
                <w:szCs w:val="21"/>
              </w:rPr>
              <w:t>3</w:t>
            </w:r>
            <w:r w:rsidRPr="00473486">
              <w:rPr>
                <w:rFonts w:eastAsiaTheme="minorEastAsia"/>
                <w:color w:val="000000" w:themeColor="text1"/>
                <w:szCs w:val="21"/>
              </w:rPr>
              <w:t>月</w:t>
            </w:r>
            <w:r w:rsidRPr="00473486">
              <w:rPr>
                <w:rFonts w:eastAsiaTheme="minorEastAsia"/>
                <w:color w:val="000000" w:themeColor="text1"/>
                <w:szCs w:val="21"/>
              </w:rPr>
              <w:t>31</w:t>
            </w:r>
            <w:r w:rsidRPr="00473486">
              <w:rPr>
                <w:rFonts w:eastAsiaTheme="minorEastAsia"/>
                <w:color w:val="000000" w:themeColor="text1"/>
                <w:szCs w:val="21"/>
              </w:rPr>
              <w:t>日</w:t>
            </w:r>
            <w:r w:rsidRPr="00473486">
              <w:rPr>
                <w:rFonts w:eastAsiaTheme="minorEastAsia"/>
                <w:color w:val="000000" w:themeColor="text1"/>
                <w:szCs w:val="21"/>
              </w:rPr>
              <w:t>)</w:t>
            </w:r>
          </w:p>
        </w:tc>
      </w:tr>
      <w:tr w:rsidR="00612AD1" w:rsidRPr="00473486" w:rsidTr="00612AD1">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1.</w:t>
            </w:r>
            <w:r w:rsidRPr="00473486">
              <w:rPr>
                <w:rFonts w:eastAsiaTheme="minorEastAsia"/>
                <w:color w:val="000000" w:themeColor="text1"/>
                <w:kern w:val="0"/>
                <w:szCs w:val="21"/>
              </w:rPr>
              <w:t>本期已实现收益</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-1,703,186.62</w:t>
            </w:r>
          </w:p>
        </w:tc>
      </w:tr>
      <w:tr w:rsidR="00612AD1" w:rsidRPr="00473486" w:rsidTr="00612AD1">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2.</w:t>
            </w:r>
            <w:r w:rsidRPr="00473486">
              <w:rPr>
                <w:rFonts w:eastAsiaTheme="minorEastAsia"/>
                <w:color w:val="000000" w:themeColor="text1"/>
                <w:kern w:val="0"/>
                <w:szCs w:val="21"/>
              </w:rPr>
              <w:t>本期利润</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1,693,498.05</w:t>
            </w:r>
          </w:p>
        </w:tc>
      </w:tr>
      <w:tr w:rsidR="00612AD1" w:rsidRPr="00473486" w:rsidTr="00612AD1">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3.</w:t>
            </w:r>
            <w:r w:rsidRPr="00473486">
              <w:rPr>
                <w:rFonts w:eastAsiaTheme="minorEastAsia"/>
                <w:color w:val="000000" w:themeColor="text1"/>
                <w:kern w:val="0"/>
                <w:szCs w:val="21"/>
              </w:rPr>
              <w:t>加权平均基金份额本期利润</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0.0233</w:t>
            </w:r>
          </w:p>
        </w:tc>
      </w:tr>
      <w:tr w:rsidR="00612AD1" w:rsidRPr="00473486" w:rsidTr="00612AD1">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4.</w:t>
            </w:r>
            <w:r w:rsidRPr="00473486">
              <w:rPr>
                <w:rFonts w:eastAsiaTheme="minorEastAsia"/>
                <w:color w:val="000000" w:themeColor="text1"/>
                <w:kern w:val="0"/>
                <w:szCs w:val="21"/>
              </w:rPr>
              <w:t>期末基金资产净值</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75,688,447.05</w:t>
            </w:r>
          </w:p>
        </w:tc>
      </w:tr>
      <w:tr w:rsidR="00612AD1" w:rsidRPr="00473486" w:rsidTr="00612AD1">
        <w:trPr>
          <w:trHeight w:val="158"/>
        </w:trPr>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w:t>
            </w:r>
            <w:r w:rsidRPr="00473486">
              <w:rPr>
                <w:rFonts w:eastAsiaTheme="minorEastAsia"/>
                <w:color w:val="000000" w:themeColor="text1"/>
                <w:kern w:val="0"/>
                <w:szCs w:val="21"/>
              </w:rPr>
              <w:t>期末基金份额净值</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1.0407</w:t>
            </w:r>
          </w:p>
        </w:tc>
      </w:tr>
    </w:tbl>
    <w:p w:rsidR="00C341FE" w:rsidRDefault="00612AD1">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881A82" w:rsidRPr="00473486" w:rsidRDefault="00881A82">
      <w:pPr>
        <w:autoSpaceDE w:val="0"/>
        <w:autoSpaceDN w:val="0"/>
        <w:adjustRightInd w:val="0"/>
        <w:spacing w:line="360" w:lineRule="auto"/>
        <w:jc w:val="left"/>
        <w:rPr>
          <w:rFonts w:eastAsiaTheme="minorEastAsia"/>
          <w:color w:val="000000" w:themeColor="text1"/>
          <w:kern w:val="0"/>
          <w:szCs w:val="21"/>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3.2 </w:t>
      </w:r>
      <w:r w:rsidRPr="00473486">
        <w:rPr>
          <w:rFonts w:eastAsiaTheme="minorEastAsia"/>
          <w:b/>
          <w:color w:val="000000" w:themeColor="text1"/>
          <w:kern w:val="0"/>
          <w:sz w:val="24"/>
        </w:rPr>
        <w:t>基金净值表现</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3.2.1</w:t>
      </w:r>
      <w:r w:rsidRPr="00473486">
        <w:rPr>
          <w:rFonts w:eastAsiaTheme="minorEastAsia"/>
          <w:b/>
          <w:color w:val="000000" w:themeColor="text1"/>
          <w:kern w:val="0"/>
          <w:sz w:val="24"/>
        </w:rPr>
        <w:t>本报告期基金份额净值增长率及其与同期业绩比较基准收益率的比较</w:t>
      </w:r>
    </w:p>
    <w:tbl>
      <w:tblPr>
        <w:tblStyle w:val="afa"/>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881A82" w:rsidRPr="00473486">
        <w:tc>
          <w:tcPr>
            <w:tcW w:w="1395"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阶段</w:t>
            </w:r>
          </w:p>
        </w:tc>
        <w:tc>
          <w:tcPr>
            <w:tcW w:w="1092"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净值增长率</w:t>
            </w:r>
            <w:r w:rsidRPr="00473486">
              <w:rPr>
                <w:rFonts w:ascii="宋体" w:hAnsi="宋体" w:cs="宋体" w:hint="eastAsia"/>
                <w:color w:val="000000" w:themeColor="text1"/>
                <w:szCs w:val="21"/>
              </w:rPr>
              <w:t>①</w:t>
            </w:r>
          </w:p>
        </w:tc>
        <w:tc>
          <w:tcPr>
            <w:tcW w:w="1161"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净值增长率标准差</w:t>
            </w:r>
            <w:r w:rsidRPr="00473486">
              <w:rPr>
                <w:rFonts w:ascii="宋体" w:hAnsi="宋体" w:cs="宋体" w:hint="eastAsia"/>
                <w:color w:val="000000" w:themeColor="text1"/>
                <w:szCs w:val="21"/>
              </w:rPr>
              <w:t>②</w:t>
            </w:r>
          </w:p>
        </w:tc>
        <w:tc>
          <w:tcPr>
            <w:tcW w:w="1181"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业绩比较基准收益率</w:t>
            </w:r>
            <w:r w:rsidRPr="00473486">
              <w:rPr>
                <w:rFonts w:ascii="宋体" w:hAnsi="宋体" w:cs="宋体" w:hint="eastAsia"/>
                <w:color w:val="000000" w:themeColor="text1"/>
                <w:szCs w:val="21"/>
              </w:rPr>
              <w:t>③</w:t>
            </w:r>
          </w:p>
        </w:tc>
        <w:tc>
          <w:tcPr>
            <w:tcW w:w="1188"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业绩比较基准收益率标准差</w:t>
            </w:r>
            <w:r w:rsidRPr="00473486">
              <w:rPr>
                <w:rFonts w:ascii="宋体" w:hAnsi="宋体" w:cs="宋体" w:hint="eastAsia"/>
                <w:color w:val="000000" w:themeColor="text1"/>
                <w:szCs w:val="21"/>
              </w:rPr>
              <w:t>④</w:t>
            </w:r>
          </w:p>
        </w:tc>
        <w:tc>
          <w:tcPr>
            <w:tcW w:w="1199"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ascii="宋体" w:hAnsi="宋体" w:cs="宋体" w:hint="eastAsia"/>
                <w:color w:val="000000" w:themeColor="text1"/>
                <w:szCs w:val="21"/>
              </w:rPr>
              <w:t>①</w:t>
            </w:r>
            <w:r w:rsidRPr="00473486">
              <w:rPr>
                <w:rFonts w:eastAsiaTheme="minorEastAsia"/>
                <w:color w:val="000000" w:themeColor="text1"/>
                <w:szCs w:val="21"/>
              </w:rPr>
              <w:t>-</w:t>
            </w:r>
            <w:r w:rsidRPr="00473486">
              <w:rPr>
                <w:rFonts w:ascii="宋体" w:hAnsi="宋体" w:cs="宋体" w:hint="eastAsia"/>
                <w:color w:val="000000" w:themeColor="text1"/>
                <w:szCs w:val="21"/>
              </w:rPr>
              <w:t>③</w:t>
            </w:r>
          </w:p>
        </w:tc>
        <w:tc>
          <w:tcPr>
            <w:tcW w:w="1204"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ascii="宋体" w:hAnsi="宋体" w:cs="宋体" w:hint="eastAsia"/>
                <w:color w:val="000000" w:themeColor="text1"/>
                <w:szCs w:val="21"/>
              </w:rPr>
              <w:t>②</w:t>
            </w:r>
            <w:r w:rsidRPr="00473486">
              <w:rPr>
                <w:rFonts w:eastAsiaTheme="minorEastAsia"/>
                <w:color w:val="000000" w:themeColor="text1"/>
                <w:szCs w:val="21"/>
              </w:rPr>
              <w:t>-</w:t>
            </w:r>
            <w:r w:rsidRPr="00473486">
              <w:rPr>
                <w:rFonts w:ascii="宋体" w:hAnsi="宋体" w:cs="宋体" w:hint="eastAsia"/>
                <w:color w:val="000000" w:themeColor="text1"/>
                <w:szCs w:val="21"/>
              </w:rPr>
              <w:t>④</w:t>
            </w:r>
          </w:p>
        </w:tc>
      </w:tr>
      <w:tr w:rsidR="00A37580">
        <w:tc>
          <w:tcPr>
            <w:tcW w:w="1395" w:type="dxa"/>
            <w:vAlign w:val="center"/>
          </w:tcPr>
          <w:p w:rsidR="00A37580" w:rsidRDefault="00A37580" w:rsidP="00A37580">
            <w:pPr>
              <w:jc w:val="left"/>
            </w:pPr>
            <w:r>
              <w:rPr>
                <w:rFonts w:eastAsiaTheme="minorEastAsia"/>
                <w:color w:val="000000" w:themeColor="text1"/>
                <w:szCs w:val="21"/>
              </w:rPr>
              <w:t>过去三个月</w:t>
            </w:r>
          </w:p>
        </w:tc>
        <w:tc>
          <w:tcPr>
            <w:tcW w:w="1092" w:type="dxa"/>
            <w:vAlign w:val="center"/>
          </w:tcPr>
          <w:p w:rsidR="00A37580" w:rsidRDefault="00A37580" w:rsidP="00A37580">
            <w:pPr>
              <w:jc w:val="center"/>
            </w:pPr>
            <w:r>
              <w:rPr>
                <w:rFonts w:eastAsiaTheme="minorEastAsia"/>
                <w:color w:val="000000" w:themeColor="text1"/>
                <w:szCs w:val="21"/>
              </w:rPr>
              <w:t>2.29%</w:t>
            </w:r>
          </w:p>
        </w:tc>
        <w:tc>
          <w:tcPr>
            <w:tcW w:w="1161" w:type="dxa"/>
            <w:vAlign w:val="center"/>
          </w:tcPr>
          <w:p w:rsidR="00A37580" w:rsidRDefault="00A37580" w:rsidP="00A37580">
            <w:pPr>
              <w:jc w:val="center"/>
            </w:pPr>
            <w:r>
              <w:rPr>
                <w:rFonts w:eastAsiaTheme="minorEastAsia"/>
                <w:color w:val="000000" w:themeColor="text1"/>
                <w:szCs w:val="21"/>
              </w:rPr>
              <w:t>1.06%</w:t>
            </w:r>
          </w:p>
        </w:tc>
        <w:tc>
          <w:tcPr>
            <w:tcW w:w="1181" w:type="dxa"/>
            <w:vAlign w:val="center"/>
          </w:tcPr>
          <w:p w:rsidR="00A37580" w:rsidRDefault="00A37580" w:rsidP="00A37580">
            <w:pPr>
              <w:jc w:val="center"/>
            </w:pPr>
            <w:r>
              <w:rPr>
                <w:rFonts w:eastAsiaTheme="minorEastAsia"/>
                <w:color w:val="000000" w:themeColor="text1"/>
                <w:szCs w:val="21"/>
              </w:rPr>
              <w:t>2.68%</w:t>
            </w:r>
          </w:p>
        </w:tc>
        <w:tc>
          <w:tcPr>
            <w:tcW w:w="1188" w:type="dxa"/>
            <w:vAlign w:val="center"/>
          </w:tcPr>
          <w:p w:rsidR="00A37580" w:rsidRDefault="00A37580" w:rsidP="00A37580">
            <w:pPr>
              <w:jc w:val="center"/>
            </w:pPr>
            <w:r>
              <w:rPr>
                <w:rFonts w:eastAsiaTheme="minorEastAsia"/>
                <w:color w:val="000000" w:themeColor="text1"/>
                <w:szCs w:val="21"/>
              </w:rPr>
              <w:t>1.15%</w:t>
            </w:r>
          </w:p>
        </w:tc>
        <w:tc>
          <w:tcPr>
            <w:tcW w:w="1199" w:type="dxa"/>
            <w:vAlign w:val="center"/>
          </w:tcPr>
          <w:p w:rsidR="00A37580" w:rsidRDefault="00A37580" w:rsidP="00A37580">
            <w:pPr>
              <w:jc w:val="center"/>
            </w:pPr>
            <w:r>
              <w:rPr>
                <w:rFonts w:eastAsiaTheme="minorEastAsia"/>
                <w:color w:val="000000" w:themeColor="text1"/>
                <w:szCs w:val="21"/>
              </w:rPr>
              <w:t>-0.39%</w:t>
            </w:r>
          </w:p>
        </w:tc>
        <w:tc>
          <w:tcPr>
            <w:tcW w:w="1204" w:type="dxa"/>
            <w:vAlign w:val="center"/>
          </w:tcPr>
          <w:p w:rsidR="00A37580" w:rsidRDefault="00A37580" w:rsidP="00A37580">
            <w:pPr>
              <w:jc w:val="center"/>
            </w:pPr>
            <w:r>
              <w:rPr>
                <w:rFonts w:eastAsiaTheme="minorEastAsia"/>
                <w:color w:val="000000" w:themeColor="text1"/>
                <w:szCs w:val="21"/>
              </w:rPr>
              <w:t>-0.09%</w:t>
            </w:r>
          </w:p>
        </w:tc>
      </w:tr>
      <w:tr w:rsidR="00A37580">
        <w:tc>
          <w:tcPr>
            <w:tcW w:w="1395" w:type="dxa"/>
            <w:vAlign w:val="center"/>
          </w:tcPr>
          <w:p w:rsidR="00A37580" w:rsidRDefault="00A37580" w:rsidP="00A37580">
            <w:pPr>
              <w:jc w:val="left"/>
            </w:pPr>
            <w:r>
              <w:rPr>
                <w:rFonts w:eastAsiaTheme="minorEastAsia"/>
                <w:color w:val="000000" w:themeColor="text1"/>
                <w:szCs w:val="21"/>
              </w:rPr>
              <w:t>过去六个月</w:t>
            </w:r>
          </w:p>
        </w:tc>
        <w:tc>
          <w:tcPr>
            <w:tcW w:w="1092" w:type="dxa"/>
            <w:vAlign w:val="center"/>
          </w:tcPr>
          <w:p w:rsidR="00A37580" w:rsidRDefault="00A37580" w:rsidP="00A37580">
            <w:pPr>
              <w:jc w:val="center"/>
            </w:pPr>
            <w:r>
              <w:rPr>
                <w:rFonts w:eastAsiaTheme="minorEastAsia"/>
                <w:color w:val="000000" w:themeColor="text1"/>
                <w:szCs w:val="21"/>
              </w:rPr>
              <w:t>-4.09%</w:t>
            </w:r>
          </w:p>
        </w:tc>
        <w:tc>
          <w:tcPr>
            <w:tcW w:w="1161" w:type="dxa"/>
            <w:vAlign w:val="center"/>
          </w:tcPr>
          <w:p w:rsidR="00A37580" w:rsidRDefault="00A37580" w:rsidP="00A37580">
            <w:pPr>
              <w:jc w:val="center"/>
            </w:pPr>
            <w:r>
              <w:rPr>
                <w:rFonts w:eastAsiaTheme="minorEastAsia"/>
                <w:color w:val="000000" w:themeColor="text1"/>
                <w:szCs w:val="21"/>
              </w:rPr>
              <w:t>0.90%</w:t>
            </w:r>
          </w:p>
        </w:tc>
        <w:tc>
          <w:tcPr>
            <w:tcW w:w="1181" w:type="dxa"/>
            <w:vAlign w:val="center"/>
          </w:tcPr>
          <w:p w:rsidR="00A37580" w:rsidRDefault="00A37580" w:rsidP="00A37580">
            <w:pPr>
              <w:jc w:val="center"/>
            </w:pPr>
            <w:r>
              <w:rPr>
                <w:rFonts w:eastAsiaTheme="minorEastAsia"/>
                <w:color w:val="000000" w:themeColor="text1"/>
                <w:szCs w:val="21"/>
              </w:rPr>
              <w:t>-3.91%</w:t>
            </w:r>
          </w:p>
        </w:tc>
        <w:tc>
          <w:tcPr>
            <w:tcW w:w="1188" w:type="dxa"/>
            <w:vAlign w:val="center"/>
          </w:tcPr>
          <w:p w:rsidR="00A37580" w:rsidRDefault="00A37580" w:rsidP="00A37580">
            <w:pPr>
              <w:jc w:val="center"/>
            </w:pPr>
            <w:r>
              <w:rPr>
                <w:rFonts w:eastAsiaTheme="minorEastAsia"/>
                <w:color w:val="000000" w:themeColor="text1"/>
                <w:szCs w:val="21"/>
              </w:rPr>
              <w:t>0.98%</w:t>
            </w:r>
          </w:p>
        </w:tc>
        <w:tc>
          <w:tcPr>
            <w:tcW w:w="1199" w:type="dxa"/>
            <w:vAlign w:val="center"/>
          </w:tcPr>
          <w:p w:rsidR="00A37580" w:rsidRDefault="00A37580" w:rsidP="00A37580">
            <w:pPr>
              <w:jc w:val="center"/>
            </w:pPr>
            <w:r>
              <w:rPr>
                <w:rFonts w:eastAsiaTheme="minorEastAsia"/>
                <w:color w:val="000000" w:themeColor="text1"/>
                <w:szCs w:val="21"/>
              </w:rPr>
              <w:t>-0.18%</w:t>
            </w:r>
          </w:p>
        </w:tc>
        <w:tc>
          <w:tcPr>
            <w:tcW w:w="1204" w:type="dxa"/>
            <w:vAlign w:val="center"/>
          </w:tcPr>
          <w:p w:rsidR="00A37580" w:rsidRDefault="00A37580" w:rsidP="00A37580">
            <w:pPr>
              <w:jc w:val="center"/>
            </w:pPr>
            <w:r>
              <w:rPr>
                <w:rFonts w:eastAsiaTheme="minorEastAsia"/>
                <w:color w:val="000000" w:themeColor="text1"/>
                <w:szCs w:val="21"/>
              </w:rPr>
              <w:t>-0.08%</w:t>
            </w:r>
          </w:p>
        </w:tc>
      </w:tr>
      <w:tr w:rsidR="00A37580">
        <w:tc>
          <w:tcPr>
            <w:tcW w:w="1395" w:type="dxa"/>
            <w:vAlign w:val="center"/>
          </w:tcPr>
          <w:p w:rsidR="00A37580" w:rsidRDefault="00A37580" w:rsidP="00A37580">
            <w:pPr>
              <w:jc w:val="left"/>
            </w:pPr>
            <w:r>
              <w:rPr>
                <w:rFonts w:eastAsiaTheme="minorEastAsia"/>
                <w:color w:val="000000" w:themeColor="text1"/>
                <w:szCs w:val="21"/>
              </w:rPr>
              <w:t>过去一年</w:t>
            </w:r>
          </w:p>
        </w:tc>
        <w:tc>
          <w:tcPr>
            <w:tcW w:w="1092" w:type="dxa"/>
            <w:vAlign w:val="center"/>
          </w:tcPr>
          <w:p w:rsidR="00A37580" w:rsidRDefault="00A37580" w:rsidP="00A37580">
            <w:pPr>
              <w:jc w:val="center"/>
            </w:pPr>
            <w:r>
              <w:rPr>
                <w:rFonts w:eastAsiaTheme="minorEastAsia"/>
                <w:color w:val="000000" w:themeColor="text1"/>
                <w:szCs w:val="21"/>
              </w:rPr>
              <w:t>-12.11%</w:t>
            </w:r>
          </w:p>
        </w:tc>
        <w:tc>
          <w:tcPr>
            <w:tcW w:w="1161" w:type="dxa"/>
            <w:vAlign w:val="center"/>
          </w:tcPr>
          <w:p w:rsidR="00A37580" w:rsidRDefault="00A37580" w:rsidP="00A37580">
            <w:pPr>
              <w:jc w:val="center"/>
            </w:pPr>
            <w:r>
              <w:rPr>
                <w:rFonts w:eastAsiaTheme="minorEastAsia"/>
                <w:color w:val="000000" w:themeColor="text1"/>
                <w:szCs w:val="21"/>
              </w:rPr>
              <w:t>0.86%</w:t>
            </w:r>
          </w:p>
        </w:tc>
        <w:tc>
          <w:tcPr>
            <w:tcW w:w="1181" w:type="dxa"/>
            <w:vAlign w:val="center"/>
          </w:tcPr>
          <w:p w:rsidR="00A37580" w:rsidRDefault="00A37580" w:rsidP="00A37580">
            <w:pPr>
              <w:jc w:val="center"/>
            </w:pPr>
            <w:r>
              <w:rPr>
                <w:rFonts w:eastAsiaTheme="minorEastAsia"/>
                <w:color w:val="000000" w:themeColor="text1"/>
                <w:szCs w:val="21"/>
              </w:rPr>
              <w:t>-13.83%</w:t>
            </w:r>
          </w:p>
        </w:tc>
        <w:tc>
          <w:tcPr>
            <w:tcW w:w="1188" w:type="dxa"/>
            <w:vAlign w:val="center"/>
          </w:tcPr>
          <w:p w:rsidR="00A37580" w:rsidRDefault="00A37580" w:rsidP="00A37580">
            <w:pPr>
              <w:jc w:val="center"/>
            </w:pPr>
            <w:r>
              <w:rPr>
                <w:rFonts w:eastAsiaTheme="minorEastAsia"/>
                <w:color w:val="000000" w:themeColor="text1"/>
                <w:szCs w:val="21"/>
              </w:rPr>
              <w:t>0.91%</w:t>
            </w:r>
          </w:p>
        </w:tc>
        <w:tc>
          <w:tcPr>
            <w:tcW w:w="1199" w:type="dxa"/>
            <w:vAlign w:val="center"/>
          </w:tcPr>
          <w:p w:rsidR="00A37580" w:rsidRDefault="00A37580" w:rsidP="00A37580">
            <w:pPr>
              <w:jc w:val="center"/>
            </w:pPr>
            <w:r>
              <w:rPr>
                <w:rFonts w:eastAsiaTheme="minorEastAsia"/>
                <w:color w:val="000000" w:themeColor="text1"/>
                <w:szCs w:val="21"/>
              </w:rPr>
              <w:t>1.72%</w:t>
            </w:r>
          </w:p>
        </w:tc>
        <w:tc>
          <w:tcPr>
            <w:tcW w:w="1204" w:type="dxa"/>
            <w:vAlign w:val="center"/>
          </w:tcPr>
          <w:p w:rsidR="00A37580" w:rsidRDefault="00A37580" w:rsidP="00A37580">
            <w:pPr>
              <w:jc w:val="center"/>
            </w:pPr>
            <w:r>
              <w:rPr>
                <w:rFonts w:eastAsiaTheme="minorEastAsia"/>
                <w:color w:val="000000" w:themeColor="text1"/>
                <w:szCs w:val="21"/>
              </w:rPr>
              <w:t>-0.05%</w:t>
            </w:r>
          </w:p>
        </w:tc>
      </w:tr>
      <w:tr w:rsidR="00A37580">
        <w:tc>
          <w:tcPr>
            <w:tcW w:w="1395" w:type="dxa"/>
            <w:vAlign w:val="center"/>
          </w:tcPr>
          <w:p w:rsidR="00A37580" w:rsidRDefault="00A37580" w:rsidP="00A37580">
            <w:pPr>
              <w:jc w:val="left"/>
            </w:pPr>
            <w:r>
              <w:rPr>
                <w:rFonts w:eastAsiaTheme="minorEastAsia"/>
                <w:color w:val="000000" w:themeColor="text1"/>
                <w:szCs w:val="21"/>
              </w:rPr>
              <w:t>过去三年</w:t>
            </w:r>
          </w:p>
        </w:tc>
        <w:tc>
          <w:tcPr>
            <w:tcW w:w="1092" w:type="dxa"/>
            <w:vAlign w:val="center"/>
          </w:tcPr>
          <w:p w:rsidR="00A37580" w:rsidRDefault="00A37580" w:rsidP="00A37580">
            <w:pPr>
              <w:jc w:val="center"/>
            </w:pPr>
            <w:r>
              <w:rPr>
                <w:rFonts w:eastAsiaTheme="minorEastAsia"/>
                <w:color w:val="000000" w:themeColor="text1"/>
                <w:szCs w:val="21"/>
              </w:rPr>
              <w:t>-20.31%</w:t>
            </w:r>
          </w:p>
        </w:tc>
        <w:tc>
          <w:tcPr>
            <w:tcW w:w="1161" w:type="dxa"/>
            <w:vAlign w:val="center"/>
          </w:tcPr>
          <w:p w:rsidR="00A37580" w:rsidRDefault="00A37580" w:rsidP="00A37580">
            <w:pPr>
              <w:jc w:val="center"/>
            </w:pPr>
            <w:r>
              <w:rPr>
                <w:rFonts w:eastAsiaTheme="minorEastAsia"/>
                <w:color w:val="000000" w:themeColor="text1"/>
                <w:szCs w:val="21"/>
              </w:rPr>
              <w:t>1.02%</w:t>
            </w:r>
          </w:p>
        </w:tc>
        <w:tc>
          <w:tcPr>
            <w:tcW w:w="1181" w:type="dxa"/>
            <w:vAlign w:val="center"/>
          </w:tcPr>
          <w:p w:rsidR="00A37580" w:rsidRDefault="00A37580" w:rsidP="00A37580">
            <w:pPr>
              <w:jc w:val="center"/>
            </w:pPr>
            <w:r>
              <w:rPr>
                <w:rFonts w:eastAsiaTheme="minorEastAsia"/>
                <w:color w:val="000000" w:themeColor="text1"/>
                <w:szCs w:val="21"/>
              </w:rPr>
              <w:t>-27.15%</w:t>
            </w:r>
          </w:p>
        </w:tc>
        <w:tc>
          <w:tcPr>
            <w:tcW w:w="1188" w:type="dxa"/>
            <w:vAlign w:val="center"/>
          </w:tcPr>
          <w:p w:rsidR="00A37580" w:rsidRDefault="00A37580" w:rsidP="00A37580">
            <w:pPr>
              <w:jc w:val="center"/>
            </w:pPr>
            <w:r>
              <w:rPr>
                <w:rFonts w:eastAsiaTheme="minorEastAsia"/>
                <w:color w:val="000000" w:themeColor="text1"/>
                <w:szCs w:val="21"/>
              </w:rPr>
              <w:t>1.05%</w:t>
            </w:r>
          </w:p>
        </w:tc>
        <w:tc>
          <w:tcPr>
            <w:tcW w:w="1199" w:type="dxa"/>
            <w:vAlign w:val="center"/>
          </w:tcPr>
          <w:p w:rsidR="00A37580" w:rsidRDefault="00A37580" w:rsidP="00A37580">
            <w:pPr>
              <w:jc w:val="center"/>
            </w:pPr>
            <w:r>
              <w:rPr>
                <w:rFonts w:eastAsiaTheme="minorEastAsia"/>
                <w:color w:val="000000" w:themeColor="text1"/>
                <w:szCs w:val="21"/>
              </w:rPr>
              <w:t>6.84%</w:t>
            </w:r>
          </w:p>
        </w:tc>
        <w:tc>
          <w:tcPr>
            <w:tcW w:w="1204" w:type="dxa"/>
            <w:vAlign w:val="center"/>
          </w:tcPr>
          <w:p w:rsidR="00A37580" w:rsidRDefault="00A37580" w:rsidP="00A37580">
            <w:pPr>
              <w:jc w:val="center"/>
            </w:pPr>
            <w:r>
              <w:rPr>
                <w:rFonts w:eastAsiaTheme="minorEastAsia"/>
                <w:color w:val="000000" w:themeColor="text1"/>
                <w:szCs w:val="21"/>
              </w:rPr>
              <w:t>-0.03%</w:t>
            </w:r>
          </w:p>
        </w:tc>
      </w:tr>
      <w:tr w:rsidR="00A37580">
        <w:tc>
          <w:tcPr>
            <w:tcW w:w="1395" w:type="dxa"/>
            <w:vAlign w:val="center"/>
          </w:tcPr>
          <w:p w:rsidR="00A37580" w:rsidRDefault="00A37580" w:rsidP="00A37580">
            <w:pPr>
              <w:jc w:val="left"/>
            </w:pPr>
            <w:r>
              <w:rPr>
                <w:rFonts w:eastAsiaTheme="minorEastAsia"/>
                <w:color w:val="000000" w:themeColor="text1"/>
                <w:szCs w:val="21"/>
              </w:rPr>
              <w:t>过去五年</w:t>
            </w:r>
          </w:p>
        </w:tc>
        <w:tc>
          <w:tcPr>
            <w:tcW w:w="1092" w:type="dxa"/>
            <w:vAlign w:val="center"/>
          </w:tcPr>
          <w:p w:rsidR="00A37580" w:rsidRDefault="00A37580" w:rsidP="00A37580">
            <w:pPr>
              <w:jc w:val="center"/>
            </w:pPr>
            <w:r>
              <w:rPr>
                <w:rFonts w:eastAsiaTheme="minorEastAsia"/>
                <w:color w:val="000000" w:themeColor="text1"/>
                <w:szCs w:val="21"/>
              </w:rPr>
              <w:t>-</w:t>
            </w:r>
          </w:p>
        </w:tc>
        <w:tc>
          <w:tcPr>
            <w:tcW w:w="1161" w:type="dxa"/>
            <w:vAlign w:val="center"/>
          </w:tcPr>
          <w:p w:rsidR="00A37580" w:rsidRDefault="00A37580" w:rsidP="00A37580">
            <w:pPr>
              <w:jc w:val="center"/>
            </w:pPr>
            <w:r>
              <w:rPr>
                <w:rFonts w:eastAsiaTheme="minorEastAsia"/>
                <w:color w:val="000000" w:themeColor="text1"/>
                <w:szCs w:val="21"/>
              </w:rPr>
              <w:t>-</w:t>
            </w:r>
          </w:p>
        </w:tc>
        <w:tc>
          <w:tcPr>
            <w:tcW w:w="1181" w:type="dxa"/>
            <w:vAlign w:val="center"/>
          </w:tcPr>
          <w:p w:rsidR="00A37580" w:rsidRDefault="00A37580" w:rsidP="00A37580">
            <w:pPr>
              <w:jc w:val="center"/>
            </w:pPr>
            <w:r>
              <w:rPr>
                <w:rFonts w:eastAsiaTheme="minorEastAsia"/>
                <w:color w:val="000000" w:themeColor="text1"/>
                <w:szCs w:val="21"/>
              </w:rPr>
              <w:t>-</w:t>
            </w:r>
          </w:p>
        </w:tc>
        <w:tc>
          <w:tcPr>
            <w:tcW w:w="1188" w:type="dxa"/>
            <w:vAlign w:val="center"/>
          </w:tcPr>
          <w:p w:rsidR="00A37580" w:rsidRDefault="00A37580" w:rsidP="00A37580">
            <w:pPr>
              <w:jc w:val="center"/>
            </w:pPr>
            <w:r>
              <w:rPr>
                <w:rFonts w:eastAsiaTheme="minorEastAsia"/>
                <w:color w:val="000000" w:themeColor="text1"/>
                <w:szCs w:val="21"/>
              </w:rPr>
              <w:t>-</w:t>
            </w:r>
          </w:p>
        </w:tc>
        <w:tc>
          <w:tcPr>
            <w:tcW w:w="1199" w:type="dxa"/>
            <w:vAlign w:val="center"/>
          </w:tcPr>
          <w:p w:rsidR="00A37580" w:rsidRDefault="00A37580" w:rsidP="00A37580">
            <w:pPr>
              <w:jc w:val="center"/>
            </w:pPr>
            <w:r>
              <w:rPr>
                <w:rFonts w:eastAsiaTheme="minorEastAsia"/>
                <w:color w:val="000000" w:themeColor="text1"/>
                <w:szCs w:val="21"/>
              </w:rPr>
              <w:t>-</w:t>
            </w:r>
          </w:p>
        </w:tc>
        <w:tc>
          <w:tcPr>
            <w:tcW w:w="1204" w:type="dxa"/>
            <w:vAlign w:val="center"/>
          </w:tcPr>
          <w:p w:rsidR="00A37580" w:rsidRDefault="00A37580" w:rsidP="00A37580">
            <w:pPr>
              <w:jc w:val="center"/>
            </w:pPr>
            <w:r>
              <w:rPr>
                <w:rFonts w:eastAsiaTheme="minorEastAsia"/>
                <w:color w:val="000000" w:themeColor="text1"/>
                <w:szCs w:val="21"/>
              </w:rPr>
              <w:t>-</w:t>
            </w:r>
          </w:p>
        </w:tc>
      </w:tr>
      <w:tr w:rsidR="00A37580">
        <w:tc>
          <w:tcPr>
            <w:tcW w:w="1395" w:type="dxa"/>
            <w:vAlign w:val="center"/>
          </w:tcPr>
          <w:p w:rsidR="00A37580" w:rsidRDefault="00A37580" w:rsidP="00A37580">
            <w:pPr>
              <w:jc w:val="left"/>
            </w:pPr>
            <w:r>
              <w:rPr>
                <w:rFonts w:eastAsiaTheme="minorEastAsia"/>
                <w:color w:val="000000" w:themeColor="text1"/>
                <w:szCs w:val="21"/>
              </w:rPr>
              <w:t>自基金合同</w:t>
            </w:r>
            <w:r>
              <w:rPr>
                <w:rFonts w:eastAsiaTheme="minorEastAsia"/>
                <w:color w:val="000000" w:themeColor="text1"/>
                <w:szCs w:val="21"/>
              </w:rPr>
              <w:lastRenderedPageBreak/>
              <w:t>生效起至今</w:t>
            </w:r>
          </w:p>
        </w:tc>
        <w:tc>
          <w:tcPr>
            <w:tcW w:w="1092" w:type="dxa"/>
            <w:vAlign w:val="center"/>
          </w:tcPr>
          <w:p w:rsidR="00A37580" w:rsidRDefault="00A37580" w:rsidP="00A37580">
            <w:pPr>
              <w:jc w:val="center"/>
            </w:pPr>
            <w:r>
              <w:rPr>
                <w:rFonts w:eastAsiaTheme="minorEastAsia"/>
                <w:color w:val="000000" w:themeColor="text1"/>
                <w:szCs w:val="21"/>
              </w:rPr>
              <w:lastRenderedPageBreak/>
              <w:t>4.07%</w:t>
            </w:r>
          </w:p>
        </w:tc>
        <w:tc>
          <w:tcPr>
            <w:tcW w:w="1161" w:type="dxa"/>
            <w:vAlign w:val="center"/>
          </w:tcPr>
          <w:p w:rsidR="00A37580" w:rsidRDefault="00A37580" w:rsidP="00A37580">
            <w:pPr>
              <w:jc w:val="center"/>
            </w:pPr>
            <w:r>
              <w:rPr>
                <w:rFonts w:eastAsiaTheme="minorEastAsia"/>
                <w:color w:val="000000" w:themeColor="text1"/>
                <w:szCs w:val="21"/>
              </w:rPr>
              <w:t>1.10%</w:t>
            </w:r>
          </w:p>
        </w:tc>
        <w:tc>
          <w:tcPr>
            <w:tcW w:w="1181" w:type="dxa"/>
            <w:vAlign w:val="center"/>
          </w:tcPr>
          <w:p w:rsidR="00A37580" w:rsidRDefault="00A37580" w:rsidP="00A37580">
            <w:pPr>
              <w:jc w:val="center"/>
            </w:pPr>
            <w:r>
              <w:rPr>
                <w:rFonts w:eastAsiaTheme="minorEastAsia"/>
                <w:color w:val="000000" w:themeColor="text1"/>
                <w:szCs w:val="21"/>
              </w:rPr>
              <w:t>-7.05%</w:t>
            </w:r>
          </w:p>
        </w:tc>
        <w:tc>
          <w:tcPr>
            <w:tcW w:w="1188" w:type="dxa"/>
            <w:vAlign w:val="center"/>
          </w:tcPr>
          <w:p w:rsidR="00A37580" w:rsidRDefault="00A37580" w:rsidP="00A37580">
            <w:pPr>
              <w:jc w:val="center"/>
            </w:pPr>
            <w:r>
              <w:rPr>
                <w:rFonts w:eastAsiaTheme="minorEastAsia"/>
                <w:color w:val="000000" w:themeColor="text1"/>
                <w:szCs w:val="21"/>
              </w:rPr>
              <w:t>1.13%</w:t>
            </w:r>
          </w:p>
        </w:tc>
        <w:tc>
          <w:tcPr>
            <w:tcW w:w="1199" w:type="dxa"/>
            <w:vAlign w:val="center"/>
          </w:tcPr>
          <w:p w:rsidR="00A37580" w:rsidRDefault="00A37580" w:rsidP="00A37580">
            <w:pPr>
              <w:jc w:val="center"/>
            </w:pPr>
            <w:r>
              <w:rPr>
                <w:rFonts w:eastAsiaTheme="minorEastAsia"/>
                <w:color w:val="000000" w:themeColor="text1"/>
                <w:szCs w:val="21"/>
              </w:rPr>
              <w:t>11.12%</w:t>
            </w:r>
          </w:p>
        </w:tc>
        <w:tc>
          <w:tcPr>
            <w:tcW w:w="1204" w:type="dxa"/>
            <w:vAlign w:val="center"/>
          </w:tcPr>
          <w:p w:rsidR="00A37580" w:rsidRDefault="00A37580" w:rsidP="00A37580">
            <w:pPr>
              <w:jc w:val="center"/>
            </w:pPr>
            <w:r>
              <w:rPr>
                <w:rFonts w:eastAsiaTheme="minorEastAsia"/>
                <w:color w:val="000000" w:themeColor="text1"/>
                <w:szCs w:val="21"/>
              </w:rPr>
              <w:t>-0.03%</w:t>
            </w:r>
          </w:p>
        </w:tc>
      </w:tr>
    </w:tbl>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3.2.2</w:t>
      </w:r>
      <w:r w:rsidRPr="00473486">
        <w:rPr>
          <w:rStyle w:val="af4"/>
          <w:color w:val="000000" w:themeColor="text1"/>
          <w:sz w:val="24"/>
          <w:shd w:val="clear" w:color="auto" w:fill="FFFFFF"/>
        </w:rPr>
        <w:t>自基金合同生效以来</w:t>
      </w:r>
      <w:r w:rsidRPr="00473486">
        <w:rPr>
          <w:rFonts w:eastAsiaTheme="minorEastAsia"/>
          <w:b/>
          <w:bCs/>
          <w:color w:val="000000" w:themeColor="text1"/>
          <w:sz w:val="24"/>
        </w:rPr>
        <w:t>基金累计净值增长率变动及其与同期业绩比较基准收益率变动的比较</w:t>
      </w:r>
    </w:p>
    <w:p w:rsidR="00881A82" w:rsidRPr="00473486" w:rsidRDefault="007D1E3A">
      <w:pPr>
        <w:spacing w:line="360" w:lineRule="auto"/>
        <w:jc w:val="center"/>
        <w:rPr>
          <w:rFonts w:eastAsiaTheme="minorEastAsia"/>
          <w:color w:val="000000" w:themeColor="text1"/>
          <w:szCs w:val="21"/>
        </w:rPr>
      </w:pPr>
      <w:r w:rsidRPr="00473486">
        <w:rPr>
          <w:rFonts w:eastAsiaTheme="minorEastAsia"/>
          <w:color w:val="000000" w:themeColor="text1"/>
          <w:szCs w:val="21"/>
        </w:rPr>
        <w:t>摩根</w:t>
      </w:r>
      <w:r w:rsidRPr="00473486">
        <w:rPr>
          <w:rFonts w:eastAsiaTheme="minorEastAsia"/>
          <w:color w:val="000000" w:themeColor="text1"/>
          <w:szCs w:val="21"/>
        </w:rPr>
        <w:t>MSCI</w:t>
      </w:r>
      <w:r w:rsidRPr="00473486">
        <w:rPr>
          <w:rFonts w:eastAsiaTheme="minorEastAsia"/>
          <w:color w:val="000000" w:themeColor="text1"/>
          <w:szCs w:val="21"/>
        </w:rPr>
        <w:t>中国</w:t>
      </w:r>
      <w:r w:rsidRPr="00473486">
        <w:rPr>
          <w:rFonts w:eastAsiaTheme="minorEastAsia"/>
          <w:color w:val="000000" w:themeColor="text1"/>
          <w:szCs w:val="21"/>
        </w:rPr>
        <w:t>A</w:t>
      </w:r>
      <w:r w:rsidRPr="00473486">
        <w:rPr>
          <w:rFonts w:eastAsiaTheme="minorEastAsia"/>
          <w:color w:val="000000" w:themeColor="text1"/>
          <w:szCs w:val="21"/>
        </w:rPr>
        <w:t>股交易型开放式指数证券投资基金</w:t>
      </w:r>
    </w:p>
    <w:p w:rsidR="00881A82" w:rsidRPr="00473486" w:rsidRDefault="007D1E3A">
      <w:pPr>
        <w:pStyle w:val="a9"/>
        <w:snapToGrid w:val="0"/>
        <w:spacing w:line="360" w:lineRule="auto"/>
        <w:jc w:val="center"/>
        <w:rPr>
          <w:rFonts w:ascii="Times New Roman" w:eastAsiaTheme="minorEastAsia" w:hAnsi="Times New Roman"/>
          <w:color w:val="000000" w:themeColor="text1"/>
        </w:rPr>
      </w:pPr>
      <w:r w:rsidRPr="00473486">
        <w:rPr>
          <w:rFonts w:ascii="Times New Roman" w:eastAsiaTheme="minorEastAsia" w:hAnsi="Times New Roman"/>
          <w:color w:val="000000" w:themeColor="text1"/>
        </w:rPr>
        <w:t>累计净值增长率与业绩比较基准收益率历史走势对比图</w:t>
      </w:r>
    </w:p>
    <w:p w:rsidR="00881A82" w:rsidRPr="00473486" w:rsidRDefault="007D1E3A">
      <w:pPr>
        <w:spacing w:line="360" w:lineRule="auto"/>
        <w:jc w:val="center"/>
        <w:rPr>
          <w:rFonts w:eastAsiaTheme="minorEastAsia"/>
          <w:color w:val="000000" w:themeColor="text1"/>
          <w:szCs w:val="21"/>
        </w:rPr>
      </w:pPr>
      <w:r w:rsidRPr="00473486">
        <w:rPr>
          <w:rFonts w:eastAsiaTheme="minorEastAsia"/>
          <w:color w:val="000000" w:themeColor="text1"/>
          <w:kern w:val="0"/>
          <w:szCs w:val="21"/>
        </w:rPr>
        <w:t>（</w:t>
      </w:r>
      <w:r w:rsidRPr="00473486">
        <w:rPr>
          <w:rFonts w:eastAsiaTheme="minorEastAsia"/>
          <w:color w:val="000000" w:themeColor="text1"/>
          <w:kern w:val="0"/>
          <w:szCs w:val="21"/>
        </w:rPr>
        <w:t>2020</w:t>
      </w:r>
      <w:r w:rsidRPr="00473486">
        <w:rPr>
          <w:rFonts w:eastAsiaTheme="minorEastAsia"/>
          <w:color w:val="000000" w:themeColor="text1"/>
          <w:kern w:val="0"/>
          <w:szCs w:val="21"/>
        </w:rPr>
        <w:t>年</w:t>
      </w:r>
      <w:r w:rsidRPr="00473486">
        <w:rPr>
          <w:rFonts w:eastAsiaTheme="minorEastAsia"/>
          <w:color w:val="000000" w:themeColor="text1"/>
          <w:kern w:val="0"/>
          <w:szCs w:val="21"/>
        </w:rPr>
        <w:t>5</w:t>
      </w:r>
      <w:r w:rsidRPr="00473486">
        <w:rPr>
          <w:rFonts w:eastAsiaTheme="minorEastAsia"/>
          <w:color w:val="000000" w:themeColor="text1"/>
          <w:kern w:val="0"/>
          <w:szCs w:val="21"/>
        </w:rPr>
        <w:t>月</w:t>
      </w:r>
      <w:r w:rsidRPr="00473486">
        <w:rPr>
          <w:rFonts w:eastAsiaTheme="minorEastAsia"/>
          <w:color w:val="000000" w:themeColor="text1"/>
          <w:kern w:val="0"/>
          <w:szCs w:val="21"/>
        </w:rPr>
        <w:t>13</w:t>
      </w:r>
      <w:r w:rsidRPr="00473486">
        <w:rPr>
          <w:rFonts w:eastAsiaTheme="minorEastAsia"/>
          <w:color w:val="000000" w:themeColor="text1"/>
          <w:kern w:val="0"/>
          <w:szCs w:val="21"/>
        </w:rPr>
        <w:t>日至</w:t>
      </w:r>
      <w:r w:rsidRPr="00473486">
        <w:rPr>
          <w:rFonts w:eastAsiaTheme="minorEastAsia"/>
          <w:color w:val="000000" w:themeColor="text1"/>
          <w:kern w:val="0"/>
          <w:szCs w:val="21"/>
        </w:rPr>
        <w:t>2024</w:t>
      </w:r>
      <w:r w:rsidRPr="00473486">
        <w:rPr>
          <w:rFonts w:eastAsiaTheme="minorEastAsia"/>
          <w:color w:val="000000" w:themeColor="text1"/>
          <w:kern w:val="0"/>
          <w:szCs w:val="21"/>
        </w:rPr>
        <w:t>年</w:t>
      </w:r>
      <w:r w:rsidRPr="00473486">
        <w:rPr>
          <w:rFonts w:eastAsiaTheme="minorEastAsia"/>
          <w:color w:val="000000" w:themeColor="text1"/>
          <w:kern w:val="0"/>
          <w:szCs w:val="21"/>
        </w:rPr>
        <w:t>3</w:t>
      </w:r>
      <w:r w:rsidRPr="00473486">
        <w:rPr>
          <w:rFonts w:eastAsiaTheme="minorEastAsia"/>
          <w:color w:val="000000" w:themeColor="text1"/>
          <w:kern w:val="0"/>
          <w:szCs w:val="21"/>
        </w:rPr>
        <w:t>月</w:t>
      </w:r>
      <w:r w:rsidRPr="00473486">
        <w:rPr>
          <w:rFonts w:eastAsiaTheme="minorEastAsia"/>
          <w:color w:val="000000" w:themeColor="text1"/>
          <w:kern w:val="0"/>
          <w:szCs w:val="21"/>
        </w:rPr>
        <w:t>31</w:t>
      </w:r>
      <w:r w:rsidRPr="00473486">
        <w:rPr>
          <w:rFonts w:eastAsiaTheme="minorEastAsia"/>
          <w:color w:val="000000" w:themeColor="text1"/>
          <w:kern w:val="0"/>
          <w:szCs w:val="21"/>
        </w:rPr>
        <w:t>日）</w:t>
      </w:r>
    </w:p>
    <w:p w:rsidR="00881A82" w:rsidRPr="00473486" w:rsidRDefault="00A37580">
      <w:pPr>
        <w:tabs>
          <w:tab w:val="left" w:pos="1800"/>
        </w:tabs>
        <w:spacing w:line="360" w:lineRule="auto"/>
        <w:jc w:val="center"/>
        <w:rPr>
          <w:rFonts w:eastAsiaTheme="minorEastAsia"/>
          <w:color w:val="000000" w:themeColor="text1"/>
          <w:sz w:val="24"/>
        </w:rPr>
      </w:pPr>
      <w:r w:rsidRPr="00473486">
        <w:rPr>
          <w:rFonts w:eastAsiaTheme="minorEastAsia"/>
          <w:noProof/>
          <w:color w:val="000000" w:themeColor="text1"/>
          <w:sz w:val="24"/>
        </w:rPr>
        <w:drawing>
          <wp:inline distT="0" distB="0" distL="0" distR="0" wp14:anchorId="2441963E" wp14:editId="032D9E3F">
            <wp:extent cx="5276850" cy="30861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C341FE" w:rsidRDefault="00612AD1">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日，图示的时间段为合同生效日至本报告期末。</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本基金建仓期为本基金合同生效日起</w:t>
      </w:r>
      <w:r w:rsidRPr="00473486">
        <w:rPr>
          <w:rFonts w:eastAsiaTheme="minorEastAsia"/>
          <w:color w:val="000000" w:themeColor="text1"/>
          <w:szCs w:val="21"/>
        </w:rPr>
        <w:t xml:space="preserve"> 6 </w:t>
      </w:r>
      <w:r w:rsidRPr="00473486">
        <w:rPr>
          <w:rFonts w:eastAsiaTheme="minorEastAsia"/>
          <w:color w:val="000000" w:themeColor="text1"/>
          <w:szCs w:val="21"/>
        </w:rPr>
        <w:t>个月，建仓期结束时资产配置比例符合本基金基金合同规定。</w:t>
      </w:r>
    </w:p>
    <w:p w:rsidR="00881A82" w:rsidRPr="00473486" w:rsidRDefault="00881A82">
      <w:pPr>
        <w:pStyle w:val="a9"/>
        <w:snapToGrid w:val="0"/>
        <w:spacing w:before="120" w:line="360" w:lineRule="auto"/>
        <w:jc w:val="center"/>
        <w:rPr>
          <w:rFonts w:ascii="Times New Roman" w:eastAsiaTheme="minorEastAsia" w:hAnsi="Times New Roman"/>
          <w:color w:val="000000" w:themeColor="text1"/>
          <w:sz w:val="24"/>
          <w:szCs w:val="24"/>
        </w:rPr>
      </w:pPr>
    </w:p>
    <w:p w:rsidR="00881A82" w:rsidRPr="00473486" w:rsidRDefault="00881A82">
      <w:pPr>
        <w:tabs>
          <w:tab w:val="left" w:pos="1800"/>
        </w:tabs>
        <w:spacing w:line="288" w:lineRule="auto"/>
        <w:rPr>
          <w:rFonts w:eastAsiaTheme="minorEastAsia"/>
          <w:color w:val="000000" w:themeColor="text1"/>
          <w:szCs w:val="21"/>
        </w:rPr>
      </w:pP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§4  </w:t>
      </w:r>
      <w:r w:rsidRPr="00473486">
        <w:rPr>
          <w:rFonts w:eastAsiaTheme="minorEastAsia"/>
          <w:color w:val="000000" w:themeColor="text1"/>
          <w:kern w:val="0"/>
          <w:sz w:val="24"/>
          <w:szCs w:val="24"/>
        </w:rPr>
        <w:t>管理人报告</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4.1 </w:t>
      </w:r>
      <w:r w:rsidRPr="00473486">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881A82" w:rsidRPr="00473486">
        <w:trPr>
          <w:cantSplit/>
          <w:trHeight w:val="292"/>
        </w:trPr>
        <w:tc>
          <w:tcPr>
            <w:tcW w:w="851" w:type="dxa"/>
            <w:vMerge w:val="restart"/>
            <w:vAlign w:val="center"/>
          </w:tcPr>
          <w:p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姓名</w:t>
            </w:r>
          </w:p>
        </w:tc>
        <w:tc>
          <w:tcPr>
            <w:tcW w:w="850" w:type="dxa"/>
            <w:vMerge w:val="restart"/>
            <w:vAlign w:val="center"/>
          </w:tcPr>
          <w:p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职务</w:t>
            </w:r>
          </w:p>
        </w:tc>
        <w:tc>
          <w:tcPr>
            <w:tcW w:w="3119" w:type="dxa"/>
            <w:gridSpan w:val="2"/>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任本基金的基金经理期限</w:t>
            </w:r>
          </w:p>
        </w:tc>
        <w:tc>
          <w:tcPr>
            <w:tcW w:w="1417" w:type="dxa"/>
            <w:vMerge w:val="restart"/>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证券从业年限</w:t>
            </w:r>
          </w:p>
        </w:tc>
        <w:tc>
          <w:tcPr>
            <w:tcW w:w="2694" w:type="dxa"/>
            <w:vMerge w:val="restart"/>
            <w:vAlign w:val="center"/>
          </w:tcPr>
          <w:p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说明</w:t>
            </w:r>
          </w:p>
        </w:tc>
      </w:tr>
      <w:tr w:rsidR="00881A82" w:rsidRPr="00473486">
        <w:trPr>
          <w:cantSplit/>
        </w:trPr>
        <w:tc>
          <w:tcPr>
            <w:tcW w:w="851" w:type="dxa"/>
            <w:vMerge/>
            <w:vAlign w:val="center"/>
          </w:tcPr>
          <w:p w:rsidR="00881A82" w:rsidRPr="00473486" w:rsidRDefault="00881A82">
            <w:pPr>
              <w:widowControl/>
              <w:spacing w:line="360" w:lineRule="auto"/>
              <w:jc w:val="left"/>
              <w:rPr>
                <w:rFonts w:eastAsiaTheme="minorEastAsia"/>
                <w:color w:val="000000" w:themeColor="text1"/>
                <w:kern w:val="0"/>
                <w:szCs w:val="21"/>
              </w:rPr>
            </w:pPr>
          </w:p>
        </w:tc>
        <w:tc>
          <w:tcPr>
            <w:tcW w:w="850" w:type="dxa"/>
            <w:vMerge/>
            <w:vAlign w:val="center"/>
          </w:tcPr>
          <w:p w:rsidR="00881A82" w:rsidRPr="00473486" w:rsidRDefault="00881A82">
            <w:pPr>
              <w:widowControl/>
              <w:spacing w:line="360" w:lineRule="auto"/>
              <w:jc w:val="left"/>
              <w:rPr>
                <w:rFonts w:eastAsiaTheme="minorEastAsia"/>
                <w:color w:val="000000" w:themeColor="text1"/>
                <w:kern w:val="0"/>
                <w:szCs w:val="21"/>
              </w:rPr>
            </w:pPr>
          </w:p>
        </w:tc>
        <w:tc>
          <w:tcPr>
            <w:tcW w:w="1560"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任职日期</w:t>
            </w:r>
          </w:p>
        </w:tc>
        <w:tc>
          <w:tcPr>
            <w:tcW w:w="1559"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离任日期</w:t>
            </w:r>
          </w:p>
        </w:tc>
        <w:tc>
          <w:tcPr>
            <w:tcW w:w="1417" w:type="dxa"/>
            <w:vMerge/>
            <w:vAlign w:val="center"/>
          </w:tcPr>
          <w:p w:rsidR="00881A82" w:rsidRPr="00473486" w:rsidRDefault="00881A82">
            <w:pPr>
              <w:widowControl/>
              <w:spacing w:line="360" w:lineRule="auto"/>
              <w:jc w:val="left"/>
              <w:rPr>
                <w:rFonts w:eastAsiaTheme="minorEastAsia"/>
                <w:color w:val="000000" w:themeColor="text1"/>
                <w:kern w:val="0"/>
                <w:szCs w:val="21"/>
              </w:rPr>
            </w:pPr>
          </w:p>
        </w:tc>
        <w:tc>
          <w:tcPr>
            <w:tcW w:w="2694" w:type="dxa"/>
            <w:vMerge/>
            <w:vAlign w:val="center"/>
          </w:tcPr>
          <w:p w:rsidR="00881A82" w:rsidRPr="00473486" w:rsidRDefault="00881A82">
            <w:pPr>
              <w:widowControl/>
              <w:spacing w:line="360" w:lineRule="auto"/>
              <w:jc w:val="left"/>
              <w:rPr>
                <w:rFonts w:eastAsiaTheme="minorEastAsia"/>
                <w:color w:val="000000" w:themeColor="text1"/>
                <w:kern w:val="0"/>
                <w:szCs w:val="21"/>
              </w:rPr>
            </w:pPr>
          </w:p>
        </w:tc>
      </w:tr>
      <w:tr w:rsidR="00C341FE">
        <w:tc>
          <w:tcPr>
            <w:tcW w:w="851" w:type="dxa"/>
            <w:vAlign w:val="center"/>
          </w:tcPr>
          <w:p w:rsidR="00C341FE" w:rsidRDefault="00612AD1">
            <w:pPr>
              <w:jc w:val="center"/>
            </w:pPr>
            <w:r>
              <w:rPr>
                <w:rFonts w:eastAsiaTheme="minorEastAsia"/>
                <w:color w:val="000000" w:themeColor="text1"/>
                <w:szCs w:val="21"/>
              </w:rPr>
              <w:t>何智豪</w:t>
            </w:r>
          </w:p>
        </w:tc>
        <w:tc>
          <w:tcPr>
            <w:tcW w:w="850" w:type="dxa"/>
            <w:vAlign w:val="center"/>
          </w:tcPr>
          <w:p w:rsidR="00C341FE" w:rsidRDefault="00612AD1">
            <w:pPr>
              <w:jc w:val="center"/>
            </w:pPr>
            <w:r>
              <w:rPr>
                <w:rFonts w:eastAsiaTheme="minorEastAsia"/>
                <w:color w:val="000000" w:themeColor="text1"/>
                <w:szCs w:val="21"/>
              </w:rPr>
              <w:t>本基金基金经理</w:t>
            </w:r>
          </w:p>
        </w:tc>
        <w:tc>
          <w:tcPr>
            <w:tcW w:w="1560" w:type="dxa"/>
            <w:vAlign w:val="center"/>
          </w:tcPr>
          <w:p w:rsidR="00C341FE" w:rsidRDefault="00612AD1">
            <w:pPr>
              <w:jc w:val="center"/>
            </w:pPr>
            <w:r>
              <w:rPr>
                <w:rFonts w:eastAsiaTheme="minorEastAsia"/>
                <w:color w:val="000000" w:themeColor="text1"/>
                <w:szCs w:val="21"/>
              </w:rPr>
              <w:t>2021-02-19</w:t>
            </w:r>
          </w:p>
        </w:tc>
        <w:tc>
          <w:tcPr>
            <w:tcW w:w="1559" w:type="dxa"/>
            <w:vAlign w:val="center"/>
          </w:tcPr>
          <w:p w:rsidR="00C341FE" w:rsidRDefault="00612AD1">
            <w:pPr>
              <w:jc w:val="center"/>
            </w:pPr>
            <w:r>
              <w:rPr>
                <w:rFonts w:eastAsiaTheme="minorEastAsia"/>
                <w:color w:val="000000" w:themeColor="text1"/>
                <w:szCs w:val="21"/>
              </w:rPr>
              <w:t>-</w:t>
            </w:r>
          </w:p>
        </w:tc>
        <w:tc>
          <w:tcPr>
            <w:tcW w:w="1417" w:type="dxa"/>
            <w:vAlign w:val="center"/>
          </w:tcPr>
          <w:p w:rsidR="00C341FE" w:rsidRDefault="00612AD1">
            <w:pPr>
              <w:jc w:val="center"/>
            </w:pPr>
            <w:r>
              <w:rPr>
                <w:rFonts w:eastAsiaTheme="minorEastAsia"/>
                <w:color w:val="000000" w:themeColor="text1"/>
                <w:szCs w:val="21"/>
              </w:rPr>
              <w:t>10</w:t>
            </w:r>
            <w:r>
              <w:rPr>
                <w:rFonts w:eastAsiaTheme="minorEastAsia"/>
                <w:color w:val="000000" w:themeColor="text1"/>
                <w:szCs w:val="21"/>
              </w:rPr>
              <w:t>年</w:t>
            </w:r>
          </w:p>
        </w:tc>
        <w:tc>
          <w:tcPr>
            <w:tcW w:w="2694" w:type="dxa"/>
            <w:vAlign w:val="center"/>
          </w:tcPr>
          <w:p w:rsidR="00C341FE" w:rsidRDefault="00612AD1">
            <w:r>
              <w:rPr>
                <w:rFonts w:eastAsiaTheme="minorEastAsia"/>
                <w:color w:val="000000" w:themeColor="text1"/>
                <w:szCs w:val="21"/>
              </w:rPr>
              <w:t>何智豪先生曾任中国国际金融股份有限公司组合与量化策略研究员、资产管理</w:t>
            </w:r>
            <w:r>
              <w:rPr>
                <w:rFonts w:eastAsiaTheme="minorEastAsia"/>
                <w:color w:val="000000" w:themeColor="text1"/>
                <w:szCs w:val="21"/>
              </w:rPr>
              <w:lastRenderedPageBreak/>
              <w:t>部高级经理。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月起加入摩根基金管理（中国）有限公司（原上投摩根基金管理有限公司），现任基金经理。</w:t>
            </w:r>
          </w:p>
        </w:tc>
      </w:tr>
      <w:tr w:rsidR="00C341FE">
        <w:tc>
          <w:tcPr>
            <w:tcW w:w="851" w:type="dxa"/>
            <w:vAlign w:val="center"/>
          </w:tcPr>
          <w:p w:rsidR="00C341FE" w:rsidRDefault="00612AD1">
            <w:pPr>
              <w:jc w:val="center"/>
            </w:pPr>
            <w:r>
              <w:rPr>
                <w:rFonts w:eastAsiaTheme="minorEastAsia"/>
                <w:color w:val="000000" w:themeColor="text1"/>
                <w:szCs w:val="21"/>
              </w:rPr>
              <w:lastRenderedPageBreak/>
              <w:t>韩秀一</w:t>
            </w:r>
          </w:p>
        </w:tc>
        <w:tc>
          <w:tcPr>
            <w:tcW w:w="850" w:type="dxa"/>
            <w:vAlign w:val="center"/>
          </w:tcPr>
          <w:p w:rsidR="00C341FE" w:rsidRDefault="00612AD1">
            <w:pPr>
              <w:jc w:val="center"/>
            </w:pPr>
            <w:r>
              <w:rPr>
                <w:rFonts w:eastAsiaTheme="minorEastAsia"/>
                <w:color w:val="000000" w:themeColor="text1"/>
                <w:szCs w:val="21"/>
              </w:rPr>
              <w:t>本基金基金经理</w:t>
            </w:r>
          </w:p>
        </w:tc>
        <w:tc>
          <w:tcPr>
            <w:tcW w:w="1560" w:type="dxa"/>
            <w:vAlign w:val="center"/>
          </w:tcPr>
          <w:p w:rsidR="00C341FE" w:rsidRDefault="00612AD1">
            <w:pPr>
              <w:jc w:val="center"/>
            </w:pPr>
            <w:r>
              <w:rPr>
                <w:rFonts w:eastAsiaTheme="minorEastAsia"/>
                <w:color w:val="000000" w:themeColor="text1"/>
                <w:szCs w:val="21"/>
              </w:rPr>
              <w:t>2023-11-23</w:t>
            </w:r>
          </w:p>
        </w:tc>
        <w:tc>
          <w:tcPr>
            <w:tcW w:w="1559" w:type="dxa"/>
            <w:vAlign w:val="center"/>
          </w:tcPr>
          <w:p w:rsidR="00C341FE" w:rsidRDefault="00612AD1">
            <w:pPr>
              <w:jc w:val="center"/>
            </w:pPr>
            <w:r>
              <w:rPr>
                <w:rFonts w:eastAsiaTheme="minorEastAsia"/>
                <w:color w:val="000000" w:themeColor="text1"/>
                <w:szCs w:val="21"/>
              </w:rPr>
              <w:t>-</w:t>
            </w:r>
          </w:p>
        </w:tc>
        <w:tc>
          <w:tcPr>
            <w:tcW w:w="1417" w:type="dxa"/>
            <w:vAlign w:val="center"/>
          </w:tcPr>
          <w:p w:rsidR="00C341FE" w:rsidRDefault="00612AD1">
            <w:pPr>
              <w:jc w:val="center"/>
            </w:pPr>
            <w:r>
              <w:rPr>
                <w:rFonts w:eastAsiaTheme="minorEastAsia"/>
                <w:color w:val="000000" w:themeColor="text1"/>
                <w:szCs w:val="21"/>
              </w:rPr>
              <w:t>5</w:t>
            </w:r>
            <w:r>
              <w:rPr>
                <w:rFonts w:eastAsiaTheme="minorEastAsia"/>
                <w:color w:val="000000" w:themeColor="text1"/>
                <w:szCs w:val="21"/>
              </w:rPr>
              <w:t>年</w:t>
            </w:r>
          </w:p>
        </w:tc>
        <w:tc>
          <w:tcPr>
            <w:tcW w:w="2694" w:type="dxa"/>
            <w:vAlign w:val="center"/>
          </w:tcPr>
          <w:p w:rsidR="00C341FE" w:rsidRDefault="00612AD1">
            <w:r>
              <w:rPr>
                <w:rFonts w:eastAsiaTheme="minorEastAsia"/>
                <w:color w:val="000000" w:themeColor="text1"/>
                <w:szCs w:val="21"/>
              </w:rPr>
              <w:t>韩秀一先生曾任中国国际金融股份有限公司资产管理部分析员。自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月加入摩根基金管理（中国）有限公司（原上投摩根基金管理有限公司），历任研究员、研究员兼投资经理助理，现任指数及量化投资部基金经理。</w:t>
            </w:r>
          </w:p>
        </w:tc>
      </w:tr>
    </w:tbl>
    <w:p w:rsidR="00C341FE" w:rsidRDefault="00612AD1">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2.</w:t>
      </w:r>
      <w:r w:rsidRPr="00473486">
        <w:rPr>
          <w:rFonts w:eastAsiaTheme="minorEastAsia"/>
          <w:color w:val="000000" w:themeColor="text1"/>
          <w:szCs w:val="21"/>
        </w:rPr>
        <w:t>证券从业的含义遵从行业协会《证券业从业人员资格管理办法》的相关规定。</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4.2</w:t>
      </w:r>
      <w:r w:rsidRPr="00473486">
        <w:rPr>
          <w:b/>
          <w:color w:val="000000"/>
          <w:sz w:val="24"/>
          <w:shd w:val="clear" w:color="auto" w:fill="FFFFFF"/>
        </w:rPr>
        <w:t>管理人对报告期内本基金运作遵规守信情况的说明</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4.3 </w:t>
      </w:r>
      <w:r w:rsidRPr="00473486">
        <w:rPr>
          <w:rFonts w:eastAsiaTheme="minorEastAsia"/>
          <w:b/>
          <w:color w:val="000000" w:themeColor="text1"/>
          <w:kern w:val="0"/>
          <w:sz w:val="24"/>
        </w:rPr>
        <w:t>公平交易专项说明</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 xml:space="preserve">4.3.1 </w:t>
      </w:r>
      <w:r w:rsidRPr="00473486">
        <w:rPr>
          <w:rFonts w:eastAsiaTheme="minorEastAsia"/>
          <w:color w:val="000000" w:themeColor="text1"/>
          <w:szCs w:val="21"/>
        </w:rPr>
        <w:t>公平交易制度的执行情况</w:t>
      </w:r>
    </w:p>
    <w:p w:rsidR="00C341FE" w:rsidRDefault="00612AD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C341FE" w:rsidRDefault="00612AD1">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lastRenderedPageBreak/>
        <w:t>报告期内，通过对不同投资组合之间的收益率差异比较、对同向交易和反向交易的交易时机和交易价差监控分析，未发现整体公平交易执行出现异常的情况。</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 xml:space="preserve">4.3.2 </w:t>
      </w:r>
      <w:r w:rsidRPr="00473486">
        <w:rPr>
          <w:rFonts w:eastAsiaTheme="minorEastAsia"/>
          <w:color w:val="000000" w:themeColor="text1"/>
          <w:szCs w:val="21"/>
        </w:rPr>
        <w:t>异常交易行为的专项说明</w:t>
      </w:r>
    </w:p>
    <w:p w:rsidR="00C341FE" w:rsidRDefault="00612AD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所有投资组合参与的交易所公开竞价同日反向交易成交较少的单边交易量超过该证券当日成交量的</w:t>
      </w:r>
      <w:r w:rsidRPr="00473486">
        <w:rPr>
          <w:rFonts w:eastAsiaTheme="minorEastAsia"/>
          <w:color w:val="000000" w:themeColor="text1"/>
          <w:szCs w:val="21"/>
        </w:rPr>
        <w:t>5%</w:t>
      </w:r>
      <w:r w:rsidRPr="00473486">
        <w:rPr>
          <w:rFonts w:eastAsiaTheme="minorEastAsia"/>
          <w:color w:val="000000" w:themeColor="text1"/>
          <w:szCs w:val="21"/>
        </w:rPr>
        <w:t>的情形：无。</w:t>
      </w:r>
    </w:p>
    <w:p w:rsidR="00881A82" w:rsidRPr="00473486" w:rsidRDefault="00881A82">
      <w:pPr>
        <w:spacing w:line="360" w:lineRule="auto"/>
        <w:ind w:firstLineChars="200" w:firstLine="480"/>
        <w:rPr>
          <w:rFonts w:eastAsiaTheme="minorEastAsia"/>
          <w:color w:val="000000" w:themeColor="text1"/>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4.4 </w:t>
      </w:r>
      <w:r w:rsidRPr="00473486">
        <w:rPr>
          <w:rFonts w:eastAsiaTheme="minorEastAsia"/>
          <w:b/>
          <w:color w:val="000000" w:themeColor="text1"/>
          <w:kern w:val="0"/>
          <w:sz w:val="24"/>
        </w:rPr>
        <w:t>报告期内基金的投资策略和业绩表现说明</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4.4.1</w:t>
      </w:r>
      <w:r w:rsidRPr="00473486">
        <w:rPr>
          <w:rFonts w:eastAsiaTheme="minorEastAsia"/>
          <w:color w:val="000000" w:themeColor="text1"/>
          <w:szCs w:val="21"/>
        </w:rPr>
        <w:t>报告期内基金投资策略和运作分析</w:t>
      </w:r>
    </w:p>
    <w:p w:rsidR="00C341FE" w:rsidRDefault="00612AD1">
      <w:pPr>
        <w:spacing w:line="360" w:lineRule="auto"/>
        <w:ind w:firstLineChars="200" w:firstLine="420"/>
        <w:rPr>
          <w:rFonts w:eastAsiaTheme="minorEastAsia"/>
          <w:color w:val="000000" w:themeColor="text1"/>
          <w:szCs w:val="21"/>
        </w:rPr>
      </w:pPr>
      <w:r>
        <w:rPr>
          <w:rFonts w:eastAsiaTheme="minorEastAsia"/>
          <w:color w:val="000000" w:themeColor="text1"/>
          <w:szCs w:val="21"/>
        </w:rPr>
        <w:t>整体来看，</w:t>
      </w:r>
      <w:r>
        <w:rPr>
          <w:rFonts w:eastAsiaTheme="minorEastAsia"/>
          <w:color w:val="000000" w:themeColor="text1"/>
          <w:szCs w:val="21"/>
        </w:rPr>
        <w:t>2024</w:t>
      </w:r>
      <w:r>
        <w:rPr>
          <w:rFonts w:eastAsiaTheme="minorEastAsia"/>
          <w:color w:val="000000" w:themeColor="text1"/>
          <w:szCs w:val="21"/>
        </w:rPr>
        <w:t>年一季度，</w:t>
      </w:r>
      <w:r>
        <w:rPr>
          <w:rFonts w:eastAsiaTheme="minorEastAsia"/>
          <w:color w:val="000000" w:themeColor="text1"/>
          <w:szCs w:val="21"/>
        </w:rPr>
        <w:t xml:space="preserve">A </w:t>
      </w:r>
      <w:r>
        <w:rPr>
          <w:rFonts w:eastAsiaTheme="minorEastAsia"/>
          <w:color w:val="000000" w:themeColor="text1"/>
          <w:szCs w:val="21"/>
        </w:rPr>
        <w:t>股经历前期探底阶段后，进入</w:t>
      </w:r>
      <w:r>
        <w:rPr>
          <w:rFonts w:eastAsiaTheme="minorEastAsia"/>
          <w:color w:val="000000" w:themeColor="text1"/>
          <w:szCs w:val="21"/>
        </w:rPr>
        <w:t>2</w:t>
      </w:r>
      <w:r>
        <w:rPr>
          <w:rFonts w:eastAsiaTheme="minorEastAsia"/>
          <w:color w:val="000000" w:themeColor="text1"/>
          <w:szCs w:val="21"/>
        </w:rPr>
        <w:t>月，随着稳增长政策持续加码，监管层出台一系列旨在稳定市场的举措，</w:t>
      </w:r>
      <w:r>
        <w:rPr>
          <w:rFonts w:eastAsiaTheme="minorEastAsia"/>
          <w:color w:val="000000" w:themeColor="text1"/>
          <w:szCs w:val="21"/>
        </w:rPr>
        <w:t>A</w:t>
      </w:r>
      <w:r>
        <w:rPr>
          <w:rFonts w:eastAsiaTheme="minorEastAsia"/>
          <w:color w:val="000000" w:themeColor="text1"/>
          <w:szCs w:val="21"/>
        </w:rPr>
        <w:t>股市场开启反弹行情。</w:t>
      </w:r>
      <w:r>
        <w:rPr>
          <w:rFonts w:eastAsiaTheme="minorEastAsia"/>
          <w:color w:val="000000" w:themeColor="text1"/>
          <w:szCs w:val="21"/>
        </w:rPr>
        <w:t>3</w:t>
      </w:r>
      <w:r>
        <w:rPr>
          <w:rFonts w:eastAsiaTheme="minorEastAsia"/>
          <w:color w:val="000000" w:themeColor="text1"/>
          <w:szCs w:val="21"/>
        </w:rPr>
        <w:t>月两会召开提振市场信心，</w:t>
      </w:r>
      <w:r>
        <w:rPr>
          <w:rFonts w:eastAsiaTheme="minorEastAsia"/>
          <w:color w:val="000000" w:themeColor="text1"/>
          <w:szCs w:val="21"/>
        </w:rPr>
        <w:t>A</w:t>
      </w:r>
      <w:r>
        <w:rPr>
          <w:rFonts w:eastAsiaTheme="minorEastAsia"/>
          <w:color w:val="000000" w:themeColor="text1"/>
          <w:szCs w:val="21"/>
        </w:rPr>
        <w:t>股市场延续修复态势，但自</w:t>
      </w:r>
      <w:r>
        <w:rPr>
          <w:rFonts w:eastAsiaTheme="minorEastAsia"/>
          <w:color w:val="000000" w:themeColor="text1"/>
          <w:szCs w:val="21"/>
        </w:rPr>
        <w:t>3</w:t>
      </w:r>
      <w:r>
        <w:rPr>
          <w:rFonts w:eastAsiaTheme="minorEastAsia"/>
          <w:color w:val="000000" w:themeColor="text1"/>
          <w:szCs w:val="21"/>
        </w:rPr>
        <w:t>月中下旬以来，市场进入反弹后的震荡阶段。一季度，本基金跟踪的</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股指数上涨</w:t>
      </w:r>
      <w:r>
        <w:rPr>
          <w:rFonts w:eastAsiaTheme="minorEastAsia"/>
          <w:color w:val="000000" w:themeColor="text1"/>
          <w:szCs w:val="21"/>
        </w:rPr>
        <w:t>1.21%</w:t>
      </w:r>
      <w:r>
        <w:rPr>
          <w:rFonts w:eastAsiaTheme="minorEastAsia"/>
          <w:color w:val="000000" w:themeColor="text1"/>
          <w:szCs w:val="21"/>
        </w:rPr>
        <w:t>。结构上来看，</w:t>
      </w:r>
      <w:r>
        <w:rPr>
          <w:rFonts w:eastAsiaTheme="minorEastAsia"/>
          <w:color w:val="000000" w:themeColor="text1"/>
          <w:szCs w:val="21"/>
        </w:rPr>
        <w:t xml:space="preserve">31 </w:t>
      </w:r>
      <w:r>
        <w:rPr>
          <w:rFonts w:eastAsiaTheme="minorEastAsia"/>
          <w:color w:val="000000" w:themeColor="text1"/>
          <w:szCs w:val="21"/>
        </w:rPr>
        <w:t>个申万一级行业中涨幅居前的分别为银行、石油石化、煤炭和家用电器行业，而跌幅较大的行业为医药生物、计算机和电子。</w:t>
      </w:r>
      <w:r>
        <w:rPr>
          <w:rFonts w:eastAsiaTheme="minorEastAsia"/>
          <w:color w:val="000000" w:themeColor="text1"/>
          <w:szCs w:val="21"/>
        </w:rPr>
        <w:t xml:space="preserve"> </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展望未来，一系列经济数据显示利好因素正在积累，国内的基本面预期已在伴随着出台的数据和政策逐步回暖。一方面，</w:t>
      </w:r>
      <w:r w:rsidRPr="00473486">
        <w:rPr>
          <w:rFonts w:eastAsiaTheme="minorEastAsia"/>
          <w:color w:val="000000" w:themeColor="text1"/>
          <w:szCs w:val="21"/>
        </w:rPr>
        <w:t>3</w:t>
      </w:r>
      <w:r w:rsidRPr="00473486">
        <w:rPr>
          <w:rFonts w:eastAsiaTheme="minorEastAsia"/>
          <w:color w:val="000000" w:themeColor="text1"/>
          <w:szCs w:val="21"/>
        </w:rPr>
        <w:t>月制造业</w:t>
      </w:r>
      <w:r w:rsidRPr="00473486">
        <w:rPr>
          <w:rFonts w:eastAsiaTheme="minorEastAsia"/>
          <w:color w:val="000000" w:themeColor="text1"/>
          <w:szCs w:val="21"/>
        </w:rPr>
        <w:t>PMI</w:t>
      </w:r>
      <w:r w:rsidRPr="00473486">
        <w:rPr>
          <w:rFonts w:eastAsiaTheme="minorEastAsia"/>
          <w:color w:val="000000" w:themeColor="text1"/>
          <w:szCs w:val="21"/>
        </w:rPr>
        <w:t>升至</w:t>
      </w:r>
      <w:r w:rsidRPr="00473486">
        <w:rPr>
          <w:rFonts w:eastAsiaTheme="minorEastAsia"/>
          <w:color w:val="000000" w:themeColor="text1"/>
          <w:szCs w:val="21"/>
        </w:rPr>
        <w:t>50.8%</w:t>
      </w:r>
      <w:r w:rsidRPr="00473486">
        <w:rPr>
          <w:rFonts w:eastAsiaTheme="minorEastAsia"/>
          <w:color w:val="000000" w:themeColor="text1"/>
          <w:szCs w:val="21"/>
        </w:rPr>
        <w:t>明显高于预期，时隔</w:t>
      </w:r>
      <w:r w:rsidRPr="00473486">
        <w:rPr>
          <w:rFonts w:eastAsiaTheme="minorEastAsia"/>
          <w:color w:val="000000" w:themeColor="text1"/>
          <w:szCs w:val="21"/>
        </w:rPr>
        <w:t>6</w:t>
      </w:r>
      <w:r w:rsidRPr="00473486">
        <w:rPr>
          <w:rFonts w:eastAsiaTheme="minorEastAsia"/>
          <w:color w:val="000000" w:themeColor="text1"/>
          <w:szCs w:val="21"/>
        </w:rPr>
        <w:t>个月重新站上扩张区间，另一方面，各项政策宽松措施加速落地。随着国内经济持续修复，稳增长政策加码，为盈利增速的持续修复提供支撑，而如果上市公司盈利增速能够提升，</w:t>
      </w:r>
      <w:r w:rsidRPr="00473486">
        <w:rPr>
          <w:rFonts w:eastAsiaTheme="minorEastAsia"/>
          <w:color w:val="000000" w:themeColor="text1"/>
          <w:szCs w:val="21"/>
        </w:rPr>
        <w:t>A</w:t>
      </w:r>
      <w:r w:rsidRPr="00473486">
        <w:rPr>
          <w:rFonts w:eastAsiaTheme="minorEastAsia"/>
          <w:color w:val="000000" w:themeColor="text1"/>
          <w:szCs w:val="21"/>
        </w:rPr>
        <w:t>股市场或将迎来估值修复行情。主要的风险来自于，稳增长政策落地进度不及预期，国内经济修复不及预期。</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4.4.2</w:t>
      </w:r>
      <w:r w:rsidRPr="00473486">
        <w:rPr>
          <w:rFonts w:eastAsiaTheme="minorEastAsia"/>
          <w:color w:val="000000" w:themeColor="text1"/>
          <w:szCs w:val="21"/>
        </w:rPr>
        <w:t>报告期内基金的业绩表现</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本报告期摩根</w:t>
      </w:r>
      <w:r w:rsidRPr="00473486">
        <w:rPr>
          <w:rFonts w:eastAsiaTheme="minorEastAsia"/>
          <w:color w:val="000000" w:themeColor="text1"/>
          <w:szCs w:val="21"/>
        </w:rPr>
        <w:t>MSCI</w:t>
      </w:r>
      <w:r w:rsidRPr="00473486">
        <w:rPr>
          <w:rFonts w:eastAsiaTheme="minorEastAsia"/>
          <w:color w:val="000000" w:themeColor="text1"/>
          <w:szCs w:val="21"/>
        </w:rPr>
        <w:t>中国</w:t>
      </w:r>
      <w:r w:rsidRPr="00473486">
        <w:rPr>
          <w:rFonts w:eastAsiaTheme="minorEastAsia"/>
          <w:color w:val="000000" w:themeColor="text1"/>
          <w:szCs w:val="21"/>
        </w:rPr>
        <w:t>A</w:t>
      </w:r>
      <w:r w:rsidRPr="00473486">
        <w:rPr>
          <w:rFonts w:eastAsiaTheme="minorEastAsia"/>
          <w:color w:val="000000" w:themeColor="text1"/>
          <w:szCs w:val="21"/>
        </w:rPr>
        <w:t>股</w:t>
      </w:r>
      <w:r w:rsidRPr="00473486">
        <w:rPr>
          <w:rFonts w:eastAsiaTheme="minorEastAsia"/>
          <w:color w:val="000000" w:themeColor="text1"/>
          <w:szCs w:val="21"/>
        </w:rPr>
        <w:t>ETF</w:t>
      </w:r>
      <w:r w:rsidRPr="00473486">
        <w:rPr>
          <w:rFonts w:eastAsiaTheme="minorEastAsia"/>
          <w:color w:val="000000" w:themeColor="text1"/>
          <w:szCs w:val="21"/>
        </w:rPr>
        <w:t>份额净值增长率为</w:t>
      </w:r>
      <w:r w:rsidRPr="00473486">
        <w:rPr>
          <w:rFonts w:eastAsiaTheme="minorEastAsia"/>
          <w:color w:val="000000" w:themeColor="text1"/>
          <w:szCs w:val="21"/>
        </w:rPr>
        <w:t>:2.29%</w:t>
      </w:r>
      <w:r w:rsidRPr="00473486">
        <w:rPr>
          <w:rFonts w:eastAsiaTheme="minorEastAsia"/>
          <w:color w:val="000000" w:themeColor="text1"/>
          <w:szCs w:val="21"/>
        </w:rPr>
        <w:t>，同期业绩比较基准收益率为</w:t>
      </w:r>
      <w:r w:rsidRPr="00473486">
        <w:rPr>
          <w:rFonts w:eastAsiaTheme="minorEastAsia"/>
          <w:color w:val="000000" w:themeColor="text1"/>
          <w:szCs w:val="21"/>
        </w:rPr>
        <w:t>:2.</w:t>
      </w:r>
      <w:r w:rsidR="00612AD1">
        <w:rPr>
          <w:rFonts w:eastAsiaTheme="minorEastAsia"/>
          <w:color w:val="000000" w:themeColor="text1"/>
          <w:szCs w:val="21"/>
        </w:rPr>
        <w:t>68</w:t>
      </w:r>
      <w:r w:rsidRPr="00473486">
        <w:rPr>
          <w:rFonts w:eastAsiaTheme="minorEastAsia"/>
          <w:color w:val="000000" w:themeColor="text1"/>
          <w:szCs w:val="21"/>
        </w:rPr>
        <w:t>%</w:t>
      </w:r>
      <w:r w:rsidRPr="00473486">
        <w:rPr>
          <w:rFonts w:eastAsiaTheme="minorEastAsia"/>
          <w:color w:val="000000" w:themeColor="text1"/>
          <w:szCs w:val="21"/>
        </w:rPr>
        <w:t>。</w:t>
      </w:r>
    </w:p>
    <w:p w:rsidR="00881A82" w:rsidRPr="00473486" w:rsidRDefault="00881A82">
      <w:pPr>
        <w:spacing w:line="360" w:lineRule="auto"/>
        <w:ind w:firstLineChars="200" w:firstLine="480"/>
        <w:rPr>
          <w:rFonts w:eastAsiaTheme="minorEastAsia"/>
          <w:color w:val="000000" w:themeColor="text1"/>
          <w:sz w:val="24"/>
        </w:rPr>
      </w:pPr>
    </w:p>
    <w:p w:rsidR="00881A82" w:rsidRPr="00473486" w:rsidRDefault="007D1E3A">
      <w:pPr>
        <w:spacing w:line="360" w:lineRule="auto"/>
        <w:rPr>
          <w:rFonts w:eastAsiaTheme="minorEastAsia"/>
          <w:color w:val="000000" w:themeColor="text1"/>
          <w:sz w:val="24"/>
        </w:rPr>
      </w:pPr>
      <w:r w:rsidRPr="00473486">
        <w:rPr>
          <w:rFonts w:eastAsiaTheme="minorEastAsia"/>
          <w:b/>
          <w:color w:val="000000" w:themeColor="text1"/>
          <w:kern w:val="0"/>
          <w:sz w:val="24"/>
        </w:rPr>
        <w:t>4.5</w:t>
      </w:r>
      <w:r w:rsidRPr="00473486">
        <w:rPr>
          <w:rFonts w:eastAsiaTheme="minorEastAsia"/>
          <w:b/>
          <w:color w:val="000000" w:themeColor="text1"/>
          <w:kern w:val="0"/>
          <w:sz w:val="24"/>
        </w:rPr>
        <w:t>报告期内基金持有人数或基金资产净值预警说明</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kern w:val="0"/>
          <w:szCs w:val="21"/>
        </w:rPr>
        <w:t>无。</w:t>
      </w: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lastRenderedPageBreak/>
        <w:t xml:space="preserve">§5  </w:t>
      </w:r>
      <w:r w:rsidRPr="00473486">
        <w:rPr>
          <w:rFonts w:eastAsiaTheme="minorEastAsia"/>
          <w:color w:val="000000" w:themeColor="text1"/>
          <w:kern w:val="0"/>
          <w:sz w:val="24"/>
          <w:szCs w:val="24"/>
        </w:rPr>
        <w:t>投资组合报告</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5.1 </w:t>
      </w:r>
      <w:r w:rsidRPr="00473486">
        <w:rPr>
          <w:rFonts w:eastAsiaTheme="minorEastAsia"/>
          <w:b/>
          <w:color w:val="000000" w:themeColor="text1"/>
          <w:kern w:val="0"/>
          <w:sz w:val="24"/>
        </w:rPr>
        <w:t>报告期末基金资产组合情况</w:t>
      </w:r>
    </w:p>
    <w:tbl>
      <w:tblPr>
        <w:tblStyle w:val="afa"/>
        <w:tblW w:w="8897" w:type="dxa"/>
        <w:jc w:val="center"/>
        <w:tblLayout w:type="fixed"/>
        <w:tblLook w:val="04A0" w:firstRow="1" w:lastRow="0" w:firstColumn="1" w:lastColumn="0" w:noHBand="0" w:noVBand="1"/>
      </w:tblPr>
      <w:tblGrid>
        <w:gridCol w:w="720"/>
        <w:gridCol w:w="3357"/>
        <w:gridCol w:w="2977"/>
        <w:gridCol w:w="1843"/>
      </w:tblGrid>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3357"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项目</w:t>
            </w:r>
          </w:p>
        </w:tc>
        <w:tc>
          <w:tcPr>
            <w:tcW w:w="2977"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金额</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占基金总资产的比例</w:t>
            </w: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1</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权益投资</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71,533,610.40</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92.35</w:t>
            </w:r>
          </w:p>
        </w:tc>
      </w:tr>
      <w:tr w:rsidR="00881A82" w:rsidRPr="00473486">
        <w:trPr>
          <w:jc w:val="center"/>
        </w:trPr>
        <w:tc>
          <w:tcPr>
            <w:tcW w:w="720" w:type="dxa"/>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其中：股票</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71,533,610.40</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92.35</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固定收益投资</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24,648.13</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0.03</w:t>
            </w:r>
          </w:p>
        </w:tc>
      </w:tr>
      <w:tr w:rsidR="00881A82" w:rsidRPr="00473486">
        <w:trPr>
          <w:jc w:val="center"/>
        </w:trPr>
        <w:tc>
          <w:tcPr>
            <w:tcW w:w="720" w:type="dxa"/>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其中：债券</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24,648.13</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0.03</w:t>
            </w:r>
          </w:p>
        </w:tc>
      </w:tr>
      <w:tr w:rsidR="00881A82" w:rsidRPr="00473486">
        <w:trPr>
          <w:jc w:val="center"/>
        </w:trPr>
        <w:tc>
          <w:tcPr>
            <w:tcW w:w="720" w:type="dxa"/>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rsidR="00881A82" w:rsidRPr="00473486" w:rsidRDefault="007D1E3A">
            <w:pPr>
              <w:autoSpaceDE w:val="0"/>
              <w:autoSpaceDN w:val="0"/>
              <w:adjustRightInd w:val="0"/>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资产支持证券</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3</w:t>
            </w:r>
          </w:p>
        </w:tc>
        <w:tc>
          <w:tcPr>
            <w:tcW w:w="3357" w:type="dxa"/>
          </w:tcPr>
          <w:p w:rsidR="00881A82" w:rsidRPr="00473486" w:rsidRDefault="007D1E3A">
            <w:pPr>
              <w:spacing w:before="29" w:line="360" w:lineRule="auto"/>
              <w:ind w:leftChars="50" w:left="105"/>
              <w:rPr>
                <w:rFonts w:eastAsiaTheme="minorEastAsia"/>
                <w:color w:val="000000" w:themeColor="text1"/>
                <w:szCs w:val="21"/>
              </w:rPr>
            </w:pPr>
            <w:r w:rsidRPr="00473486">
              <w:rPr>
                <w:rFonts w:eastAsiaTheme="minorEastAsia"/>
                <w:color w:val="000000" w:themeColor="text1"/>
                <w:szCs w:val="21"/>
              </w:rPr>
              <w:t>贵金属投资</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4</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金融衍生品投资</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5</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买入返售金融资产</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其中：买断式回购的买入返售金融资产</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6</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银行存款和结算备付金合计</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5,518,254.48</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7.12</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7</w:t>
            </w:r>
          </w:p>
        </w:tc>
        <w:tc>
          <w:tcPr>
            <w:tcW w:w="3357" w:type="dxa"/>
            <w:vAlign w:val="center"/>
          </w:tcPr>
          <w:p w:rsidR="00881A82" w:rsidRPr="00473486" w:rsidRDefault="007D1E3A">
            <w:pPr>
              <w:jc w:val="left"/>
              <w:rPr>
                <w:rFonts w:eastAsiaTheme="minorEastAsia"/>
                <w:color w:val="000000" w:themeColor="text1"/>
                <w:szCs w:val="21"/>
              </w:rPr>
            </w:pPr>
            <w:r w:rsidRPr="00473486">
              <w:rPr>
                <w:rFonts w:eastAsiaTheme="minorEastAsia"/>
                <w:color w:val="000000" w:themeColor="text1"/>
                <w:szCs w:val="21"/>
              </w:rPr>
              <w:t>其他各项资产</w:t>
            </w:r>
          </w:p>
        </w:tc>
        <w:tc>
          <w:tcPr>
            <w:tcW w:w="2977" w:type="dxa"/>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386,252.38</w:t>
            </w:r>
          </w:p>
        </w:tc>
        <w:tc>
          <w:tcPr>
            <w:tcW w:w="1843" w:type="dxa"/>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0.50</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8</w:t>
            </w:r>
          </w:p>
        </w:tc>
        <w:tc>
          <w:tcPr>
            <w:tcW w:w="3357" w:type="dxa"/>
            <w:vAlign w:val="center"/>
          </w:tcPr>
          <w:p w:rsidR="00881A82" w:rsidRPr="00473486" w:rsidRDefault="007D1E3A">
            <w:pPr>
              <w:jc w:val="left"/>
              <w:rPr>
                <w:rFonts w:eastAsiaTheme="minorEastAsia"/>
                <w:color w:val="000000" w:themeColor="text1"/>
                <w:szCs w:val="21"/>
              </w:rPr>
            </w:pPr>
            <w:r w:rsidRPr="00473486">
              <w:rPr>
                <w:rFonts w:eastAsiaTheme="minorEastAsia"/>
                <w:color w:val="000000" w:themeColor="text1"/>
                <w:szCs w:val="21"/>
              </w:rPr>
              <w:t>合计</w:t>
            </w:r>
          </w:p>
        </w:tc>
        <w:tc>
          <w:tcPr>
            <w:tcW w:w="2977" w:type="dxa"/>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77,462,765.39</w:t>
            </w:r>
          </w:p>
        </w:tc>
        <w:tc>
          <w:tcPr>
            <w:tcW w:w="1843" w:type="dxa"/>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100.00</w:t>
            </w:r>
          </w:p>
        </w:tc>
      </w:tr>
    </w:tbl>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5.2 </w:t>
      </w:r>
      <w:r w:rsidRPr="00473486">
        <w:rPr>
          <w:rFonts w:eastAsiaTheme="minorEastAsia"/>
          <w:b/>
          <w:color w:val="000000" w:themeColor="text1"/>
          <w:kern w:val="0"/>
          <w:sz w:val="24"/>
        </w:rPr>
        <w:t>报告期末按行业分类的股票投资组合</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5.2.1</w:t>
      </w:r>
      <w:r w:rsidRPr="00473486">
        <w:rPr>
          <w:rFonts w:eastAsiaTheme="minorEastAsia"/>
          <w:b/>
          <w:color w:val="000000" w:themeColor="text1"/>
          <w:kern w:val="0"/>
          <w:sz w:val="24"/>
        </w:rPr>
        <w:t>积极投资按行业分类的股票投资组合</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本基金本报告期末未持有积极投资股票。</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5.2.2</w:t>
      </w:r>
      <w:r w:rsidRPr="00473486">
        <w:rPr>
          <w:rFonts w:eastAsiaTheme="minorEastAsia"/>
          <w:b/>
          <w:color w:val="000000" w:themeColor="text1"/>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881A82" w:rsidRPr="00473486">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占基金资产净值比例（％）</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775,617.90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1.02</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4,309,434.20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5.69</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39,258,198.29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51.87</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3,277,895.40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4.33</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lastRenderedPageBreak/>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1,523,909.40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2.01</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555,101.30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0.73</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2,714,857.50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3.59</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49,086.00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0.06</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2,865,980.99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3.79</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13,600,760.02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17.97</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848,951.24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1.12</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659,374.38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0.87</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322,280.38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0.43</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59,886.20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0.08</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35,105.00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0.05</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353,468.40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0.47</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272,721.80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0.36</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50,982.00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0.07</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881A82">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71,533,610.40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94.51</w:t>
            </w:r>
          </w:p>
        </w:tc>
      </w:tr>
    </w:tbl>
    <w:p w:rsidR="00881A82" w:rsidRPr="00473486" w:rsidRDefault="00881A82">
      <w:pPr>
        <w:autoSpaceDE w:val="0"/>
        <w:autoSpaceDN w:val="0"/>
        <w:adjustRightInd w:val="0"/>
        <w:spacing w:line="360" w:lineRule="auto"/>
        <w:jc w:val="left"/>
        <w:rPr>
          <w:rFonts w:eastAsiaTheme="minorEastAsia"/>
          <w:color w:val="000000" w:themeColor="text1"/>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5.3</w:t>
      </w:r>
      <w:r w:rsidRPr="00473486">
        <w:rPr>
          <w:rFonts w:eastAsiaTheme="minorEastAsia"/>
          <w:b/>
          <w:color w:val="000000" w:themeColor="text1"/>
          <w:kern w:val="0"/>
          <w:sz w:val="24"/>
        </w:rPr>
        <w:t>报告期末按公允价值占基金资产净值比例大小排序的股票投资明细</w:t>
      </w: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5.3.1</w:t>
      </w:r>
      <w:r w:rsidRPr="00473486">
        <w:rPr>
          <w:rFonts w:eastAsiaTheme="minorEastAsia"/>
          <w:b/>
          <w:color w:val="000000" w:themeColor="text1"/>
          <w:kern w:val="0"/>
          <w:sz w:val="24"/>
        </w:rPr>
        <w:t>期末</w:t>
      </w:r>
      <w:r w:rsidRPr="00473486">
        <w:rPr>
          <w:rFonts w:eastAsiaTheme="minorEastAsia"/>
          <w:b/>
          <w:color w:val="000000" w:themeColor="text1"/>
          <w:sz w:val="24"/>
        </w:rPr>
        <w:t>指数投资按公允价值占基金资产净值比例大小排序的前十名股票投资明细</w:t>
      </w:r>
    </w:p>
    <w:tbl>
      <w:tblPr>
        <w:tblStyle w:val="afa"/>
        <w:tblW w:w="8528" w:type="dxa"/>
        <w:tblLayout w:type="fixed"/>
        <w:tblLook w:val="04A0" w:firstRow="1" w:lastRow="0" w:firstColumn="1" w:lastColumn="0" w:noHBand="0" w:noVBand="1"/>
      </w:tblPr>
      <w:tblGrid>
        <w:gridCol w:w="817"/>
        <w:gridCol w:w="1276"/>
        <w:gridCol w:w="1701"/>
        <w:gridCol w:w="1276"/>
        <w:gridCol w:w="1842"/>
        <w:gridCol w:w="1616"/>
      </w:tblGrid>
      <w:tr w:rsidR="00881A82" w:rsidRPr="00473486">
        <w:tc>
          <w:tcPr>
            <w:tcW w:w="817"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127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股票代码</w:t>
            </w:r>
          </w:p>
        </w:tc>
        <w:tc>
          <w:tcPr>
            <w:tcW w:w="1701"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股票名称</w:t>
            </w:r>
          </w:p>
        </w:tc>
        <w:tc>
          <w:tcPr>
            <w:tcW w:w="127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数量</w:t>
            </w:r>
            <w:r w:rsidRPr="00473486">
              <w:rPr>
                <w:rFonts w:eastAsiaTheme="minorEastAsia"/>
                <w:color w:val="000000" w:themeColor="text1"/>
                <w:szCs w:val="21"/>
              </w:rPr>
              <w:t>(</w:t>
            </w:r>
            <w:r w:rsidRPr="00473486">
              <w:rPr>
                <w:rFonts w:eastAsiaTheme="minorEastAsia"/>
                <w:color w:val="000000" w:themeColor="text1"/>
                <w:szCs w:val="21"/>
              </w:rPr>
              <w:t>股</w:t>
            </w:r>
            <w:r w:rsidRPr="00473486">
              <w:rPr>
                <w:rFonts w:eastAsiaTheme="minorEastAsia"/>
                <w:color w:val="000000" w:themeColor="text1"/>
                <w:szCs w:val="21"/>
              </w:rPr>
              <w:t>)</w:t>
            </w:r>
          </w:p>
        </w:tc>
        <w:tc>
          <w:tcPr>
            <w:tcW w:w="1842"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61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r w:rsidRPr="00473486">
              <w:rPr>
                <w:rFonts w:eastAsiaTheme="minorEastAsia"/>
                <w:color w:val="000000" w:themeColor="text1"/>
                <w:szCs w:val="21"/>
              </w:rPr>
              <w:t>％</w:t>
            </w:r>
            <w:r w:rsidRPr="00473486">
              <w:rPr>
                <w:rFonts w:eastAsiaTheme="minorEastAsia"/>
                <w:color w:val="000000" w:themeColor="text1"/>
                <w:szCs w:val="21"/>
              </w:rPr>
              <w:t>)</w:t>
            </w:r>
          </w:p>
        </w:tc>
      </w:tr>
      <w:tr w:rsidR="00C341FE">
        <w:tc>
          <w:tcPr>
            <w:tcW w:w="817" w:type="dxa"/>
            <w:vAlign w:val="center"/>
          </w:tcPr>
          <w:p w:rsidR="00C341FE" w:rsidRDefault="00612AD1">
            <w:pPr>
              <w:jc w:val="center"/>
            </w:pPr>
            <w:r>
              <w:rPr>
                <w:rFonts w:eastAsiaTheme="minorEastAsia"/>
                <w:color w:val="000000" w:themeColor="text1"/>
                <w:szCs w:val="21"/>
              </w:rPr>
              <w:t>1</w:t>
            </w:r>
          </w:p>
        </w:tc>
        <w:tc>
          <w:tcPr>
            <w:tcW w:w="1276" w:type="dxa"/>
            <w:vAlign w:val="center"/>
          </w:tcPr>
          <w:p w:rsidR="00C341FE" w:rsidRDefault="00612AD1">
            <w:pPr>
              <w:jc w:val="center"/>
            </w:pPr>
            <w:r>
              <w:rPr>
                <w:rFonts w:eastAsiaTheme="minorEastAsia"/>
                <w:color w:val="000000" w:themeColor="text1"/>
                <w:szCs w:val="21"/>
              </w:rPr>
              <w:t>600519</w:t>
            </w:r>
          </w:p>
        </w:tc>
        <w:tc>
          <w:tcPr>
            <w:tcW w:w="1701" w:type="dxa"/>
            <w:vAlign w:val="center"/>
          </w:tcPr>
          <w:p w:rsidR="00C341FE" w:rsidRDefault="00612AD1">
            <w:pPr>
              <w:jc w:val="center"/>
            </w:pPr>
            <w:r>
              <w:rPr>
                <w:rFonts w:eastAsiaTheme="minorEastAsia"/>
                <w:color w:val="000000" w:themeColor="text1"/>
                <w:szCs w:val="21"/>
              </w:rPr>
              <w:t>贵州茅台</w:t>
            </w:r>
          </w:p>
        </w:tc>
        <w:tc>
          <w:tcPr>
            <w:tcW w:w="1276" w:type="dxa"/>
            <w:vAlign w:val="center"/>
          </w:tcPr>
          <w:p w:rsidR="00C341FE" w:rsidRDefault="00612AD1">
            <w:pPr>
              <w:jc w:val="right"/>
            </w:pPr>
            <w:r>
              <w:rPr>
                <w:rFonts w:eastAsiaTheme="minorEastAsia"/>
                <w:color w:val="000000" w:themeColor="text1"/>
                <w:szCs w:val="21"/>
              </w:rPr>
              <w:t>2,448.00</w:t>
            </w:r>
          </w:p>
        </w:tc>
        <w:tc>
          <w:tcPr>
            <w:tcW w:w="1842" w:type="dxa"/>
            <w:vAlign w:val="center"/>
          </w:tcPr>
          <w:p w:rsidR="00C341FE" w:rsidRDefault="00612AD1">
            <w:pPr>
              <w:jc w:val="right"/>
            </w:pPr>
            <w:r>
              <w:rPr>
                <w:rFonts w:eastAsiaTheme="minorEastAsia"/>
                <w:color w:val="000000" w:themeColor="text1"/>
                <w:szCs w:val="21"/>
              </w:rPr>
              <w:t>4,168,699.20</w:t>
            </w:r>
          </w:p>
        </w:tc>
        <w:tc>
          <w:tcPr>
            <w:tcW w:w="1616" w:type="dxa"/>
            <w:vAlign w:val="center"/>
          </w:tcPr>
          <w:p w:rsidR="00C341FE" w:rsidRDefault="00612AD1">
            <w:pPr>
              <w:jc w:val="right"/>
            </w:pPr>
            <w:r>
              <w:rPr>
                <w:rFonts w:eastAsiaTheme="minorEastAsia"/>
                <w:color w:val="000000" w:themeColor="text1"/>
                <w:szCs w:val="21"/>
              </w:rPr>
              <w:t>5.51</w:t>
            </w:r>
          </w:p>
        </w:tc>
      </w:tr>
      <w:tr w:rsidR="00C341FE">
        <w:tc>
          <w:tcPr>
            <w:tcW w:w="817" w:type="dxa"/>
            <w:vAlign w:val="center"/>
          </w:tcPr>
          <w:p w:rsidR="00C341FE" w:rsidRDefault="00612AD1">
            <w:pPr>
              <w:jc w:val="center"/>
            </w:pPr>
            <w:r>
              <w:rPr>
                <w:rFonts w:eastAsiaTheme="minorEastAsia"/>
                <w:color w:val="000000" w:themeColor="text1"/>
                <w:szCs w:val="21"/>
              </w:rPr>
              <w:t>2</w:t>
            </w:r>
          </w:p>
        </w:tc>
        <w:tc>
          <w:tcPr>
            <w:tcW w:w="1276" w:type="dxa"/>
            <w:vAlign w:val="center"/>
          </w:tcPr>
          <w:p w:rsidR="00C341FE" w:rsidRDefault="00612AD1">
            <w:pPr>
              <w:jc w:val="center"/>
            </w:pPr>
            <w:r>
              <w:rPr>
                <w:rFonts w:eastAsiaTheme="minorEastAsia"/>
                <w:color w:val="000000" w:themeColor="text1"/>
                <w:szCs w:val="21"/>
              </w:rPr>
              <w:t>300750</w:t>
            </w:r>
          </w:p>
        </w:tc>
        <w:tc>
          <w:tcPr>
            <w:tcW w:w="1701" w:type="dxa"/>
            <w:vAlign w:val="center"/>
          </w:tcPr>
          <w:p w:rsidR="00C341FE" w:rsidRDefault="00612AD1">
            <w:pPr>
              <w:jc w:val="center"/>
            </w:pPr>
            <w:r>
              <w:rPr>
                <w:rFonts w:eastAsiaTheme="minorEastAsia"/>
                <w:color w:val="000000" w:themeColor="text1"/>
                <w:szCs w:val="21"/>
              </w:rPr>
              <w:t>宁德时代</w:t>
            </w:r>
          </w:p>
        </w:tc>
        <w:tc>
          <w:tcPr>
            <w:tcW w:w="1276" w:type="dxa"/>
            <w:vAlign w:val="center"/>
          </w:tcPr>
          <w:p w:rsidR="00C341FE" w:rsidRDefault="00612AD1">
            <w:pPr>
              <w:jc w:val="right"/>
            </w:pPr>
            <w:r>
              <w:rPr>
                <w:rFonts w:eastAsiaTheme="minorEastAsia"/>
                <w:color w:val="000000" w:themeColor="text1"/>
                <w:szCs w:val="21"/>
              </w:rPr>
              <w:t>8,539.00</w:t>
            </w:r>
          </w:p>
        </w:tc>
        <w:tc>
          <w:tcPr>
            <w:tcW w:w="1842" w:type="dxa"/>
            <w:vAlign w:val="center"/>
          </w:tcPr>
          <w:p w:rsidR="00C341FE" w:rsidRDefault="00612AD1">
            <w:pPr>
              <w:jc w:val="right"/>
            </w:pPr>
            <w:r>
              <w:rPr>
                <w:rFonts w:eastAsiaTheme="minorEastAsia"/>
                <w:color w:val="000000" w:themeColor="text1"/>
                <w:szCs w:val="21"/>
              </w:rPr>
              <w:t>1,623,776.24</w:t>
            </w:r>
          </w:p>
        </w:tc>
        <w:tc>
          <w:tcPr>
            <w:tcW w:w="1616" w:type="dxa"/>
            <w:vAlign w:val="center"/>
          </w:tcPr>
          <w:p w:rsidR="00C341FE" w:rsidRDefault="00612AD1">
            <w:pPr>
              <w:jc w:val="right"/>
            </w:pPr>
            <w:r>
              <w:rPr>
                <w:rFonts w:eastAsiaTheme="minorEastAsia"/>
                <w:color w:val="000000" w:themeColor="text1"/>
                <w:szCs w:val="21"/>
              </w:rPr>
              <w:t>2.15</w:t>
            </w:r>
          </w:p>
        </w:tc>
      </w:tr>
      <w:tr w:rsidR="00C341FE">
        <w:tc>
          <w:tcPr>
            <w:tcW w:w="817" w:type="dxa"/>
            <w:vAlign w:val="center"/>
          </w:tcPr>
          <w:p w:rsidR="00C341FE" w:rsidRDefault="00612AD1">
            <w:pPr>
              <w:jc w:val="center"/>
            </w:pPr>
            <w:r>
              <w:rPr>
                <w:rFonts w:eastAsiaTheme="minorEastAsia"/>
                <w:color w:val="000000" w:themeColor="text1"/>
                <w:szCs w:val="21"/>
              </w:rPr>
              <w:t>3</w:t>
            </w:r>
          </w:p>
        </w:tc>
        <w:tc>
          <w:tcPr>
            <w:tcW w:w="1276" w:type="dxa"/>
            <w:vAlign w:val="center"/>
          </w:tcPr>
          <w:p w:rsidR="00C341FE" w:rsidRDefault="00612AD1">
            <w:pPr>
              <w:jc w:val="center"/>
            </w:pPr>
            <w:r>
              <w:rPr>
                <w:rFonts w:eastAsiaTheme="minorEastAsia"/>
                <w:color w:val="000000" w:themeColor="text1"/>
                <w:szCs w:val="21"/>
              </w:rPr>
              <w:t>600036</w:t>
            </w:r>
          </w:p>
        </w:tc>
        <w:tc>
          <w:tcPr>
            <w:tcW w:w="1701" w:type="dxa"/>
            <w:vAlign w:val="center"/>
          </w:tcPr>
          <w:p w:rsidR="00C341FE" w:rsidRDefault="00612AD1">
            <w:pPr>
              <w:jc w:val="center"/>
            </w:pPr>
            <w:r>
              <w:rPr>
                <w:rFonts w:eastAsiaTheme="minorEastAsia"/>
                <w:color w:val="000000" w:themeColor="text1"/>
                <w:szCs w:val="21"/>
              </w:rPr>
              <w:t>招商银行</w:t>
            </w:r>
          </w:p>
        </w:tc>
        <w:tc>
          <w:tcPr>
            <w:tcW w:w="1276" w:type="dxa"/>
            <w:vAlign w:val="center"/>
          </w:tcPr>
          <w:p w:rsidR="00C341FE" w:rsidRDefault="00612AD1">
            <w:pPr>
              <w:jc w:val="right"/>
            </w:pPr>
            <w:r>
              <w:rPr>
                <w:rFonts w:eastAsiaTheme="minorEastAsia"/>
                <w:color w:val="000000" w:themeColor="text1"/>
                <w:szCs w:val="21"/>
              </w:rPr>
              <w:t>39,625.00</w:t>
            </w:r>
          </w:p>
        </w:tc>
        <w:tc>
          <w:tcPr>
            <w:tcW w:w="1842" w:type="dxa"/>
            <w:vAlign w:val="center"/>
          </w:tcPr>
          <w:p w:rsidR="00C341FE" w:rsidRDefault="00612AD1">
            <w:pPr>
              <w:jc w:val="right"/>
            </w:pPr>
            <w:r>
              <w:rPr>
                <w:rFonts w:eastAsiaTheme="minorEastAsia"/>
                <w:color w:val="000000" w:themeColor="text1"/>
                <w:szCs w:val="21"/>
              </w:rPr>
              <w:t>1,275,925.00</w:t>
            </w:r>
          </w:p>
        </w:tc>
        <w:tc>
          <w:tcPr>
            <w:tcW w:w="1616" w:type="dxa"/>
            <w:vAlign w:val="center"/>
          </w:tcPr>
          <w:p w:rsidR="00C341FE" w:rsidRDefault="00612AD1">
            <w:pPr>
              <w:jc w:val="right"/>
            </w:pPr>
            <w:r>
              <w:rPr>
                <w:rFonts w:eastAsiaTheme="minorEastAsia"/>
                <w:color w:val="000000" w:themeColor="text1"/>
                <w:szCs w:val="21"/>
              </w:rPr>
              <w:t>1.69</w:t>
            </w:r>
          </w:p>
        </w:tc>
      </w:tr>
      <w:tr w:rsidR="00C341FE">
        <w:tc>
          <w:tcPr>
            <w:tcW w:w="817" w:type="dxa"/>
            <w:vAlign w:val="center"/>
          </w:tcPr>
          <w:p w:rsidR="00C341FE" w:rsidRDefault="00612AD1">
            <w:pPr>
              <w:jc w:val="center"/>
            </w:pPr>
            <w:r>
              <w:rPr>
                <w:rFonts w:eastAsiaTheme="minorEastAsia"/>
                <w:color w:val="000000" w:themeColor="text1"/>
                <w:szCs w:val="21"/>
              </w:rPr>
              <w:t>4</w:t>
            </w:r>
          </w:p>
        </w:tc>
        <w:tc>
          <w:tcPr>
            <w:tcW w:w="1276" w:type="dxa"/>
            <w:vAlign w:val="center"/>
          </w:tcPr>
          <w:p w:rsidR="00C341FE" w:rsidRDefault="00612AD1">
            <w:pPr>
              <w:jc w:val="center"/>
            </w:pPr>
            <w:r>
              <w:rPr>
                <w:rFonts w:eastAsiaTheme="minorEastAsia"/>
                <w:color w:val="000000" w:themeColor="text1"/>
                <w:szCs w:val="21"/>
              </w:rPr>
              <w:t>600900</w:t>
            </w:r>
          </w:p>
        </w:tc>
        <w:tc>
          <w:tcPr>
            <w:tcW w:w="1701" w:type="dxa"/>
            <w:vAlign w:val="center"/>
          </w:tcPr>
          <w:p w:rsidR="00C341FE" w:rsidRDefault="00612AD1">
            <w:pPr>
              <w:jc w:val="center"/>
            </w:pPr>
            <w:r>
              <w:rPr>
                <w:rFonts w:eastAsiaTheme="minorEastAsia"/>
                <w:color w:val="000000" w:themeColor="text1"/>
                <w:szCs w:val="21"/>
              </w:rPr>
              <w:t>长江电力</w:t>
            </w:r>
          </w:p>
        </w:tc>
        <w:tc>
          <w:tcPr>
            <w:tcW w:w="1276" w:type="dxa"/>
            <w:vAlign w:val="center"/>
          </w:tcPr>
          <w:p w:rsidR="00C341FE" w:rsidRDefault="00612AD1">
            <w:pPr>
              <w:jc w:val="right"/>
            </w:pPr>
            <w:r>
              <w:rPr>
                <w:rFonts w:eastAsiaTheme="minorEastAsia"/>
                <w:color w:val="000000" w:themeColor="text1"/>
                <w:szCs w:val="21"/>
              </w:rPr>
              <w:t>46,980.00</w:t>
            </w:r>
          </w:p>
        </w:tc>
        <w:tc>
          <w:tcPr>
            <w:tcW w:w="1842" w:type="dxa"/>
            <w:vAlign w:val="center"/>
          </w:tcPr>
          <w:p w:rsidR="00C341FE" w:rsidRDefault="00612AD1">
            <w:pPr>
              <w:jc w:val="right"/>
            </w:pPr>
            <w:r>
              <w:rPr>
                <w:rFonts w:eastAsiaTheme="minorEastAsia"/>
                <w:color w:val="000000" w:themeColor="text1"/>
                <w:szCs w:val="21"/>
              </w:rPr>
              <w:t>1,171,211.40</w:t>
            </w:r>
          </w:p>
        </w:tc>
        <w:tc>
          <w:tcPr>
            <w:tcW w:w="1616" w:type="dxa"/>
            <w:vAlign w:val="center"/>
          </w:tcPr>
          <w:p w:rsidR="00C341FE" w:rsidRDefault="00612AD1">
            <w:pPr>
              <w:jc w:val="right"/>
            </w:pPr>
            <w:r>
              <w:rPr>
                <w:rFonts w:eastAsiaTheme="minorEastAsia"/>
                <w:color w:val="000000" w:themeColor="text1"/>
                <w:szCs w:val="21"/>
              </w:rPr>
              <w:t>1.55</w:t>
            </w:r>
          </w:p>
        </w:tc>
      </w:tr>
      <w:tr w:rsidR="00C341FE">
        <w:tc>
          <w:tcPr>
            <w:tcW w:w="817" w:type="dxa"/>
            <w:vAlign w:val="center"/>
          </w:tcPr>
          <w:p w:rsidR="00C341FE" w:rsidRDefault="00612AD1">
            <w:pPr>
              <w:jc w:val="center"/>
            </w:pPr>
            <w:r>
              <w:rPr>
                <w:rFonts w:eastAsiaTheme="minorEastAsia"/>
                <w:color w:val="000000" w:themeColor="text1"/>
                <w:szCs w:val="21"/>
              </w:rPr>
              <w:t>5</w:t>
            </w:r>
          </w:p>
        </w:tc>
        <w:tc>
          <w:tcPr>
            <w:tcW w:w="1276" w:type="dxa"/>
            <w:vAlign w:val="center"/>
          </w:tcPr>
          <w:p w:rsidR="00C341FE" w:rsidRDefault="00612AD1">
            <w:pPr>
              <w:jc w:val="center"/>
            </w:pPr>
            <w:r>
              <w:rPr>
                <w:rFonts w:eastAsiaTheme="minorEastAsia"/>
                <w:color w:val="000000" w:themeColor="text1"/>
                <w:szCs w:val="21"/>
              </w:rPr>
              <w:t>000858</w:t>
            </w:r>
          </w:p>
        </w:tc>
        <w:tc>
          <w:tcPr>
            <w:tcW w:w="1701" w:type="dxa"/>
            <w:vAlign w:val="center"/>
          </w:tcPr>
          <w:p w:rsidR="00C341FE" w:rsidRDefault="00612AD1">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1276" w:type="dxa"/>
            <w:vAlign w:val="center"/>
          </w:tcPr>
          <w:p w:rsidR="00C341FE" w:rsidRDefault="00612AD1">
            <w:pPr>
              <w:jc w:val="right"/>
            </w:pPr>
            <w:r>
              <w:rPr>
                <w:rFonts w:eastAsiaTheme="minorEastAsia"/>
                <w:color w:val="000000" w:themeColor="text1"/>
                <w:szCs w:val="21"/>
              </w:rPr>
              <w:t>7,500.00</w:t>
            </w:r>
          </w:p>
        </w:tc>
        <w:tc>
          <w:tcPr>
            <w:tcW w:w="1842" w:type="dxa"/>
            <w:vAlign w:val="center"/>
          </w:tcPr>
          <w:p w:rsidR="00C341FE" w:rsidRDefault="00612AD1">
            <w:pPr>
              <w:jc w:val="right"/>
            </w:pPr>
            <w:r>
              <w:rPr>
                <w:rFonts w:eastAsiaTheme="minorEastAsia"/>
                <w:color w:val="000000" w:themeColor="text1"/>
                <w:szCs w:val="21"/>
              </w:rPr>
              <w:t>1,151,325.00</w:t>
            </w:r>
          </w:p>
        </w:tc>
        <w:tc>
          <w:tcPr>
            <w:tcW w:w="1616" w:type="dxa"/>
            <w:vAlign w:val="center"/>
          </w:tcPr>
          <w:p w:rsidR="00C341FE" w:rsidRDefault="00612AD1">
            <w:pPr>
              <w:jc w:val="right"/>
            </w:pPr>
            <w:r>
              <w:rPr>
                <w:rFonts w:eastAsiaTheme="minorEastAsia"/>
                <w:color w:val="000000" w:themeColor="text1"/>
                <w:szCs w:val="21"/>
              </w:rPr>
              <w:t>1.52</w:t>
            </w:r>
          </w:p>
        </w:tc>
      </w:tr>
      <w:tr w:rsidR="00C341FE">
        <w:tc>
          <w:tcPr>
            <w:tcW w:w="817" w:type="dxa"/>
            <w:vAlign w:val="center"/>
          </w:tcPr>
          <w:p w:rsidR="00C341FE" w:rsidRDefault="00612AD1">
            <w:pPr>
              <w:jc w:val="center"/>
            </w:pPr>
            <w:r>
              <w:rPr>
                <w:rFonts w:eastAsiaTheme="minorEastAsia"/>
                <w:color w:val="000000" w:themeColor="text1"/>
                <w:szCs w:val="21"/>
              </w:rPr>
              <w:t>6</w:t>
            </w:r>
          </w:p>
        </w:tc>
        <w:tc>
          <w:tcPr>
            <w:tcW w:w="1276" w:type="dxa"/>
            <w:vAlign w:val="center"/>
          </w:tcPr>
          <w:p w:rsidR="00C341FE" w:rsidRDefault="00612AD1">
            <w:pPr>
              <w:jc w:val="center"/>
            </w:pPr>
            <w:r>
              <w:rPr>
                <w:rFonts w:eastAsiaTheme="minorEastAsia"/>
                <w:color w:val="000000" w:themeColor="text1"/>
                <w:szCs w:val="21"/>
              </w:rPr>
              <w:t>601318</w:t>
            </w:r>
          </w:p>
        </w:tc>
        <w:tc>
          <w:tcPr>
            <w:tcW w:w="1701" w:type="dxa"/>
            <w:vAlign w:val="center"/>
          </w:tcPr>
          <w:p w:rsidR="00C341FE" w:rsidRDefault="00612AD1">
            <w:pPr>
              <w:jc w:val="center"/>
            </w:pPr>
            <w:r>
              <w:rPr>
                <w:rFonts w:eastAsiaTheme="minorEastAsia"/>
                <w:color w:val="000000" w:themeColor="text1"/>
                <w:szCs w:val="21"/>
              </w:rPr>
              <w:t>中国平安</w:t>
            </w:r>
          </w:p>
        </w:tc>
        <w:tc>
          <w:tcPr>
            <w:tcW w:w="1276" w:type="dxa"/>
            <w:vAlign w:val="center"/>
          </w:tcPr>
          <w:p w:rsidR="00C341FE" w:rsidRDefault="00612AD1">
            <w:pPr>
              <w:jc w:val="right"/>
            </w:pPr>
            <w:r>
              <w:rPr>
                <w:rFonts w:eastAsiaTheme="minorEastAsia"/>
                <w:color w:val="000000" w:themeColor="text1"/>
                <w:szCs w:val="21"/>
              </w:rPr>
              <w:t>20,720.00</w:t>
            </w:r>
          </w:p>
        </w:tc>
        <w:tc>
          <w:tcPr>
            <w:tcW w:w="1842" w:type="dxa"/>
            <w:vAlign w:val="center"/>
          </w:tcPr>
          <w:p w:rsidR="00C341FE" w:rsidRDefault="00612AD1">
            <w:pPr>
              <w:jc w:val="right"/>
            </w:pPr>
            <w:r>
              <w:rPr>
                <w:rFonts w:eastAsiaTheme="minorEastAsia"/>
                <w:color w:val="000000" w:themeColor="text1"/>
                <w:szCs w:val="21"/>
              </w:rPr>
              <w:t>845,583.20</w:t>
            </w:r>
          </w:p>
        </w:tc>
        <w:tc>
          <w:tcPr>
            <w:tcW w:w="1616" w:type="dxa"/>
            <w:vAlign w:val="center"/>
          </w:tcPr>
          <w:p w:rsidR="00C341FE" w:rsidRDefault="00612AD1">
            <w:pPr>
              <w:jc w:val="right"/>
            </w:pPr>
            <w:r>
              <w:rPr>
                <w:rFonts w:eastAsiaTheme="minorEastAsia"/>
                <w:color w:val="000000" w:themeColor="text1"/>
                <w:szCs w:val="21"/>
              </w:rPr>
              <w:t>1.12</w:t>
            </w:r>
          </w:p>
        </w:tc>
      </w:tr>
      <w:tr w:rsidR="00C341FE">
        <w:tc>
          <w:tcPr>
            <w:tcW w:w="817" w:type="dxa"/>
            <w:vAlign w:val="center"/>
          </w:tcPr>
          <w:p w:rsidR="00C341FE" w:rsidRDefault="00612AD1">
            <w:pPr>
              <w:jc w:val="center"/>
            </w:pPr>
            <w:r>
              <w:rPr>
                <w:rFonts w:eastAsiaTheme="minorEastAsia"/>
                <w:color w:val="000000" w:themeColor="text1"/>
                <w:szCs w:val="21"/>
              </w:rPr>
              <w:t>7</w:t>
            </w:r>
          </w:p>
        </w:tc>
        <w:tc>
          <w:tcPr>
            <w:tcW w:w="1276" w:type="dxa"/>
            <w:vAlign w:val="center"/>
          </w:tcPr>
          <w:p w:rsidR="00C341FE" w:rsidRDefault="00612AD1">
            <w:pPr>
              <w:jc w:val="center"/>
            </w:pPr>
            <w:r>
              <w:rPr>
                <w:rFonts w:eastAsiaTheme="minorEastAsia"/>
                <w:color w:val="000000" w:themeColor="text1"/>
                <w:szCs w:val="21"/>
              </w:rPr>
              <w:t>002594</w:t>
            </w:r>
          </w:p>
        </w:tc>
        <w:tc>
          <w:tcPr>
            <w:tcW w:w="1701" w:type="dxa"/>
            <w:vAlign w:val="center"/>
          </w:tcPr>
          <w:p w:rsidR="00C341FE" w:rsidRDefault="00612AD1">
            <w:pPr>
              <w:jc w:val="center"/>
            </w:pPr>
            <w:r>
              <w:rPr>
                <w:rFonts w:eastAsiaTheme="minorEastAsia"/>
                <w:color w:val="000000" w:themeColor="text1"/>
                <w:szCs w:val="21"/>
              </w:rPr>
              <w:t>比亚迪</w:t>
            </w:r>
          </w:p>
        </w:tc>
        <w:tc>
          <w:tcPr>
            <w:tcW w:w="1276" w:type="dxa"/>
            <w:vAlign w:val="center"/>
          </w:tcPr>
          <w:p w:rsidR="00C341FE" w:rsidRDefault="00612AD1">
            <w:pPr>
              <w:jc w:val="right"/>
            </w:pPr>
            <w:r>
              <w:rPr>
                <w:rFonts w:eastAsiaTheme="minorEastAsia"/>
                <w:color w:val="000000" w:themeColor="text1"/>
                <w:szCs w:val="21"/>
              </w:rPr>
              <w:t>3,453.00</w:t>
            </w:r>
          </w:p>
        </w:tc>
        <w:tc>
          <w:tcPr>
            <w:tcW w:w="1842" w:type="dxa"/>
            <w:vAlign w:val="center"/>
          </w:tcPr>
          <w:p w:rsidR="00C341FE" w:rsidRDefault="00612AD1">
            <w:pPr>
              <w:jc w:val="right"/>
            </w:pPr>
            <w:r>
              <w:rPr>
                <w:rFonts w:eastAsiaTheme="minorEastAsia"/>
                <w:color w:val="000000" w:themeColor="text1"/>
                <w:szCs w:val="21"/>
              </w:rPr>
              <w:t>701,166.18</w:t>
            </w:r>
          </w:p>
        </w:tc>
        <w:tc>
          <w:tcPr>
            <w:tcW w:w="1616" w:type="dxa"/>
            <w:vAlign w:val="center"/>
          </w:tcPr>
          <w:p w:rsidR="00C341FE" w:rsidRDefault="00612AD1">
            <w:pPr>
              <w:jc w:val="right"/>
            </w:pPr>
            <w:r>
              <w:rPr>
                <w:rFonts w:eastAsiaTheme="minorEastAsia"/>
                <w:color w:val="000000" w:themeColor="text1"/>
                <w:szCs w:val="21"/>
              </w:rPr>
              <w:t>0.93</w:t>
            </w:r>
          </w:p>
        </w:tc>
      </w:tr>
      <w:tr w:rsidR="00C341FE">
        <w:tc>
          <w:tcPr>
            <w:tcW w:w="817" w:type="dxa"/>
            <w:vAlign w:val="center"/>
          </w:tcPr>
          <w:p w:rsidR="00C341FE" w:rsidRDefault="00612AD1">
            <w:pPr>
              <w:jc w:val="center"/>
            </w:pPr>
            <w:r>
              <w:rPr>
                <w:rFonts w:eastAsiaTheme="minorEastAsia"/>
                <w:color w:val="000000" w:themeColor="text1"/>
                <w:szCs w:val="21"/>
              </w:rPr>
              <w:t>8</w:t>
            </w:r>
          </w:p>
        </w:tc>
        <w:tc>
          <w:tcPr>
            <w:tcW w:w="1276" w:type="dxa"/>
            <w:vAlign w:val="center"/>
          </w:tcPr>
          <w:p w:rsidR="00C341FE" w:rsidRDefault="00612AD1">
            <w:pPr>
              <w:jc w:val="center"/>
            </w:pPr>
            <w:r>
              <w:rPr>
                <w:rFonts w:eastAsiaTheme="minorEastAsia"/>
                <w:color w:val="000000" w:themeColor="text1"/>
                <w:szCs w:val="21"/>
              </w:rPr>
              <w:t>601288</w:t>
            </w:r>
          </w:p>
        </w:tc>
        <w:tc>
          <w:tcPr>
            <w:tcW w:w="1701" w:type="dxa"/>
            <w:vAlign w:val="center"/>
          </w:tcPr>
          <w:p w:rsidR="00C341FE" w:rsidRDefault="00612AD1">
            <w:pPr>
              <w:jc w:val="center"/>
            </w:pPr>
            <w:r>
              <w:rPr>
                <w:rFonts w:eastAsiaTheme="minorEastAsia"/>
                <w:color w:val="000000" w:themeColor="text1"/>
                <w:szCs w:val="21"/>
              </w:rPr>
              <w:t>农业银行</w:t>
            </w:r>
          </w:p>
        </w:tc>
        <w:tc>
          <w:tcPr>
            <w:tcW w:w="1276" w:type="dxa"/>
            <w:vAlign w:val="center"/>
          </w:tcPr>
          <w:p w:rsidR="00C341FE" w:rsidRDefault="00612AD1">
            <w:pPr>
              <w:jc w:val="right"/>
            </w:pPr>
            <w:r>
              <w:rPr>
                <w:rFonts w:eastAsiaTheme="minorEastAsia"/>
                <w:color w:val="000000" w:themeColor="text1"/>
                <w:szCs w:val="21"/>
              </w:rPr>
              <w:t>163,600.00</w:t>
            </w:r>
          </w:p>
        </w:tc>
        <w:tc>
          <w:tcPr>
            <w:tcW w:w="1842" w:type="dxa"/>
            <w:vAlign w:val="center"/>
          </w:tcPr>
          <w:p w:rsidR="00C341FE" w:rsidRDefault="00612AD1">
            <w:pPr>
              <w:jc w:val="right"/>
            </w:pPr>
            <w:r>
              <w:rPr>
                <w:rFonts w:eastAsiaTheme="minorEastAsia"/>
                <w:color w:val="000000" w:themeColor="text1"/>
                <w:szCs w:val="21"/>
              </w:rPr>
              <w:t>692,028.00</w:t>
            </w:r>
          </w:p>
        </w:tc>
        <w:tc>
          <w:tcPr>
            <w:tcW w:w="1616" w:type="dxa"/>
            <w:vAlign w:val="center"/>
          </w:tcPr>
          <w:p w:rsidR="00C341FE" w:rsidRDefault="00612AD1">
            <w:pPr>
              <w:jc w:val="right"/>
            </w:pPr>
            <w:r>
              <w:rPr>
                <w:rFonts w:eastAsiaTheme="minorEastAsia"/>
                <w:color w:val="000000" w:themeColor="text1"/>
                <w:szCs w:val="21"/>
              </w:rPr>
              <w:t>0.91</w:t>
            </w:r>
          </w:p>
        </w:tc>
      </w:tr>
      <w:tr w:rsidR="00C341FE">
        <w:tc>
          <w:tcPr>
            <w:tcW w:w="817" w:type="dxa"/>
            <w:vAlign w:val="center"/>
          </w:tcPr>
          <w:p w:rsidR="00C341FE" w:rsidRDefault="00612AD1">
            <w:pPr>
              <w:jc w:val="center"/>
            </w:pPr>
            <w:r>
              <w:rPr>
                <w:rFonts w:eastAsiaTheme="minorEastAsia"/>
                <w:color w:val="000000" w:themeColor="text1"/>
                <w:szCs w:val="21"/>
              </w:rPr>
              <w:t>9</w:t>
            </w:r>
          </w:p>
        </w:tc>
        <w:tc>
          <w:tcPr>
            <w:tcW w:w="1276" w:type="dxa"/>
            <w:vAlign w:val="center"/>
          </w:tcPr>
          <w:p w:rsidR="00C341FE" w:rsidRDefault="00612AD1">
            <w:pPr>
              <w:jc w:val="center"/>
            </w:pPr>
            <w:r>
              <w:rPr>
                <w:rFonts w:eastAsiaTheme="minorEastAsia"/>
                <w:color w:val="000000" w:themeColor="text1"/>
                <w:szCs w:val="21"/>
              </w:rPr>
              <w:t>601899</w:t>
            </w:r>
          </w:p>
        </w:tc>
        <w:tc>
          <w:tcPr>
            <w:tcW w:w="1701" w:type="dxa"/>
            <w:vAlign w:val="center"/>
          </w:tcPr>
          <w:p w:rsidR="00C341FE" w:rsidRDefault="00612AD1">
            <w:pPr>
              <w:jc w:val="center"/>
            </w:pPr>
            <w:r>
              <w:rPr>
                <w:rFonts w:eastAsiaTheme="minorEastAsia"/>
                <w:color w:val="000000" w:themeColor="text1"/>
                <w:szCs w:val="21"/>
              </w:rPr>
              <w:t>紫金矿业</w:t>
            </w:r>
          </w:p>
        </w:tc>
        <w:tc>
          <w:tcPr>
            <w:tcW w:w="1276" w:type="dxa"/>
            <w:vAlign w:val="center"/>
          </w:tcPr>
          <w:p w:rsidR="00C341FE" w:rsidRDefault="00612AD1">
            <w:pPr>
              <w:jc w:val="right"/>
            </w:pPr>
            <w:r>
              <w:rPr>
                <w:rFonts w:eastAsiaTheme="minorEastAsia"/>
                <w:color w:val="000000" w:themeColor="text1"/>
                <w:szCs w:val="21"/>
              </w:rPr>
              <w:t>39,600.00</w:t>
            </w:r>
          </w:p>
        </w:tc>
        <w:tc>
          <w:tcPr>
            <w:tcW w:w="1842" w:type="dxa"/>
            <w:vAlign w:val="center"/>
          </w:tcPr>
          <w:p w:rsidR="00C341FE" w:rsidRDefault="00612AD1">
            <w:pPr>
              <w:jc w:val="right"/>
            </w:pPr>
            <w:r>
              <w:rPr>
                <w:rFonts w:eastAsiaTheme="minorEastAsia"/>
                <w:color w:val="000000" w:themeColor="text1"/>
                <w:szCs w:val="21"/>
              </w:rPr>
              <w:t>666,072.00</w:t>
            </w:r>
          </w:p>
        </w:tc>
        <w:tc>
          <w:tcPr>
            <w:tcW w:w="1616" w:type="dxa"/>
            <w:vAlign w:val="center"/>
          </w:tcPr>
          <w:p w:rsidR="00C341FE" w:rsidRDefault="00612AD1">
            <w:pPr>
              <w:jc w:val="right"/>
            </w:pPr>
            <w:r>
              <w:rPr>
                <w:rFonts w:eastAsiaTheme="minorEastAsia"/>
                <w:color w:val="000000" w:themeColor="text1"/>
                <w:szCs w:val="21"/>
              </w:rPr>
              <w:t>0.88</w:t>
            </w:r>
          </w:p>
        </w:tc>
      </w:tr>
      <w:tr w:rsidR="00C341FE">
        <w:tc>
          <w:tcPr>
            <w:tcW w:w="817" w:type="dxa"/>
            <w:vAlign w:val="center"/>
          </w:tcPr>
          <w:p w:rsidR="00C341FE" w:rsidRDefault="00612AD1">
            <w:pPr>
              <w:jc w:val="center"/>
            </w:pPr>
            <w:r>
              <w:rPr>
                <w:rFonts w:eastAsiaTheme="minorEastAsia"/>
                <w:color w:val="000000" w:themeColor="text1"/>
                <w:szCs w:val="21"/>
              </w:rPr>
              <w:t>10</w:t>
            </w:r>
          </w:p>
        </w:tc>
        <w:tc>
          <w:tcPr>
            <w:tcW w:w="1276" w:type="dxa"/>
            <w:vAlign w:val="center"/>
          </w:tcPr>
          <w:p w:rsidR="00C341FE" w:rsidRDefault="00612AD1">
            <w:pPr>
              <w:jc w:val="center"/>
            </w:pPr>
            <w:r>
              <w:rPr>
                <w:rFonts w:eastAsiaTheme="minorEastAsia"/>
                <w:color w:val="000000" w:themeColor="text1"/>
                <w:szCs w:val="21"/>
              </w:rPr>
              <w:t>601398</w:t>
            </w:r>
          </w:p>
        </w:tc>
        <w:tc>
          <w:tcPr>
            <w:tcW w:w="1701" w:type="dxa"/>
            <w:vAlign w:val="center"/>
          </w:tcPr>
          <w:p w:rsidR="00C341FE" w:rsidRDefault="00612AD1">
            <w:pPr>
              <w:jc w:val="center"/>
            </w:pPr>
            <w:r>
              <w:rPr>
                <w:rFonts w:eastAsiaTheme="minorEastAsia"/>
                <w:color w:val="000000" w:themeColor="text1"/>
                <w:szCs w:val="21"/>
              </w:rPr>
              <w:t>工商银行</w:t>
            </w:r>
          </w:p>
        </w:tc>
        <w:tc>
          <w:tcPr>
            <w:tcW w:w="1276" w:type="dxa"/>
            <w:vAlign w:val="center"/>
          </w:tcPr>
          <w:p w:rsidR="00C341FE" w:rsidRDefault="00612AD1">
            <w:pPr>
              <w:jc w:val="right"/>
            </w:pPr>
            <w:r>
              <w:rPr>
                <w:rFonts w:eastAsiaTheme="minorEastAsia"/>
                <w:color w:val="000000" w:themeColor="text1"/>
                <w:szCs w:val="21"/>
              </w:rPr>
              <w:t>120,900.00</w:t>
            </w:r>
          </w:p>
        </w:tc>
        <w:tc>
          <w:tcPr>
            <w:tcW w:w="1842" w:type="dxa"/>
            <w:vAlign w:val="center"/>
          </w:tcPr>
          <w:p w:rsidR="00C341FE" w:rsidRDefault="00612AD1">
            <w:pPr>
              <w:jc w:val="right"/>
            </w:pPr>
            <w:r>
              <w:rPr>
                <w:rFonts w:eastAsiaTheme="minorEastAsia"/>
                <w:color w:val="000000" w:themeColor="text1"/>
                <w:szCs w:val="21"/>
              </w:rPr>
              <w:t>638,352.00</w:t>
            </w:r>
          </w:p>
        </w:tc>
        <w:tc>
          <w:tcPr>
            <w:tcW w:w="1616" w:type="dxa"/>
            <w:vAlign w:val="center"/>
          </w:tcPr>
          <w:p w:rsidR="00C341FE" w:rsidRDefault="00612AD1">
            <w:pPr>
              <w:jc w:val="right"/>
            </w:pPr>
            <w:r>
              <w:rPr>
                <w:rFonts w:eastAsiaTheme="minorEastAsia"/>
                <w:color w:val="000000" w:themeColor="text1"/>
                <w:szCs w:val="21"/>
              </w:rPr>
              <w:t>0.84</w:t>
            </w:r>
          </w:p>
        </w:tc>
      </w:tr>
    </w:tbl>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5.3.2</w:t>
      </w:r>
      <w:r w:rsidRPr="00473486">
        <w:rPr>
          <w:rFonts w:eastAsiaTheme="minorEastAsia"/>
          <w:b/>
          <w:color w:val="000000" w:themeColor="text1"/>
          <w:kern w:val="0"/>
          <w:sz w:val="24"/>
        </w:rPr>
        <w:t>期末</w:t>
      </w:r>
      <w:r w:rsidRPr="00473486">
        <w:rPr>
          <w:rFonts w:eastAsiaTheme="minorEastAsia"/>
          <w:b/>
          <w:color w:val="000000" w:themeColor="text1"/>
          <w:sz w:val="24"/>
        </w:rPr>
        <w:t>积极投资按公允价值占基金资产净值比例大小排序的前五名股票投资明细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lastRenderedPageBreak/>
        <w:t>本基金本报告期末未持有积极投资股票。</w:t>
      </w:r>
    </w:p>
    <w:p w:rsidR="00881A82" w:rsidRPr="000A0010" w:rsidRDefault="00881A82">
      <w:pPr>
        <w:autoSpaceDE w:val="0"/>
        <w:autoSpaceDN w:val="0"/>
        <w:adjustRightInd w:val="0"/>
        <w:spacing w:line="360" w:lineRule="auto"/>
        <w:jc w:val="left"/>
        <w:rPr>
          <w:rFonts w:eastAsiaTheme="minorEastAsia"/>
          <w:color w:val="000000" w:themeColor="text1"/>
          <w:szCs w:val="21"/>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5.4 </w:t>
      </w:r>
      <w:r w:rsidRPr="00473486">
        <w:rPr>
          <w:rFonts w:eastAsiaTheme="minorEastAsia"/>
          <w:b/>
          <w:color w:val="000000" w:themeColor="text1"/>
          <w:kern w:val="0"/>
          <w:sz w:val="24"/>
        </w:rPr>
        <w:t>报告期末按债券品种分类的债券投资组合</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835"/>
        <w:gridCol w:w="2694"/>
        <w:gridCol w:w="1757"/>
      </w:tblGrid>
      <w:tr w:rsidR="00881A82" w:rsidRPr="00473486">
        <w:tc>
          <w:tcPr>
            <w:tcW w:w="1242"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2835"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债券品种</w:t>
            </w:r>
          </w:p>
        </w:tc>
        <w:tc>
          <w:tcPr>
            <w:tcW w:w="2694"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757"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r w:rsidRPr="00473486">
              <w:rPr>
                <w:rFonts w:eastAsiaTheme="minorEastAsia"/>
                <w:color w:val="000000" w:themeColor="text1"/>
                <w:szCs w:val="21"/>
              </w:rPr>
              <w:t>％</w:t>
            </w:r>
            <w:r w:rsidRPr="00473486">
              <w:rPr>
                <w:rFonts w:eastAsiaTheme="minorEastAsia"/>
                <w:color w:val="000000" w:themeColor="text1"/>
                <w:szCs w:val="21"/>
              </w:rPr>
              <w:t>)</w:t>
            </w:r>
          </w:p>
        </w:tc>
      </w:tr>
      <w:tr w:rsidR="00881A82" w:rsidRPr="00473486">
        <w:tc>
          <w:tcPr>
            <w:tcW w:w="1242"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1</w:t>
            </w:r>
          </w:p>
        </w:tc>
        <w:tc>
          <w:tcPr>
            <w:tcW w:w="2835" w:type="dxa"/>
            <w:shd w:val="clear" w:color="auto" w:fill="auto"/>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国家债券</w:t>
            </w:r>
          </w:p>
        </w:tc>
        <w:tc>
          <w:tcPr>
            <w:tcW w:w="2694"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c>
          <w:tcPr>
            <w:tcW w:w="1242"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w:t>
            </w:r>
          </w:p>
        </w:tc>
        <w:tc>
          <w:tcPr>
            <w:tcW w:w="2835" w:type="dxa"/>
            <w:shd w:val="clear" w:color="auto" w:fill="auto"/>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央行票据</w:t>
            </w:r>
          </w:p>
        </w:tc>
        <w:tc>
          <w:tcPr>
            <w:tcW w:w="2694"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c>
          <w:tcPr>
            <w:tcW w:w="1242"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3</w:t>
            </w:r>
          </w:p>
        </w:tc>
        <w:tc>
          <w:tcPr>
            <w:tcW w:w="2835" w:type="dxa"/>
            <w:shd w:val="clear" w:color="auto" w:fill="auto"/>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金融债券</w:t>
            </w:r>
          </w:p>
        </w:tc>
        <w:tc>
          <w:tcPr>
            <w:tcW w:w="2694"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c>
          <w:tcPr>
            <w:tcW w:w="1242" w:type="dxa"/>
            <w:shd w:val="clear" w:color="auto" w:fill="auto"/>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2835" w:type="dxa"/>
            <w:shd w:val="clear" w:color="auto" w:fill="auto"/>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其中：政策性金融债</w:t>
            </w:r>
          </w:p>
        </w:tc>
        <w:tc>
          <w:tcPr>
            <w:tcW w:w="2694"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c>
          <w:tcPr>
            <w:tcW w:w="1242"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4</w:t>
            </w:r>
          </w:p>
        </w:tc>
        <w:tc>
          <w:tcPr>
            <w:tcW w:w="2835" w:type="dxa"/>
            <w:shd w:val="clear" w:color="auto" w:fill="auto"/>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企业债券</w:t>
            </w:r>
          </w:p>
        </w:tc>
        <w:tc>
          <w:tcPr>
            <w:tcW w:w="2694"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c>
          <w:tcPr>
            <w:tcW w:w="1242"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5</w:t>
            </w:r>
          </w:p>
        </w:tc>
        <w:tc>
          <w:tcPr>
            <w:tcW w:w="2835" w:type="dxa"/>
            <w:shd w:val="clear" w:color="auto" w:fill="auto"/>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企业短期融资券</w:t>
            </w:r>
          </w:p>
        </w:tc>
        <w:tc>
          <w:tcPr>
            <w:tcW w:w="2694"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c>
          <w:tcPr>
            <w:tcW w:w="1242"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6</w:t>
            </w:r>
          </w:p>
        </w:tc>
        <w:tc>
          <w:tcPr>
            <w:tcW w:w="2835" w:type="dxa"/>
            <w:shd w:val="clear" w:color="auto" w:fill="auto"/>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中期票据</w:t>
            </w:r>
          </w:p>
        </w:tc>
        <w:tc>
          <w:tcPr>
            <w:tcW w:w="2694"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c>
          <w:tcPr>
            <w:tcW w:w="1242"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7</w:t>
            </w:r>
          </w:p>
        </w:tc>
        <w:tc>
          <w:tcPr>
            <w:tcW w:w="2835" w:type="dxa"/>
            <w:shd w:val="clear" w:color="auto" w:fill="auto"/>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可转债（可交换债）</w:t>
            </w:r>
          </w:p>
        </w:tc>
        <w:tc>
          <w:tcPr>
            <w:tcW w:w="2694"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24,648.13</w:t>
            </w:r>
          </w:p>
        </w:tc>
        <w:tc>
          <w:tcPr>
            <w:tcW w:w="1757"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0.03</w:t>
            </w:r>
          </w:p>
        </w:tc>
      </w:tr>
      <w:tr w:rsidR="00881A82" w:rsidRPr="00473486">
        <w:tc>
          <w:tcPr>
            <w:tcW w:w="1242"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8</w:t>
            </w:r>
          </w:p>
        </w:tc>
        <w:tc>
          <w:tcPr>
            <w:tcW w:w="2835" w:type="dxa"/>
            <w:shd w:val="clear" w:color="auto" w:fill="auto"/>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同业存单</w:t>
            </w:r>
          </w:p>
        </w:tc>
        <w:tc>
          <w:tcPr>
            <w:tcW w:w="2694"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c>
          <w:tcPr>
            <w:tcW w:w="1242"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9</w:t>
            </w:r>
          </w:p>
        </w:tc>
        <w:tc>
          <w:tcPr>
            <w:tcW w:w="2835" w:type="dxa"/>
            <w:shd w:val="clear" w:color="auto" w:fill="auto"/>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其他</w:t>
            </w:r>
          </w:p>
        </w:tc>
        <w:tc>
          <w:tcPr>
            <w:tcW w:w="2694"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c>
          <w:tcPr>
            <w:tcW w:w="1242"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10</w:t>
            </w:r>
          </w:p>
        </w:tc>
        <w:tc>
          <w:tcPr>
            <w:tcW w:w="2835" w:type="dxa"/>
            <w:shd w:val="clear" w:color="auto" w:fill="auto"/>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合计</w:t>
            </w:r>
          </w:p>
        </w:tc>
        <w:tc>
          <w:tcPr>
            <w:tcW w:w="2694"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24,648.13</w:t>
            </w:r>
          </w:p>
        </w:tc>
        <w:tc>
          <w:tcPr>
            <w:tcW w:w="1757"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0.03</w:t>
            </w:r>
          </w:p>
        </w:tc>
      </w:tr>
    </w:tbl>
    <w:p w:rsidR="00881A82" w:rsidRPr="00473486" w:rsidRDefault="00881A82">
      <w:pPr>
        <w:autoSpaceDE w:val="0"/>
        <w:autoSpaceDN w:val="0"/>
        <w:adjustRightInd w:val="0"/>
        <w:spacing w:line="360" w:lineRule="auto"/>
        <w:jc w:val="left"/>
        <w:rPr>
          <w:rFonts w:eastAsiaTheme="minorEastAsia"/>
          <w:color w:val="000000" w:themeColor="text1"/>
          <w:kern w:val="0"/>
          <w:szCs w:val="21"/>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5.5 </w:t>
      </w:r>
      <w:r w:rsidRPr="00473486">
        <w:rPr>
          <w:rFonts w:eastAsiaTheme="minorEastAsia"/>
          <w:b/>
          <w:color w:val="000000" w:themeColor="text1"/>
          <w:kern w:val="0"/>
          <w:sz w:val="24"/>
        </w:rPr>
        <w:t>报告期末按公允价值占基金资产净值比例大小排序的前五名债券投资明细</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881A82" w:rsidRPr="00473486">
        <w:tc>
          <w:tcPr>
            <w:tcW w:w="1252"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1310"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债券代码</w:t>
            </w:r>
          </w:p>
        </w:tc>
        <w:tc>
          <w:tcPr>
            <w:tcW w:w="1282"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债券名称</w:t>
            </w:r>
          </w:p>
        </w:tc>
        <w:tc>
          <w:tcPr>
            <w:tcW w:w="1426"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数量</w:t>
            </w:r>
            <w:r w:rsidRPr="00473486">
              <w:rPr>
                <w:rFonts w:eastAsiaTheme="minorEastAsia"/>
                <w:color w:val="000000" w:themeColor="text1"/>
                <w:szCs w:val="21"/>
              </w:rPr>
              <w:t>(</w:t>
            </w:r>
            <w:r w:rsidRPr="00473486">
              <w:rPr>
                <w:rFonts w:eastAsiaTheme="minorEastAsia"/>
                <w:color w:val="000000" w:themeColor="text1"/>
                <w:szCs w:val="21"/>
              </w:rPr>
              <w:t>张</w:t>
            </w:r>
            <w:r w:rsidRPr="00473486">
              <w:rPr>
                <w:rFonts w:eastAsiaTheme="minorEastAsia"/>
                <w:color w:val="000000" w:themeColor="text1"/>
                <w:szCs w:val="21"/>
              </w:rPr>
              <w:t>)</w:t>
            </w:r>
          </w:p>
        </w:tc>
        <w:tc>
          <w:tcPr>
            <w:tcW w:w="1646"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612"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r w:rsidRPr="00473486">
              <w:rPr>
                <w:rFonts w:eastAsiaTheme="minorEastAsia"/>
                <w:color w:val="000000" w:themeColor="text1"/>
                <w:szCs w:val="21"/>
              </w:rPr>
              <w:t>％</w:t>
            </w:r>
            <w:r w:rsidRPr="00473486">
              <w:rPr>
                <w:rFonts w:eastAsiaTheme="minorEastAsia"/>
                <w:color w:val="000000" w:themeColor="text1"/>
                <w:szCs w:val="21"/>
              </w:rPr>
              <w:t>)</w:t>
            </w:r>
          </w:p>
        </w:tc>
      </w:tr>
      <w:tr w:rsidR="00C341FE">
        <w:tc>
          <w:tcPr>
            <w:tcW w:w="1252" w:type="dxa"/>
            <w:vAlign w:val="center"/>
          </w:tcPr>
          <w:p w:rsidR="00C341FE" w:rsidRDefault="00612AD1">
            <w:pPr>
              <w:jc w:val="center"/>
            </w:pPr>
            <w:r>
              <w:rPr>
                <w:rFonts w:eastAsiaTheme="minorEastAsia"/>
                <w:color w:val="000000" w:themeColor="text1"/>
                <w:szCs w:val="21"/>
              </w:rPr>
              <w:t>1</w:t>
            </w:r>
          </w:p>
        </w:tc>
        <w:tc>
          <w:tcPr>
            <w:tcW w:w="1310" w:type="dxa"/>
            <w:vAlign w:val="center"/>
          </w:tcPr>
          <w:p w:rsidR="00C341FE" w:rsidRDefault="00612AD1">
            <w:pPr>
              <w:jc w:val="center"/>
            </w:pPr>
            <w:r>
              <w:rPr>
                <w:rFonts w:eastAsiaTheme="minorEastAsia"/>
                <w:color w:val="000000" w:themeColor="text1"/>
                <w:szCs w:val="21"/>
              </w:rPr>
              <w:t>127089</w:t>
            </w:r>
          </w:p>
        </w:tc>
        <w:tc>
          <w:tcPr>
            <w:tcW w:w="1282" w:type="dxa"/>
            <w:vAlign w:val="center"/>
          </w:tcPr>
          <w:p w:rsidR="00C341FE" w:rsidRDefault="00612AD1">
            <w:pPr>
              <w:jc w:val="center"/>
            </w:pPr>
            <w:r>
              <w:rPr>
                <w:rFonts w:eastAsiaTheme="minorEastAsia"/>
                <w:color w:val="000000" w:themeColor="text1"/>
                <w:szCs w:val="21"/>
              </w:rPr>
              <w:t>晶澳转债</w:t>
            </w:r>
          </w:p>
        </w:tc>
        <w:tc>
          <w:tcPr>
            <w:tcW w:w="1426" w:type="dxa"/>
            <w:vAlign w:val="center"/>
          </w:tcPr>
          <w:p w:rsidR="00C341FE" w:rsidRDefault="00612AD1">
            <w:pPr>
              <w:jc w:val="right"/>
            </w:pPr>
            <w:r>
              <w:rPr>
                <w:rFonts w:eastAsiaTheme="minorEastAsia"/>
                <w:color w:val="000000" w:themeColor="text1"/>
                <w:szCs w:val="21"/>
              </w:rPr>
              <w:t>188</w:t>
            </w:r>
          </w:p>
        </w:tc>
        <w:tc>
          <w:tcPr>
            <w:tcW w:w="1646" w:type="dxa"/>
            <w:vAlign w:val="center"/>
          </w:tcPr>
          <w:p w:rsidR="00C341FE" w:rsidRDefault="00612AD1">
            <w:pPr>
              <w:jc w:val="right"/>
            </w:pPr>
            <w:r>
              <w:rPr>
                <w:rFonts w:eastAsiaTheme="minorEastAsia"/>
                <w:color w:val="000000" w:themeColor="text1"/>
                <w:szCs w:val="21"/>
              </w:rPr>
              <w:t>19,490.46</w:t>
            </w:r>
          </w:p>
        </w:tc>
        <w:tc>
          <w:tcPr>
            <w:tcW w:w="1612" w:type="dxa"/>
            <w:vAlign w:val="center"/>
          </w:tcPr>
          <w:p w:rsidR="00C341FE" w:rsidRDefault="00612AD1">
            <w:pPr>
              <w:jc w:val="right"/>
            </w:pPr>
            <w:r>
              <w:rPr>
                <w:rFonts w:eastAsiaTheme="minorEastAsia"/>
                <w:color w:val="000000" w:themeColor="text1"/>
                <w:szCs w:val="21"/>
              </w:rPr>
              <w:t>0.03</w:t>
            </w:r>
          </w:p>
        </w:tc>
      </w:tr>
      <w:tr w:rsidR="00C341FE">
        <w:tc>
          <w:tcPr>
            <w:tcW w:w="1252" w:type="dxa"/>
            <w:vAlign w:val="center"/>
          </w:tcPr>
          <w:p w:rsidR="00C341FE" w:rsidRDefault="00612AD1">
            <w:pPr>
              <w:jc w:val="center"/>
            </w:pPr>
            <w:r>
              <w:rPr>
                <w:rFonts w:eastAsiaTheme="minorEastAsia"/>
                <w:color w:val="000000" w:themeColor="text1"/>
                <w:szCs w:val="21"/>
              </w:rPr>
              <w:t>2</w:t>
            </w:r>
          </w:p>
        </w:tc>
        <w:tc>
          <w:tcPr>
            <w:tcW w:w="1310" w:type="dxa"/>
            <w:vAlign w:val="center"/>
          </w:tcPr>
          <w:p w:rsidR="00C341FE" w:rsidRDefault="00612AD1">
            <w:pPr>
              <w:jc w:val="center"/>
            </w:pPr>
            <w:r>
              <w:rPr>
                <w:rFonts w:eastAsiaTheme="minorEastAsia"/>
                <w:color w:val="000000" w:themeColor="text1"/>
                <w:szCs w:val="21"/>
              </w:rPr>
              <w:t>110095</w:t>
            </w:r>
          </w:p>
        </w:tc>
        <w:tc>
          <w:tcPr>
            <w:tcW w:w="1282" w:type="dxa"/>
            <w:vAlign w:val="center"/>
          </w:tcPr>
          <w:p w:rsidR="00C341FE" w:rsidRDefault="00612AD1">
            <w:pPr>
              <w:jc w:val="center"/>
            </w:pPr>
            <w:r>
              <w:rPr>
                <w:rFonts w:eastAsiaTheme="minorEastAsia"/>
                <w:color w:val="000000" w:themeColor="text1"/>
                <w:szCs w:val="21"/>
              </w:rPr>
              <w:t>双良转债</w:t>
            </w:r>
          </w:p>
        </w:tc>
        <w:tc>
          <w:tcPr>
            <w:tcW w:w="1426" w:type="dxa"/>
            <w:vAlign w:val="center"/>
          </w:tcPr>
          <w:p w:rsidR="00C341FE" w:rsidRDefault="00612AD1">
            <w:pPr>
              <w:jc w:val="right"/>
            </w:pPr>
            <w:r>
              <w:rPr>
                <w:rFonts w:eastAsiaTheme="minorEastAsia"/>
                <w:color w:val="000000" w:themeColor="text1"/>
                <w:szCs w:val="21"/>
              </w:rPr>
              <w:t>50</w:t>
            </w:r>
          </w:p>
        </w:tc>
        <w:tc>
          <w:tcPr>
            <w:tcW w:w="1646" w:type="dxa"/>
            <w:vAlign w:val="center"/>
          </w:tcPr>
          <w:p w:rsidR="00C341FE" w:rsidRDefault="00612AD1">
            <w:pPr>
              <w:jc w:val="right"/>
            </w:pPr>
            <w:r>
              <w:rPr>
                <w:rFonts w:eastAsiaTheme="minorEastAsia"/>
                <w:color w:val="000000" w:themeColor="text1"/>
                <w:szCs w:val="21"/>
              </w:rPr>
              <w:t>5,157.67</w:t>
            </w:r>
          </w:p>
        </w:tc>
        <w:tc>
          <w:tcPr>
            <w:tcW w:w="1612" w:type="dxa"/>
            <w:vAlign w:val="center"/>
          </w:tcPr>
          <w:p w:rsidR="00C341FE" w:rsidRDefault="00612AD1">
            <w:pPr>
              <w:jc w:val="right"/>
            </w:pPr>
            <w:r>
              <w:rPr>
                <w:rFonts w:eastAsiaTheme="minorEastAsia"/>
                <w:color w:val="000000" w:themeColor="text1"/>
                <w:szCs w:val="21"/>
              </w:rPr>
              <w:t>0.01</w:t>
            </w:r>
          </w:p>
        </w:tc>
      </w:tr>
    </w:tbl>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5.6</w:t>
      </w:r>
      <w:r w:rsidRPr="00473486">
        <w:rPr>
          <w:rFonts w:eastAsiaTheme="minorEastAsia"/>
          <w:b/>
          <w:color w:val="000000" w:themeColor="text1"/>
          <w:kern w:val="0"/>
          <w:sz w:val="24"/>
        </w:rPr>
        <w:t>报告期末按公允价值占基金资产净值比例大小排序的前十名资产支持证券投资明细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本基金本报告期末未持有资产支持证券。</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bCs/>
          <w:color w:val="000000" w:themeColor="text1"/>
          <w:kern w:val="0"/>
          <w:sz w:val="24"/>
        </w:rPr>
      </w:pPr>
      <w:r w:rsidRPr="00473486">
        <w:rPr>
          <w:rFonts w:eastAsiaTheme="minorEastAsia"/>
          <w:b/>
          <w:bCs/>
          <w:color w:val="000000" w:themeColor="text1"/>
          <w:kern w:val="0"/>
          <w:sz w:val="24"/>
        </w:rPr>
        <w:t xml:space="preserve">5.7 </w:t>
      </w:r>
      <w:r w:rsidRPr="00473486">
        <w:rPr>
          <w:rFonts w:eastAsiaTheme="minorEastAsia"/>
          <w:b/>
          <w:bCs/>
          <w:color w:val="000000" w:themeColor="text1"/>
          <w:kern w:val="0"/>
          <w:sz w:val="24"/>
        </w:rPr>
        <w:t>报告期末按公允价值占基金资产净值比例大小排序的前五名贵金属投资明细</w:t>
      </w:r>
    </w:p>
    <w:p w:rsidR="00881A82" w:rsidRPr="00473486" w:rsidRDefault="007D1E3A">
      <w:pPr>
        <w:widowControl/>
        <w:spacing w:line="360" w:lineRule="auto"/>
        <w:jc w:val="left"/>
        <w:rPr>
          <w:color w:val="000000" w:themeColor="text1"/>
          <w:szCs w:val="21"/>
        </w:rPr>
      </w:pPr>
      <w:r w:rsidRPr="00473486">
        <w:rPr>
          <w:color w:val="000000" w:themeColor="text1"/>
          <w:szCs w:val="21"/>
        </w:rPr>
        <w:lastRenderedPageBreak/>
        <w:t>本基金本报告期末未持有贵金属。</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5.8</w:t>
      </w:r>
      <w:r w:rsidRPr="00473486">
        <w:rPr>
          <w:rFonts w:eastAsiaTheme="minorEastAsia"/>
          <w:b/>
          <w:bCs/>
          <w:color w:val="000000" w:themeColor="text1"/>
          <w:sz w:val="24"/>
        </w:rPr>
        <w:t>报告期末按公允价值占基金资产净值比例大小排序的前五名权证投资明细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本基金本报告期末未持有权证。</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t xml:space="preserve">5.9 </w:t>
      </w:r>
      <w:r w:rsidRPr="00473486">
        <w:rPr>
          <w:rFonts w:eastAsiaTheme="minorEastAsia"/>
          <w:b/>
          <w:color w:val="000000" w:themeColor="text1"/>
          <w:sz w:val="24"/>
        </w:rPr>
        <w:t>报告期末本基金投资的股指期货交易情况说明</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1422"/>
        <w:gridCol w:w="1422"/>
        <w:gridCol w:w="1422"/>
        <w:gridCol w:w="1423"/>
        <w:gridCol w:w="1416"/>
      </w:tblGrid>
      <w:tr w:rsidR="00881A82" w:rsidRPr="00473486">
        <w:trPr>
          <w:trHeight w:val="105"/>
        </w:trPr>
        <w:tc>
          <w:tcPr>
            <w:tcW w:w="1422" w:type="dxa"/>
          </w:tcPr>
          <w:p w:rsidR="00881A82" w:rsidRPr="00473486" w:rsidRDefault="007D1E3A">
            <w:pPr>
              <w:pStyle w:val="Default"/>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代码</w:t>
            </w:r>
          </w:p>
        </w:tc>
        <w:tc>
          <w:tcPr>
            <w:tcW w:w="1422" w:type="dxa"/>
          </w:tcPr>
          <w:p w:rsidR="00881A82" w:rsidRPr="00473486" w:rsidRDefault="007D1E3A">
            <w:pPr>
              <w:pStyle w:val="Default"/>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名称</w:t>
            </w:r>
          </w:p>
        </w:tc>
        <w:tc>
          <w:tcPr>
            <w:tcW w:w="1422" w:type="dxa"/>
          </w:tcPr>
          <w:p w:rsidR="00881A82" w:rsidRPr="00473486" w:rsidRDefault="007D1E3A">
            <w:pPr>
              <w:pStyle w:val="Default"/>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持仓量</w:t>
            </w:r>
          </w:p>
        </w:tc>
        <w:tc>
          <w:tcPr>
            <w:tcW w:w="1422" w:type="dxa"/>
          </w:tcPr>
          <w:p w:rsidR="00881A82" w:rsidRPr="00473486" w:rsidRDefault="007D1E3A">
            <w:pPr>
              <w:pStyle w:val="Default"/>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合约市值</w:t>
            </w:r>
            <w:r w:rsidRPr="00473486">
              <w:rPr>
                <w:rFonts w:ascii="Times New Roman" w:eastAsiaTheme="minorEastAsia" w:hAnsi="Times New Roman" w:cs="Times New Roman"/>
                <w:color w:val="000000" w:themeColor="text1"/>
                <w:sz w:val="21"/>
                <w:szCs w:val="21"/>
              </w:rPr>
              <w:t>(</w:t>
            </w:r>
            <w:r w:rsidRPr="00473486">
              <w:rPr>
                <w:rFonts w:ascii="Times New Roman" w:eastAsiaTheme="minorEastAsia" w:hAnsi="Times New Roman" w:cs="Times New Roman"/>
                <w:color w:val="000000" w:themeColor="text1"/>
                <w:sz w:val="21"/>
                <w:szCs w:val="21"/>
              </w:rPr>
              <w:t>元</w:t>
            </w:r>
            <w:r w:rsidRPr="00473486">
              <w:rPr>
                <w:rFonts w:ascii="Times New Roman" w:eastAsiaTheme="minorEastAsia" w:hAnsi="Times New Roman" w:cs="Times New Roman"/>
                <w:color w:val="000000" w:themeColor="text1"/>
                <w:sz w:val="21"/>
                <w:szCs w:val="21"/>
              </w:rPr>
              <w:t>)</w:t>
            </w:r>
          </w:p>
        </w:tc>
        <w:tc>
          <w:tcPr>
            <w:tcW w:w="1423" w:type="dxa"/>
          </w:tcPr>
          <w:p w:rsidR="00881A82" w:rsidRPr="00473486" w:rsidRDefault="007D1E3A">
            <w:pPr>
              <w:pStyle w:val="Default"/>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公允价值变动</w:t>
            </w:r>
            <w:r w:rsidRPr="00473486">
              <w:rPr>
                <w:rFonts w:ascii="Times New Roman" w:eastAsiaTheme="minorEastAsia" w:hAnsi="Times New Roman" w:cs="Times New Roman"/>
                <w:color w:val="000000" w:themeColor="text1"/>
                <w:sz w:val="21"/>
                <w:szCs w:val="21"/>
              </w:rPr>
              <w:t>(</w:t>
            </w:r>
            <w:r w:rsidRPr="00473486">
              <w:rPr>
                <w:rFonts w:ascii="Times New Roman" w:eastAsiaTheme="minorEastAsia" w:hAnsi="Times New Roman" w:cs="Times New Roman"/>
                <w:color w:val="000000" w:themeColor="text1"/>
                <w:sz w:val="21"/>
                <w:szCs w:val="21"/>
              </w:rPr>
              <w:t>元</w:t>
            </w:r>
            <w:r w:rsidRPr="00473486">
              <w:rPr>
                <w:rFonts w:ascii="Times New Roman" w:eastAsiaTheme="minorEastAsia" w:hAnsi="Times New Roman" w:cs="Times New Roman"/>
                <w:color w:val="000000" w:themeColor="text1"/>
                <w:sz w:val="21"/>
                <w:szCs w:val="21"/>
              </w:rPr>
              <w:t>)</w:t>
            </w:r>
          </w:p>
        </w:tc>
        <w:tc>
          <w:tcPr>
            <w:tcW w:w="1416" w:type="dxa"/>
          </w:tcPr>
          <w:p w:rsidR="00881A82" w:rsidRPr="00473486" w:rsidRDefault="007D1E3A">
            <w:pPr>
              <w:pStyle w:val="Default"/>
              <w:jc w:val="center"/>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风险说明</w:t>
            </w:r>
          </w:p>
        </w:tc>
      </w:tr>
      <w:tr w:rsidR="00C341FE">
        <w:tc>
          <w:tcPr>
            <w:tcW w:w="1422" w:type="dxa"/>
            <w:vAlign w:val="center"/>
          </w:tcPr>
          <w:p w:rsidR="00C341FE" w:rsidRDefault="00612AD1">
            <w:pPr>
              <w:jc w:val="center"/>
            </w:pPr>
            <w:r>
              <w:rPr>
                <w:rFonts w:eastAsiaTheme="minorEastAsia"/>
                <w:color w:val="000000" w:themeColor="text1"/>
                <w:szCs w:val="21"/>
              </w:rPr>
              <w:t>IF2404</w:t>
            </w:r>
          </w:p>
        </w:tc>
        <w:tc>
          <w:tcPr>
            <w:tcW w:w="1422" w:type="dxa"/>
            <w:vAlign w:val="center"/>
          </w:tcPr>
          <w:p w:rsidR="00C341FE" w:rsidRDefault="00612AD1">
            <w:pPr>
              <w:jc w:val="left"/>
            </w:pPr>
            <w:r>
              <w:rPr>
                <w:rFonts w:eastAsiaTheme="minorEastAsia"/>
                <w:color w:val="000000" w:themeColor="text1"/>
                <w:szCs w:val="21"/>
              </w:rPr>
              <w:t>IF2404</w:t>
            </w:r>
          </w:p>
        </w:tc>
        <w:tc>
          <w:tcPr>
            <w:tcW w:w="1422" w:type="dxa"/>
            <w:vAlign w:val="center"/>
          </w:tcPr>
          <w:p w:rsidR="00C341FE" w:rsidRDefault="00612AD1">
            <w:pPr>
              <w:jc w:val="right"/>
            </w:pPr>
            <w:r>
              <w:rPr>
                <w:rFonts w:eastAsiaTheme="minorEastAsia"/>
                <w:color w:val="000000" w:themeColor="text1"/>
                <w:szCs w:val="21"/>
              </w:rPr>
              <w:t>3.00</w:t>
            </w:r>
          </w:p>
        </w:tc>
        <w:tc>
          <w:tcPr>
            <w:tcW w:w="1422" w:type="dxa"/>
            <w:vAlign w:val="center"/>
          </w:tcPr>
          <w:p w:rsidR="00C341FE" w:rsidRDefault="00612AD1">
            <w:pPr>
              <w:jc w:val="right"/>
            </w:pPr>
            <w:r>
              <w:rPr>
                <w:rFonts w:eastAsiaTheme="minorEastAsia"/>
                <w:color w:val="000000" w:themeColor="text1"/>
                <w:szCs w:val="21"/>
              </w:rPr>
              <w:t>3,181,860.00</w:t>
            </w:r>
          </w:p>
        </w:tc>
        <w:tc>
          <w:tcPr>
            <w:tcW w:w="1423" w:type="dxa"/>
            <w:vAlign w:val="center"/>
          </w:tcPr>
          <w:p w:rsidR="00C341FE" w:rsidRDefault="00612AD1">
            <w:pPr>
              <w:jc w:val="right"/>
            </w:pPr>
            <w:r>
              <w:rPr>
                <w:rFonts w:eastAsiaTheme="minorEastAsia"/>
                <w:color w:val="000000" w:themeColor="text1"/>
                <w:szCs w:val="21"/>
              </w:rPr>
              <w:t>-22,920.00</w:t>
            </w:r>
          </w:p>
        </w:tc>
        <w:tc>
          <w:tcPr>
            <w:tcW w:w="1416" w:type="dxa"/>
            <w:vAlign w:val="center"/>
          </w:tcPr>
          <w:p w:rsidR="00C341FE" w:rsidRDefault="00612AD1">
            <w:pPr>
              <w:jc w:val="left"/>
            </w:pPr>
            <w:r>
              <w:rPr>
                <w:rFonts w:eastAsiaTheme="minorEastAsia"/>
                <w:color w:val="000000" w:themeColor="text1"/>
                <w:szCs w:val="21"/>
              </w:rPr>
              <w:t>-</w:t>
            </w:r>
          </w:p>
        </w:tc>
      </w:tr>
      <w:tr w:rsidR="00881A82" w:rsidRPr="00473486">
        <w:trPr>
          <w:trHeight w:val="105"/>
        </w:trPr>
        <w:tc>
          <w:tcPr>
            <w:tcW w:w="7111" w:type="dxa"/>
            <w:gridSpan w:val="5"/>
            <w:vAlign w:val="center"/>
          </w:tcPr>
          <w:p w:rsidR="00881A82" w:rsidRPr="00473486" w:rsidRDefault="007D1E3A">
            <w:pPr>
              <w:pStyle w:val="Default"/>
              <w:jc w:val="both"/>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公允价值变动总额合计</w:t>
            </w:r>
            <w:r w:rsidRPr="00473486">
              <w:rPr>
                <w:rFonts w:ascii="Times New Roman" w:eastAsiaTheme="minorEastAsia" w:hAnsi="Times New Roman" w:cs="Times New Roman"/>
                <w:color w:val="000000" w:themeColor="text1"/>
                <w:sz w:val="21"/>
                <w:szCs w:val="21"/>
              </w:rPr>
              <w:t>(</w:t>
            </w:r>
            <w:r w:rsidRPr="00473486">
              <w:rPr>
                <w:rFonts w:ascii="Times New Roman" w:eastAsiaTheme="minorEastAsia" w:hAnsi="Times New Roman" w:cs="Times New Roman"/>
                <w:color w:val="000000" w:themeColor="text1"/>
                <w:sz w:val="21"/>
                <w:szCs w:val="21"/>
              </w:rPr>
              <w:t>元</w:t>
            </w:r>
            <w:r w:rsidRPr="00473486">
              <w:rPr>
                <w:rFonts w:ascii="Times New Roman" w:eastAsiaTheme="minorEastAsia" w:hAnsi="Times New Roman" w:cs="Times New Roman"/>
                <w:color w:val="000000" w:themeColor="text1"/>
                <w:sz w:val="21"/>
                <w:szCs w:val="21"/>
              </w:rPr>
              <w:t>)</w:t>
            </w:r>
          </w:p>
        </w:tc>
        <w:tc>
          <w:tcPr>
            <w:tcW w:w="1416" w:type="dxa"/>
            <w:vAlign w:val="center"/>
          </w:tcPr>
          <w:p w:rsidR="00881A82" w:rsidRPr="00473486" w:rsidRDefault="007D1E3A">
            <w:pPr>
              <w:pStyle w:val="Default"/>
              <w:jc w:val="right"/>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-22,920.00</w:t>
            </w:r>
          </w:p>
        </w:tc>
      </w:tr>
      <w:tr w:rsidR="00881A82" w:rsidRPr="00473486">
        <w:trPr>
          <w:trHeight w:val="105"/>
        </w:trPr>
        <w:tc>
          <w:tcPr>
            <w:tcW w:w="7111" w:type="dxa"/>
            <w:gridSpan w:val="5"/>
            <w:vAlign w:val="center"/>
          </w:tcPr>
          <w:p w:rsidR="00881A82" w:rsidRPr="00473486" w:rsidRDefault="007D1E3A">
            <w:pPr>
              <w:pStyle w:val="Default"/>
              <w:jc w:val="both"/>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股指期货投资本期收益</w:t>
            </w:r>
            <w:r w:rsidRPr="00473486">
              <w:rPr>
                <w:rFonts w:ascii="Times New Roman" w:eastAsiaTheme="minorEastAsia" w:hAnsi="Times New Roman" w:cs="Times New Roman"/>
                <w:color w:val="000000" w:themeColor="text1"/>
                <w:sz w:val="21"/>
                <w:szCs w:val="21"/>
              </w:rPr>
              <w:t>(</w:t>
            </w:r>
            <w:r w:rsidRPr="00473486">
              <w:rPr>
                <w:rFonts w:ascii="Times New Roman" w:eastAsiaTheme="minorEastAsia" w:hAnsi="Times New Roman" w:cs="Times New Roman"/>
                <w:color w:val="000000" w:themeColor="text1"/>
                <w:sz w:val="21"/>
                <w:szCs w:val="21"/>
              </w:rPr>
              <w:t>元</w:t>
            </w:r>
            <w:r w:rsidRPr="00473486">
              <w:rPr>
                <w:rFonts w:ascii="Times New Roman" w:eastAsiaTheme="minorEastAsia" w:hAnsi="Times New Roman" w:cs="Times New Roman"/>
                <w:color w:val="000000" w:themeColor="text1"/>
                <w:sz w:val="21"/>
                <w:szCs w:val="21"/>
              </w:rPr>
              <w:t>)</w:t>
            </w:r>
          </w:p>
        </w:tc>
        <w:tc>
          <w:tcPr>
            <w:tcW w:w="1416" w:type="dxa"/>
            <w:vAlign w:val="center"/>
          </w:tcPr>
          <w:p w:rsidR="00881A82" w:rsidRPr="00473486" w:rsidRDefault="007D1E3A">
            <w:pPr>
              <w:pStyle w:val="Default"/>
              <w:jc w:val="right"/>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-79.40</w:t>
            </w:r>
          </w:p>
        </w:tc>
      </w:tr>
      <w:tr w:rsidR="00881A82" w:rsidRPr="00473486">
        <w:trPr>
          <w:trHeight w:val="105"/>
        </w:trPr>
        <w:tc>
          <w:tcPr>
            <w:tcW w:w="7111" w:type="dxa"/>
            <w:gridSpan w:val="5"/>
            <w:vAlign w:val="center"/>
          </w:tcPr>
          <w:p w:rsidR="00881A82" w:rsidRPr="00473486" w:rsidRDefault="007D1E3A">
            <w:pPr>
              <w:pStyle w:val="Default"/>
              <w:jc w:val="both"/>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股指期货投资本期公允价值变动</w:t>
            </w:r>
            <w:r w:rsidRPr="00473486">
              <w:rPr>
                <w:rFonts w:ascii="Times New Roman" w:eastAsiaTheme="minorEastAsia" w:hAnsi="Times New Roman" w:cs="Times New Roman"/>
                <w:color w:val="000000" w:themeColor="text1"/>
                <w:sz w:val="21"/>
                <w:szCs w:val="21"/>
              </w:rPr>
              <w:t>(</w:t>
            </w:r>
            <w:r w:rsidRPr="00473486">
              <w:rPr>
                <w:rFonts w:ascii="Times New Roman" w:eastAsiaTheme="minorEastAsia" w:hAnsi="Times New Roman" w:cs="Times New Roman"/>
                <w:color w:val="000000" w:themeColor="text1"/>
                <w:sz w:val="21"/>
                <w:szCs w:val="21"/>
              </w:rPr>
              <w:t>元</w:t>
            </w:r>
            <w:r w:rsidRPr="00473486">
              <w:rPr>
                <w:rFonts w:ascii="Times New Roman" w:eastAsiaTheme="minorEastAsia" w:hAnsi="Times New Roman" w:cs="Times New Roman"/>
                <w:color w:val="000000" w:themeColor="text1"/>
                <w:sz w:val="21"/>
                <w:szCs w:val="21"/>
              </w:rPr>
              <w:t>)</w:t>
            </w:r>
          </w:p>
        </w:tc>
        <w:tc>
          <w:tcPr>
            <w:tcW w:w="1416" w:type="dxa"/>
            <w:vAlign w:val="center"/>
          </w:tcPr>
          <w:p w:rsidR="00881A82" w:rsidRPr="00473486" w:rsidRDefault="007D1E3A">
            <w:pPr>
              <w:pStyle w:val="Default"/>
              <w:jc w:val="right"/>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-22,920.00</w:t>
            </w:r>
          </w:p>
        </w:tc>
      </w:tr>
    </w:tbl>
    <w:p w:rsidR="00881A82" w:rsidRPr="00473486" w:rsidRDefault="00881A82">
      <w:pPr>
        <w:adjustRightInd w:val="0"/>
        <w:snapToGrid w:val="0"/>
        <w:spacing w:line="360" w:lineRule="exact"/>
        <w:rPr>
          <w:rFonts w:eastAsiaTheme="minorEastAsia"/>
          <w:color w:val="000000" w:themeColor="text1"/>
          <w:sz w:val="24"/>
        </w:rPr>
      </w:pPr>
    </w:p>
    <w:p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t>5.10</w:t>
      </w:r>
      <w:r w:rsidRPr="00473486">
        <w:rPr>
          <w:rFonts w:eastAsiaTheme="minorEastAsia"/>
          <w:b/>
          <w:color w:val="000000" w:themeColor="text1"/>
          <w:sz w:val="24"/>
        </w:rPr>
        <w:t>报告期末本基金投资的国债期货交易情况说明</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本基金本报告期末未持有国债期货。</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w:t>
      </w:r>
      <w:r w:rsidRPr="00473486">
        <w:rPr>
          <w:rFonts w:eastAsiaTheme="minorEastAsia"/>
          <w:b/>
          <w:color w:val="000000" w:themeColor="text1"/>
          <w:kern w:val="0"/>
          <w:sz w:val="24"/>
        </w:rPr>
        <w:t>投资组合报告附注</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5.11.1</w:t>
      </w:r>
      <w:r w:rsidRPr="00473486">
        <w:rPr>
          <w:rFonts w:eastAsiaTheme="minorEastAsia"/>
          <w:color w:val="000000" w:themeColor="text1"/>
          <w:szCs w:val="21"/>
        </w:rPr>
        <w:t>本基金投资的前十名证券的发行主体中，招商银行股份有限公司在报告编制日前一年内曾受到国家金融监督管理总局深圳监管局、国家外汇管理局深圳市分局的处罚。中国农业银行股份有限公司在报告编制日前一年内曾受到国家金融监督管理总局、国家外汇管理局北京市分局的处罚。本基金对上述主体所发行证券的投资决策程序符合相关法律法规、基金合同及公司投资制度的要求。</w:t>
      </w:r>
    </w:p>
    <w:p w:rsidR="00C341FE" w:rsidRDefault="00612AD1">
      <w:pPr>
        <w:spacing w:line="360" w:lineRule="auto"/>
        <w:rPr>
          <w:rFonts w:eastAsiaTheme="minorEastAsia"/>
          <w:color w:val="000000" w:themeColor="text1"/>
          <w:szCs w:val="21"/>
        </w:rPr>
      </w:pPr>
      <w:r>
        <w:rPr>
          <w:rFonts w:eastAsiaTheme="minorEastAsia"/>
          <w:color w:val="000000" w:themeColor="text1"/>
          <w:szCs w:val="21"/>
        </w:rPr>
        <w:t>除上述主体外，本基金投资的其余前十名证券的发行主体本期未出现被监管部门立案调查，或在报告编制日前一年内受到公开谴责、处罚的情形。</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5.11.2</w:t>
      </w:r>
      <w:r w:rsidRPr="00473486">
        <w:rPr>
          <w:rFonts w:eastAsiaTheme="minorEastAsia"/>
          <w:color w:val="000000" w:themeColor="text1"/>
          <w:szCs w:val="21"/>
        </w:rPr>
        <w:t>报告期内本基金投资的前十名股票中没有在基金合同规定备选股票库之外的股票。</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5.11.3</w:t>
      </w:r>
      <w:r w:rsidRPr="00473486">
        <w:rPr>
          <w:rFonts w:eastAsiaTheme="minorEastAsia"/>
          <w:b/>
          <w:color w:val="000000" w:themeColor="text1"/>
          <w:kern w:val="0"/>
          <w:sz w:val="24"/>
        </w:rPr>
        <w:t>其他资产构成</w:t>
      </w:r>
    </w:p>
    <w:tbl>
      <w:tblPr>
        <w:tblStyle w:val="afa"/>
        <w:tblW w:w="8513" w:type="dxa"/>
        <w:tblInd w:w="15" w:type="dxa"/>
        <w:tblLayout w:type="fixed"/>
        <w:tblLook w:val="04A0" w:firstRow="1" w:lastRow="0" w:firstColumn="1" w:lastColumn="0" w:noHBand="0" w:noVBand="1"/>
      </w:tblPr>
      <w:tblGrid>
        <w:gridCol w:w="944"/>
        <w:gridCol w:w="2761"/>
        <w:gridCol w:w="4808"/>
      </w:tblGrid>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序号</w:t>
            </w:r>
          </w:p>
        </w:tc>
        <w:tc>
          <w:tcPr>
            <w:tcW w:w="2761"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名称</w:t>
            </w:r>
          </w:p>
        </w:tc>
        <w:tc>
          <w:tcPr>
            <w:tcW w:w="4808"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金额</w:t>
            </w:r>
            <w:r w:rsidRPr="00473486">
              <w:rPr>
                <w:rFonts w:eastAsiaTheme="minorEastAsia"/>
                <w:color w:val="000000" w:themeColor="text1"/>
                <w:kern w:val="0"/>
                <w:szCs w:val="21"/>
              </w:rPr>
              <w:t>(</w:t>
            </w:r>
            <w:r w:rsidRPr="00473486">
              <w:rPr>
                <w:rFonts w:eastAsiaTheme="minorEastAsia"/>
                <w:color w:val="000000" w:themeColor="text1"/>
                <w:kern w:val="0"/>
                <w:szCs w:val="21"/>
              </w:rPr>
              <w:t>元</w:t>
            </w: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kern w:val="0"/>
                <w:szCs w:val="21"/>
              </w:rPr>
            </w:pPr>
            <w:r w:rsidRPr="00473486">
              <w:rPr>
                <w:rFonts w:eastAsiaTheme="minorEastAsia"/>
                <w:color w:val="000000" w:themeColor="text1"/>
                <w:szCs w:val="21"/>
              </w:rPr>
              <w:t>1</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存出保证金</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386,252.38</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2</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应收证券清算款</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3</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应收股利</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4</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应收利息</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lastRenderedPageBreak/>
              <w:t>5</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应收申购款</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6</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其他应收款</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7</w:t>
            </w:r>
          </w:p>
        </w:tc>
        <w:tc>
          <w:tcPr>
            <w:tcW w:w="2761" w:type="dxa"/>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待摊费用</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8</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其他</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9</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合计</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386,252.38</w:t>
            </w:r>
          </w:p>
        </w:tc>
      </w:tr>
    </w:tbl>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5.11.4</w:t>
      </w:r>
      <w:r w:rsidRPr="00473486">
        <w:rPr>
          <w:rFonts w:eastAsiaTheme="minorEastAsia"/>
          <w:b/>
          <w:color w:val="000000" w:themeColor="text1"/>
          <w:kern w:val="0"/>
          <w:sz w:val="24"/>
        </w:rPr>
        <w:t>报告期末持有的处于转股期的可转换债券明细</w:t>
      </w:r>
    </w:p>
    <w:tbl>
      <w:tblPr>
        <w:tblW w:w="851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729"/>
        <w:gridCol w:w="1658"/>
        <w:gridCol w:w="1697"/>
        <w:gridCol w:w="1621"/>
      </w:tblGrid>
      <w:tr w:rsidR="00881A82" w:rsidRPr="00473486">
        <w:tc>
          <w:tcPr>
            <w:tcW w:w="1808"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1729"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债券代码</w:t>
            </w:r>
          </w:p>
        </w:tc>
        <w:tc>
          <w:tcPr>
            <w:tcW w:w="1658"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债券名称</w:t>
            </w:r>
          </w:p>
        </w:tc>
        <w:tc>
          <w:tcPr>
            <w:tcW w:w="1697"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621"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p>
        </w:tc>
      </w:tr>
      <w:tr w:rsidR="00C341FE">
        <w:tc>
          <w:tcPr>
            <w:tcW w:w="1808" w:type="dxa"/>
            <w:vAlign w:val="center"/>
          </w:tcPr>
          <w:p w:rsidR="00C341FE" w:rsidRDefault="00612AD1">
            <w:pPr>
              <w:jc w:val="center"/>
            </w:pPr>
            <w:r>
              <w:rPr>
                <w:rFonts w:eastAsiaTheme="minorEastAsia"/>
                <w:color w:val="000000" w:themeColor="text1"/>
                <w:szCs w:val="21"/>
              </w:rPr>
              <w:t>1</w:t>
            </w:r>
          </w:p>
        </w:tc>
        <w:tc>
          <w:tcPr>
            <w:tcW w:w="1729" w:type="dxa"/>
            <w:vAlign w:val="center"/>
          </w:tcPr>
          <w:p w:rsidR="00C341FE" w:rsidRDefault="00612AD1">
            <w:pPr>
              <w:jc w:val="center"/>
            </w:pPr>
            <w:r>
              <w:rPr>
                <w:rFonts w:eastAsiaTheme="minorEastAsia"/>
                <w:color w:val="000000" w:themeColor="text1"/>
                <w:szCs w:val="21"/>
              </w:rPr>
              <w:t>127089</w:t>
            </w:r>
          </w:p>
        </w:tc>
        <w:tc>
          <w:tcPr>
            <w:tcW w:w="1658" w:type="dxa"/>
            <w:vAlign w:val="center"/>
          </w:tcPr>
          <w:p w:rsidR="00C341FE" w:rsidRDefault="00612AD1">
            <w:pPr>
              <w:jc w:val="center"/>
            </w:pPr>
            <w:r>
              <w:rPr>
                <w:rFonts w:eastAsiaTheme="minorEastAsia"/>
                <w:color w:val="000000" w:themeColor="text1"/>
                <w:szCs w:val="21"/>
              </w:rPr>
              <w:t>晶澳转债</w:t>
            </w:r>
          </w:p>
        </w:tc>
        <w:tc>
          <w:tcPr>
            <w:tcW w:w="1697" w:type="dxa"/>
            <w:vAlign w:val="center"/>
          </w:tcPr>
          <w:p w:rsidR="00C341FE" w:rsidRDefault="00612AD1">
            <w:pPr>
              <w:jc w:val="right"/>
            </w:pPr>
            <w:r>
              <w:rPr>
                <w:rFonts w:eastAsiaTheme="minorEastAsia"/>
                <w:color w:val="000000" w:themeColor="text1"/>
                <w:szCs w:val="21"/>
              </w:rPr>
              <w:t>19,490.46</w:t>
            </w:r>
          </w:p>
        </w:tc>
        <w:tc>
          <w:tcPr>
            <w:tcW w:w="1621" w:type="dxa"/>
            <w:vAlign w:val="center"/>
          </w:tcPr>
          <w:p w:rsidR="00C341FE" w:rsidRDefault="00612AD1">
            <w:pPr>
              <w:jc w:val="right"/>
            </w:pPr>
            <w:r>
              <w:rPr>
                <w:rFonts w:eastAsiaTheme="minorEastAsia"/>
                <w:color w:val="000000" w:themeColor="text1"/>
                <w:szCs w:val="21"/>
              </w:rPr>
              <w:t>0.03</w:t>
            </w:r>
          </w:p>
        </w:tc>
      </w:tr>
      <w:tr w:rsidR="00C341FE">
        <w:tc>
          <w:tcPr>
            <w:tcW w:w="1808" w:type="dxa"/>
            <w:vAlign w:val="center"/>
          </w:tcPr>
          <w:p w:rsidR="00C341FE" w:rsidRDefault="00612AD1">
            <w:pPr>
              <w:jc w:val="center"/>
            </w:pPr>
            <w:r>
              <w:rPr>
                <w:rFonts w:eastAsiaTheme="minorEastAsia"/>
                <w:color w:val="000000" w:themeColor="text1"/>
                <w:szCs w:val="21"/>
              </w:rPr>
              <w:t>2</w:t>
            </w:r>
          </w:p>
        </w:tc>
        <w:tc>
          <w:tcPr>
            <w:tcW w:w="1729" w:type="dxa"/>
            <w:vAlign w:val="center"/>
          </w:tcPr>
          <w:p w:rsidR="00C341FE" w:rsidRDefault="00612AD1">
            <w:pPr>
              <w:jc w:val="center"/>
            </w:pPr>
            <w:r>
              <w:rPr>
                <w:rFonts w:eastAsiaTheme="minorEastAsia"/>
                <w:color w:val="000000" w:themeColor="text1"/>
                <w:szCs w:val="21"/>
              </w:rPr>
              <w:t>110095</w:t>
            </w:r>
          </w:p>
        </w:tc>
        <w:tc>
          <w:tcPr>
            <w:tcW w:w="1658" w:type="dxa"/>
            <w:vAlign w:val="center"/>
          </w:tcPr>
          <w:p w:rsidR="00C341FE" w:rsidRDefault="00612AD1">
            <w:pPr>
              <w:jc w:val="center"/>
            </w:pPr>
            <w:r>
              <w:rPr>
                <w:rFonts w:eastAsiaTheme="minorEastAsia"/>
                <w:color w:val="000000" w:themeColor="text1"/>
                <w:szCs w:val="21"/>
              </w:rPr>
              <w:t>双良转债</w:t>
            </w:r>
          </w:p>
        </w:tc>
        <w:tc>
          <w:tcPr>
            <w:tcW w:w="1697" w:type="dxa"/>
            <w:vAlign w:val="center"/>
          </w:tcPr>
          <w:p w:rsidR="00C341FE" w:rsidRDefault="00612AD1">
            <w:pPr>
              <w:jc w:val="right"/>
            </w:pPr>
            <w:r>
              <w:rPr>
                <w:rFonts w:eastAsiaTheme="minorEastAsia"/>
                <w:color w:val="000000" w:themeColor="text1"/>
                <w:szCs w:val="21"/>
              </w:rPr>
              <w:t>5,157.67</w:t>
            </w:r>
          </w:p>
        </w:tc>
        <w:tc>
          <w:tcPr>
            <w:tcW w:w="1621" w:type="dxa"/>
            <w:vAlign w:val="center"/>
          </w:tcPr>
          <w:p w:rsidR="00C341FE" w:rsidRDefault="00612AD1">
            <w:pPr>
              <w:jc w:val="right"/>
            </w:pPr>
            <w:r>
              <w:rPr>
                <w:rFonts w:eastAsiaTheme="minorEastAsia"/>
                <w:color w:val="000000" w:themeColor="text1"/>
                <w:szCs w:val="21"/>
              </w:rPr>
              <w:t>0.01</w:t>
            </w:r>
          </w:p>
        </w:tc>
      </w:tr>
    </w:tbl>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注：本基金本报告期末未持有处于转股期的可转换债券。</w:t>
      </w:r>
    </w:p>
    <w:p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5.11.5</w:t>
      </w:r>
      <w:r w:rsidRPr="00473486">
        <w:rPr>
          <w:rFonts w:eastAsiaTheme="minorEastAsia"/>
          <w:b/>
          <w:color w:val="000000" w:themeColor="text1"/>
          <w:sz w:val="24"/>
        </w:rPr>
        <w:t>报告期末前十名股票中存在流通受限情况的说明</w:t>
      </w:r>
    </w:p>
    <w:p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5.11.5.1</w:t>
      </w:r>
      <w:r w:rsidRPr="00473486">
        <w:rPr>
          <w:rFonts w:eastAsiaTheme="minorEastAsia"/>
          <w:b/>
          <w:color w:val="000000" w:themeColor="text1"/>
          <w:sz w:val="24"/>
        </w:rPr>
        <w:t>期末指数投资前十名股票中存在流通受限情况的说明</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本基金本报告期末前十名股票中不存在流通受限情况。</w:t>
      </w: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5.11.5.2</w:t>
      </w:r>
      <w:r w:rsidRPr="00473486">
        <w:rPr>
          <w:rFonts w:eastAsiaTheme="minorEastAsia"/>
          <w:b/>
          <w:color w:val="000000" w:themeColor="text1"/>
          <w:sz w:val="24"/>
        </w:rPr>
        <w:t>期末积极投资前五名股票中存在流通受限情况的说明</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本基金本报告期末前五名积极投资中不存在流通受限情况。</w:t>
      </w:r>
    </w:p>
    <w:p w:rsidR="00881A82" w:rsidRPr="00473486" w:rsidRDefault="00881A82">
      <w:pPr>
        <w:spacing w:line="360" w:lineRule="auto"/>
        <w:rPr>
          <w:rFonts w:eastAsiaTheme="minorEastAsia"/>
          <w:bCs/>
          <w:color w:val="000000" w:themeColor="text1"/>
          <w:szCs w:val="21"/>
        </w:rPr>
      </w:pP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5.11.</w:t>
      </w:r>
      <w:r w:rsidRPr="00473486">
        <w:rPr>
          <w:rFonts w:eastAsiaTheme="minorEastAsia"/>
          <w:b/>
          <w:bCs/>
          <w:color w:val="000000" w:themeColor="text1"/>
          <w:sz w:val="24"/>
        </w:rPr>
        <w:t>6</w:t>
      </w:r>
      <w:r w:rsidRPr="00473486">
        <w:rPr>
          <w:rFonts w:eastAsiaTheme="minorEastAsia"/>
          <w:b/>
          <w:bCs/>
          <w:color w:val="000000" w:themeColor="text1"/>
          <w:kern w:val="0"/>
          <w:sz w:val="24"/>
        </w:rPr>
        <w:t>投资组合报告附注的其他文字描述部分</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因四舍五入原因，投资组合报告中分项之和与合计可能存在尾差。</w:t>
      </w:r>
    </w:p>
    <w:p w:rsidR="00881A82" w:rsidRPr="00473486" w:rsidRDefault="00881A82">
      <w:pPr>
        <w:spacing w:line="360" w:lineRule="auto"/>
        <w:ind w:firstLineChars="200" w:firstLine="420"/>
        <w:rPr>
          <w:rFonts w:eastAsiaTheme="minorEastAsia"/>
          <w:color w:val="000000" w:themeColor="text1"/>
          <w:szCs w:val="21"/>
        </w:rPr>
      </w:pP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§6  </w:t>
      </w:r>
      <w:r w:rsidRPr="00473486">
        <w:rPr>
          <w:rFonts w:eastAsiaTheme="minorEastAsia"/>
          <w:color w:val="000000" w:themeColor="text1"/>
          <w:kern w:val="0"/>
          <w:sz w:val="24"/>
          <w:szCs w:val="24"/>
        </w:rPr>
        <w:t>开放式基金份额变动</w:t>
      </w:r>
    </w:p>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单位：份</w:t>
      </w:r>
    </w:p>
    <w:tbl>
      <w:tblPr>
        <w:tblW w:w="8634" w:type="dxa"/>
        <w:tblInd w:w="-106" w:type="dxa"/>
        <w:tblLayout w:type="fixed"/>
        <w:tblLook w:val="04A0" w:firstRow="1" w:lastRow="0" w:firstColumn="1" w:lastColumn="0" w:noHBand="0" w:noVBand="1"/>
      </w:tblPr>
      <w:tblGrid>
        <w:gridCol w:w="4609"/>
        <w:gridCol w:w="4025"/>
      </w:tblGrid>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72,727,323.00</w:t>
            </w:r>
          </w:p>
        </w:tc>
      </w:tr>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72,727,323.00</w:t>
            </w:r>
          </w:p>
        </w:tc>
      </w:tr>
    </w:tbl>
    <w:p w:rsidR="00881A82" w:rsidRPr="00473486" w:rsidRDefault="007D1E3A">
      <w:pPr>
        <w:pStyle w:val="1"/>
        <w:tabs>
          <w:tab w:val="center" w:pos="4156"/>
          <w:tab w:val="right" w:pos="8312"/>
        </w:tabs>
        <w:spacing w:beforeLines="100" w:before="312" w:afterLines="100" w:after="312" w:line="360" w:lineRule="auto"/>
        <w:jc w:val="center"/>
        <w:rPr>
          <w:color w:val="000000" w:themeColor="text1"/>
          <w:sz w:val="24"/>
          <w:szCs w:val="24"/>
        </w:rPr>
      </w:pPr>
      <w:r w:rsidRPr="00473486">
        <w:rPr>
          <w:rFonts w:eastAsiaTheme="minorEastAsia"/>
          <w:color w:val="000000" w:themeColor="text1"/>
          <w:kern w:val="0"/>
          <w:sz w:val="24"/>
          <w:szCs w:val="24"/>
        </w:rPr>
        <w:lastRenderedPageBreak/>
        <w:t xml:space="preserve">§7  </w:t>
      </w:r>
      <w:r w:rsidRPr="00473486">
        <w:rPr>
          <w:color w:val="000000" w:themeColor="text1"/>
          <w:sz w:val="24"/>
          <w:szCs w:val="24"/>
        </w:rPr>
        <w:t>基金管理人运用固有资金投资本基金情况</w:t>
      </w:r>
    </w:p>
    <w:p w:rsidR="00881A82" w:rsidRPr="00473486" w:rsidRDefault="007D1E3A">
      <w:pPr>
        <w:spacing w:line="360" w:lineRule="auto"/>
        <w:jc w:val="left"/>
        <w:rPr>
          <w:color w:val="000000" w:themeColor="text1"/>
          <w:sz w:val="24"/>
        </w:rPr>
      </w:pPr>
      <w:r w:rsidRPr="00473486">
        <w:rPr>
          <w:b/>
          <w:color w:val="000000" w:themeColor="text1"/>
          <w:sz w:val="24"/>
        </w:rPr>
        <w:t xml:space="preserve">7.1 </w:t>
      </w:r>
      <w:r w:rsidRPr="00473486">
        <w:rPr>
          <w:b/>
          <w:color w:val="000000" w:themeColor="text1"/>
          <w:sz w:val="24"/>
        </w:rPr>
        <w:t>基金管理人持有本基金份额变动情况</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无。</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spacing w:line="360" w:lineRule="auto"/>
        <w:jc w:val="left"/>
        <w:rPr>
          <w:color w:val="000000" w:themeColor="text1"/>
          <w:sz w:val="24"/>
        </w:rPr>
      </w:pPr>
      <w:r w:rsidRPr="00473486">
        <w:rPr>
          <w:b/>
          <w:color w:val="000000" w:themeColor="text1"/>
          <w:sz w:val="24"/>
        </w:rPr>
        <w:t xml:space="preserve">7.2 </w:t>
      </w:r>
      <w:r w:rsidRPr="00473486">
        <w:rPr>
          <w:b/>
          <w:color w:val="000000" w:themeColor="text1"/>
          <w:sz w:val="24"/>
        </w:rPr>
        <w:t>基金管理人运用固有资金投资本基金交易明细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无。</w:t>
      </w: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§8  </w:t>
      </w:r>
      <w:r w:rsidRPr="00473486">
        <w:rPr>
          <w:rFonts w:eastAsiaTheme="minorEastAsia"/>
          <w:color w:val="000000" w:themeColor="text1"/>
          <w:kern w:val="0"/>
          <w:sz w:val="24"/>
          <w:szCs w:val="24"/>
        </w:rPr>
        <w:t>影响投资者决策的其他重要信息</w:t>
      </w:r>
    </w:p>
    <w:p w:rsidR="00881A82" w:rsidRPr="00473486" w:rsidRDefault="007D1E3A">
      <w:pPr>
        <w:autoSpaceDE w:val="0"/>
        <w:autoSpaceDN w:val="0"/>
        <w:adjustRightInd w:val="0"/>
        <w:spacing w:line="360" w:lineRule="auto"/>
        <w:jc w:val="left"/>
        <w:rPr>
          <w:b/>
          <w:bCs/>
          <w:color w:val="000000"/>
          <w:kern w:val="0"/>
          <w:sz w:val="24"/>
        </w:rPr>
      </w:pPr>
      <w:r w:rsidRPr="00473486">
        <w:rPr>
          <w:b/>
          <w:bCs/>
          <w:color w:val="000000"/>
          <w:kern w:val="0"/>
          <w:sz w:val="24"/>
        </w:rPr>
        <w:t xml:space="preserve">8.1 </w:t>
      </w:r>
      <w:r w:rsidRPr="00473486">
        <w:rPr>
          <w:b/>
          <w:bCs/>
          <w:color w:val="000000"/>
          <w:kern w:val="0"/>
          <w:sz w:val="24"/>
        </w:rPr>
        <w:t>报告期内单一投资者持有基金份额比例达到或超过</w:t>
      </w:r>
      <w:r w:rsidRPr="00473486">
        <w:rPr>
          <w:b/>
          <w:bCs/>
          <w:color w:val="000000"/>
          <w:kern w:val="0"/>
          <w:sz w:val="24"/>
        </w:rPr>
        <w:t>20%</w:t>
      </w:r>
      <w:r w:rsidRPr="00473486">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881A82" w:rsidRPr="00473486">
        <w:tc>
          <w:tcPr>
            <w:tcW w:w="993" w:type="dxa"/>
            <w:vMerge w:val="restart"/>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投资者类别</w:t>
            </w:r>
            <w:r w:rsidRPr="00473486">
              <w:rPr>
                <w:color w:val="000000"/>
                <w:kern w:val="0"/>
                <w:szCs w:val="21"/>
              </w:rPr>
              <w:t xml:space="preserve">  </w:t>
            </w:r>
          </w:p>
        </w:tc>
        <w:tc>
          <w:tcPr>
            <w:tcW w:w="5670" w:type="dxa"/>
            <w:gridSpan w:val="5"/>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报告期内持有基金份额变化情况</w:t>
            </w:r>
          </w:p>
        </w:tc>
        <w:tc>
          <w:tcPr>
            <w:tcW w:w="2549" w:type="dxa"/>
            <w:gridSpan w:val="2"/>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报告期末持有基金情况</w:t>
            </w:r>
          </w:p>
        </w:tc>
      </w:tr>
      <w:tr w:rsidR="00881A82" w:rsidRPr="00473486">
        <w:tc>
          <w:tcPr>
            <w:tcW w:w="993" w:type="dxa"/>
            <w:vMerge/>
            <w:vAlign w:val="center"/>
          </w:tcPr>
          <w:p w:rsidR="00881A82" w:rsidRPr="00473486" w:rsidRDefault="00881A82">
            <w:pPr>
              <w:autoSpaceDE w:val="0"/>
              <w:autoSpaceDN w:val="0"/>
              <w:adjustRightInd w:val="0"/>
              <w:jc w:val="center"/>
              <w:rPr>
                <w:b/>
                <w:bCs/>
                <w:color w:val="000000"/>
                <w:kern w:val="0"/>
                <w:szCs w:val="21"/>
              </w:rPr>
            </w:pPr>
          </w:p>
        </w:tc>
        <w:tc>
          <w:tcPr>
            <w:tcW w:w="992" w:type="dxa"/>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序号</w:t>
            </w:r>
          </w:p>
        </w:tc>
        <w:tc>
          <w:tcPr>
            <w:tcW w:w="1843" w:type="dxa"/>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持有基金份额比例达到或者超过</w:t>
            </w:r>
            <w:r w:rsidRPr="00473486">
              <w:rPr>
                <w:color w:val="000000"/>
                <w:kern w:val="0"/>
                <w:szCs w:val="21"/>
              </w:rPr>
              <w:t>20%</w:t>
            </w:r>
            <w:r w:rsidRPr="00473486">
              <w:rPr>
                <w:color w:val="000000"/>
                <w:kern w:val="0"/>
                <w:szCs w:val="21"/>
              </w:rPr>
              <w:t>的时间区间</w:t>
            </w:r>
          </w:p>
        </w:tc>
        <w:tc>
          <w:tcPr>
            <w:tcW w:w="851" w:type="dxa"/>
            <w:vAlign w:val="center"/>
          </w:tcPr>
          <w:p w:rsidR="00881A82" w:rsidRPr="00473486" w:rsidRDefault="007D1E3A">
            <w:pPr>
              <w:widowControl/>
              <w:jc w:val="center"/>
              <w:rPr>
                <w:b/>
                <w:bCs/>
                <w:color w:val="000000"/>
                <w:kern w:val="0"/>
                <w:szCs w:val="21"/>
              </w:rPr>
            </w:pPr>
            <w:r w:rsidRPr="00473486">
              <w:rPr>
                <w:color w:val="000000"/>
                <w:kern w:val="0"/>
                <w:szCs w:val="21"/>
              </w:rPr>
              <w:t>期初份额</w:t>
            </w:r>
          </w:p>
        </w:tc>
        <w:tc>
          <w:tcPr>
            <w:tcW w:w="850" w:type="dxa"/>
            <w:vAlign w:val="center"/>
          </w:tcPr>
          <w:p w:rsidR="00881A82" w:rsidRPr="00473486" w:rsidRDefault="007D1E3A">
            <w:pPr>
              <w:widowControl/>
              <w:jc w:val="center"/>
              <w:rPr>
                <w:b/>
                <w:bCs/>
                <w:color w:val="000000"/>
                <w:kern w:val="0"/>
                <w:szCs w:val="21"/>
              </w:rPr>
            </w:pPr>
            <w:r w:rsidRPr="00473486">
              <w:rPr>
                <w:color w:val="000000"/>
                <w:kern w:val="0"/>
                <w:szCs w:val="21"/>
              </w:rPr>
              <w:t>申购份额</w:t>
            </w:r>
          </w:p>
        </w:tc>
        <w:tc>
          <w:tcPr>
            <w:tcW w:w="1134" w:type="dxa"/>
            <w:vAlign w:val="center"/>
          </w:tcPr>
          <w:p w:rsidR="00881A82" w:rsidRPr="00473486" w:rsidRDefault="007D1E3A">
            <w:pPr>
              <w:widowControl/>
              <w:jc w:val="center"/>
              <w:rPr>
                <w:b/>
                <w:bCs/>
                <w:color w:val="000000"/>
                <w:kern w:val="0"/>
                <w:szCs w:val="21"/>
              </w:rPr>
            </w:pPr>
            <w:r w:rsidRPr="00473486">
              <w:rPr>
                <w:color w:val="000000"/>
                <w:kern w:val="0"/>
                <w:szCs w:val="21"/>
              </w:rPr>
              <w:t>赎回份额</w:t>
            </w:r>
          </w:p>
        </w:tc>
        <w:tc>
          <w:tcPr>
            <w:tcW w:w="1419" w:type="dxa"/>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持有份额</w:t>
            </w:r>
          </w:p>
        </w:tc>
        <w:tc>
          <w:tcPr>
            <w:tcW w:w="1130" w:type="dxa"/>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份额占比</w:t>
            </w:r>
          </w:p>
        </w:tc>
      </w:tr>
      <w:tr w:rsidR="00C341FE">
        <w:tc>
          <w:tcPr>
            <w:tcW w:w="993" w:type="dxa"/>
            <w:vAlign w:val="center"/>
          </w:tcPr>
          <w:p w:rsidR="00C341FE" w:rsidRDefault="00612AD1">
            <w:r>
              <w:rPr>
                <w:kern w:val="0"/>
                <w:szCs w:val="21"/>
              </w:rPr>
              <w:t>联接基金</w:t>
            </w:r>
          </w:p>
        </w:tc>
        <w:tc>
          <w:tcPr>
            <w:tcW w:w="992" w:type="dxa"/>
            <w:vAlign w:val="center"/>
          </w:tcPr>
          <w:p w:rsidR="00C341FE" w:rsidRDefault="00612AD1">
            <w:pPr>
              <w:jc w:val="center"/>
            </w:pPr>
            <w:r>
              <w:rPr>
                <w:bCs/>
                <w:color w:val="000000"/>
                <w:kern w:val="0"/>
                <w:szCs w:val="21"/>
              </w:rPr>
              <w:t>1</w:t>
            </w:r>
          </w:p>
        </w:tc>
        <w:tc>
          <w:tcPr>
            <w:tcW w:w="1843" w:type="dxa"/>
            <w:vAlign w:val="center"/>
          </w:tcPr>
          <w:p w:rsidR="00C341FE" w:rsidRDefault="00612AD1">
            <w:pPr>
              <w:jc w:val="center"/>
            </w:pPr>
            <w:r>
              <w:rPr>
                <w:bCs/>
                <w:color w:val="000000"/>
                <w:kern w:val="0"/>
                <w:szCs w:val="21"/>
              </w:rPr>
              <w:t>20240101-20240331</w:t>
            </w:r>
          </w:p>
        </w:tc>
        <w:tc>
          <w:tcPr>
            <w:tcW w:w="851" w:type="dxa"/>
            <w:vAlign w:val="center"/>
          </w:tcPr>
          <w:p w:rsidR="00C341FE" w:rsidRDefault="00612AD1">
            <w:pPr>
              <w:jc w:val="center"/>
            </w:pPr>
            <w:r>
              <w:rPr>
                <w:bCs/>
                <w:color w:val="000000"/>
                <w:kern w:val="0"/>
                <w:szCs w:val="21"/>
              </w:rPr>
              <w:t>28,947,900.00</w:t>
            </w:r>
          </w:p>
        </w:tc>
        <w:tc>
          <w:tcPr>
            <w:tcW w:w="850" w:type="dxa"/>
            <w:vAlign w:val="center"/>
          </w:tcPr>
          <w:p w:rsidR="00C341FE" w:rsidRDefault="00612AD1">
            <w:pPr>
              <w:jc w:val="center"/>
            </w:pPr>
            <w:r>
              <w:rPr>
                <w:bCs/>
                <w:color w:val="000000"/>
                <w:kern w:val="0"/>
                <w:szCs w:val="21"/>
              </w:rPr>
              <w:t>700,000.00</w:t>
            </w:r>
          </w:p>
        </w:tc>
        <w:tc>
          <w:tcPr>
            <w:tcW w:w="1134" w:type="dxa"/>
            <w:vAlign w:val="center"/>
          </w:tcPr>
          <w:p w:rsidR="00C341FE" w:rsidRDefault="00612AD1">
            <w:pPr>
              <w:jc w:val="center"/>
            </w:pPr>
            <w:r>
              <w:rPr>
                <w:bCs/>
                <w:color w:val="000000"/>
                <w:kern w:val="0"/>
                <w:szCs w:val="21"/>
              </w:rPr>
              <w:t>0.00</w:t>
            </w:r>
          </w:p>
        </w:tc>
        <w:tc>
          <w:tcPr>
            <w:tcW w:w="1419" w:type="dxa"/>
            <w:vAlign w:val="center"/>
          </w:tcPr>
          <w:p w:rsidR="00C341FE" w:rsidRDefault="00612AD1">
            <w:pPr>
              <w:jc w:val="center"/>
            </w:pPr>
            <w:r>
              <w:rPr>
                <w:bCs/>
                <w:color w:val="000000"/>
                <w:kern w:val="0"/>
                <w:szCs w:val="21"/>
              </w:rPr>
              <w:t>29,647,900.00</w:t>
            </w:r>
          </w:p>
        </w:tc>
        <w:tc>
          <w:tcPr>
            <w:tcW w:w="1130" w:type="dxa"/>
            <w:vAlign w:val="center"/>
          </w:tcPr>
          <w:p w:rsidR="00C341FE" w:rsidRDefault="00612AD1">
            <w:pPr>
              <w:jc w:val="center"/>
            </w:pPr>
            <w:r>
              <w:rPr>
                <w:bCs/>
                <w:color w:val="000000"/>
                <w:kern w:val="0"/>
                <w:szCs w:val="21"/>
              </w:rPr>
              <w:t>40.77%</w:t>
            </w:r>
          </w:p>
        </w:tc>
      </w:tr>
      <w:tr w:rsidR="00881A82" w:rsidRPr="00473486">
        <w:tc>
          <w:tcPr>
            <w:tcW w:w="9212" w:type="dxa"/>
            <w:gridSpan w:val="8"/>
            <w:vAlign w:val="center"/>
          </w:tcPr>
          <w:p w:rsidR="00881A82" w:rsidRPr="00473486" w:rsidRDefault="007D1E3A">
            <w:pPr>
              <w:autoSpaceDE w:val="0"/>
              <w:autoSpaceDN w:val="0"/>
              <w:adjustRightInd w:val="0"/>
              <w:jc w:val="center"/>
              <w:rPr>
                <w:kern w:val="0"/>
                <w:szCs w:val="21"/>
              </w:rPr>
            </w:pPr>
            <w:r w:rsidRPr="00473486">
              <w:rPr>
                <w:color w:val="000000"/>
                <w:kern w:val="0"/>
                <w:szCs w:val="21"/>
              </w:rPr>
              <w:t>产品特有风险</w:t>
            </w:r>
          </w:p>
        </w:tc>
      </w:tr>
      <w:tr w:rsidR="00881A82" w:rsidRPr="00473486">
        <w:tc>
          <w:tcPr>
            <w:tcW w:w="9212" w:type="dxa"/>
            <w:gridSpan w:val="8"/>
            <w:vAlign w:val="center"/>
          </w:tcPr>
          <w:p w:rsidR="00881A82" w:rsidRPr="00473486" w:rsidRDefault="007D1E3A">
            <w:pPr>
              <w:autoSpaceDE w:val="0"/>
              <w:autoSpaceDN w:val="0"/>
              <w:adjustRightInd w:val="0"/>
              <w:jc w:val="left"/>
              <w:rPr>
                <w:kern w:val="0"/>
                <w:szCs w:val="21"/>
              </w:rPr>
            </w:pPr>
            <w:r w:rsidRPr="00473486">
              <w:rPr>
                <w:kern w:val="0"/>
                <w:szCs w:val="21"/>
              </w:rPr>
              <w:t>本基金的集中度风险主要体现在有单一投资者持有基金份额比例达到或者超过</w:t>
            </w:r>
            <w:r w:rsidRPr="00473486">
              <w:rPr>
                <w:kern w:val="0"/>
                <w:szCs w:val="21"/>
              </w:rPr>
              <w:t>20%</w:t>
            </w:r>
            <w:r w:rsidRPr="00473486">
              <w:rPr>
                <w:kern w:val="0"/>
                <w:szCs w:val="21"/>
              </w:rPr>
              <w:t>，如果投资者发生大额赎回，可能出现基金可变现资产无法满足投资者赎回需要以及因为资产变现成本过高导致投资者的利益受到损害的风险。</w:t>
            </w:r>
          </w:p>
        </w:tc>
      </w:tr>
    </w:tbl>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§9</w:t>
      </w:r>
      <w:r w:rsidRPr="00473486">
        <w:rPr>
          <w:rFonts w:eastAsiaTheme="minorEastAsia"/>
          <w:color w:val="000000" w:themeColor="text1"/>
          <w:kern w:val="0"/>
          <w:sz w:val="24"/>
          <w:szCs w:val="24"/>
        </w:rPr>
        <w:t>备查文件目录</w:t>
      </w: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9.1 </w:t>
      </w:r>
      <w:r w:rsidRPr="00473486">
        <w:rPr>
          <w:rFonts w:eastAsiaTheme="minorEastAsia"/>
          <w:b/>
          <w:color w:val="000000" w:themeColor="text1"/>
          <w:sz w:val="24"/>
        </w:rPr>
        <w:t>备查文件目录</w:t>
      </w:r>
    </w:p>
    <w:p w:rsidR="00C341FE" w:rsidRDefault="00612AD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C341FE" w:rsidRDefault="00612AD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股交易型开放式指数证券投资基金基金合同</w:t>
      </w:r>
    </w:p>
    <w:p w:rsidR="00C341FE" w:rsidRDefault="00612AD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股交易型开放式指数证券投资基金托管协议</w:t>
      </w:r>
    </w:p>
    <w:p w:rsidR="00C341FE" w:rsidRDefault="00612AD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C341FE" w:rsidRDefault="00612AD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C341FE" w:rsidRDefault="00612AD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C341FE" w:rsidRDefault="00612AD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w:t>
      </w:r>
      <w:r w:rsidRPr="00473486">
        <w:rPr>
          <w:rFonts w:eastAsiaTheme="minorEastAsia"/>
          <w:color w:val="000000" w:themeColor="text1"/>
          <w:szCs w:val="21"/>
        </w:rPr>
        <w:t>八</w:t>
      </w:r>
      <w:r w:rsidRPr="00473486">
        <w:rPr>
          <w:rFonts w:eastAsiaTheme="minorEastAsia"/>
          <w:color w:val="000000" w:themeColor="text1"/>
          <w:szCs w:val="21"/>
        </w:rPr>
        <w:t>)</w:t>
      </w:r>
      <w:r w:rsidRPr="00473486">
        <w:rPr>
          <w:rFonts w:eastAsiaTheme="minorEastAsia"/>
          <w:color w:val="000000" w:themeColor="text1"/>
          <w:szCs w:val="21"/>
        </w:rPr>
        <w:t>中国证监会要求的其他文件</w:t>
      </w:r>
    </w:p>
    <w:p w:rsidR="00881A82" w:rsidRPr="00473486" w:rsidRDefault="00881A82">
      <w:pPr>
        <w:spacing w:line="360" w:lineRule="auto"/>
        <w:ind w:firstLineChars="200" w:firstLine="480"/>
        <w:rPr>
          <w:rFonts w:eastAsiaTheme="minorEastAsia"/>
          <w:color w:val="000000" w:themeColor="text1"/>
          <w:sz w:val="24"/>
        </w:rPr>
      </w:pP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lastRenderedPageBreak/>
        <w:t xml:space="preserve">9.2 </w:t>
      </w:r>
      <w:r w:rsidRPr="00473486">
        <w:rPr>
          <w:rFonts w:eastAsiaTheme="minorEastAsia"/>
          <w:b/>
          <w:color w:val="000000" w:themeColor="text1"/>
          <w:sz w:val="24"/>
        </w:rPr>
        <w:t>存放地点</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基金管理人或基金托管人住所。</w:t>
      </w:r>
    </w:p>
    <w:p w:rsidR="00881A82" w:rsidRPr="00473486" w:rsidRDefault="00881A82">
      <w:pPr>
        <w:spacing w:line="360" w:lineRule="auto"/>
        <w:ind w:firstLineChars="200" w:firstLine="480"/>
        <w:rPr>
          <w:rFonts w:eastAsiaTheme="minorEastAsia"/>
          <w:color w:val="000000" w:themeColor="text1"/>
          <w:sz w:val="24"/>
        </w:rPr>
      </w:pP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9.3 </w:t>
      </w:r>
      <w:r w:rsidRPr="00473486">
        <w:rPr>
          <w:rFonts w:eastAsiaTheme="minorEastAsia"/>
          <w:b/>
          <w:color w:val="000000" w:themeColor="text1"/>
          <w:sz w:val="24"/>
        </w:rPr>
        <w:t>查阅方式</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投资者可在营业时间免费查阅，也可按工本费购买复印件。</w:t>
      </w:r>
    </w:p>
    <w:p w:rsidR="00881A82" w:rsidRPr="00473486" w:rsidRDefault="00881A82">
      <w:pPr>
        <w:spacing w:line="360" w:lineRule="auto"/>
        <w:ind w:left="840"/>
        <w:jc w:val="right"/>
        <w:rPr>
          <w:rFonts w:eastAsiaTheme="minorEastAsia"/>
          <w:color w:val="000000" w:themeColor="text1"/>
          <w:sz w:val="24"/>
        </w:rPr>
      </w:pPr>
    </w:p>
    <w:p w:rsidR="00881A82" w:rsidRPr="00473486" w:rsidRDefault="00881A82">
      <w:pPr>
        <w:spacing w:line="360" w:lineRule="auto"/>
        <w:ind w:left="840"/>
        <w:jc w:val="right"/>
        <w:rPr>
          <w:rFonts w:eastAsiaTheme="minorEastAsia"/>
          <w:color w:val="000000" w:themeColor="text1"/>
          <w:sz w:val="24"/>
        </w:rPr>
      </w:pPr>
    </w:p>
    <w:p w:rsidR="00881A82" w:rsidRPr="00473486" w:rsidRDefault="00881A82">
      <w:pPr>
        <w:spacing w:line="360" w:lineRule="auto"/>
        <w:ind w:left="840"/>
        <w:jc w:val="right"/>
        <w:rPr>
          <w:rFonts w:eastAsiaTheme="minorEastAsia"/>
          <w:color w:val="000000" w:themeColor="text1"/>
          <w:sz w:val="24"/>
        </w:rPr>
      </w:pPr>
    </w:p>
    <w:p w:rsidR="00881A82" w:rsidRPr="00473486" w:rsidRDefault="00881A82">
      <w:pPr>
        <w:spacing w:line="360" w:lineRule="auto"/>
        <w:ind w:left="840"/>
        <w:jc w:val="right"/>
        <w:rPr>
          <w:rFonts w:eastAsiaTheme="minorEastAsia"/>
          <w:color w:val="000000" w:themeColor="text1"/>
          <w:sz w:val="24"/>
        </w:rPr>
      </w:pPr>
    </w:p>
    <w:p w:rsidR="00881A82" w:rsidRPr="00473486" w:rsidRDefault="00881A82">
      <w:pPr>
        <w:spacing w:line="360" w:lineRule="auto"/>
        <w:ind w:left="840"/>
        <w:jc w:val="right"/>
        <w:rPr>
          <w:rFonts w:eastAsiaTheme="minorEastAsia"/>
          <w:color w:val="000000" w:themeColor="text1"/>
          <w:sz w:val="24"/>
        </w:rPr>
      </w:pPr>
    </w:p>
    <w:p w:rsidR="00881A82" w:rsidRPr="00473486" w:rsidRDefault="007D1E3A">
      <w:pPr>
        <w:spacing w:line="360" w:lineRule="auto"/>
        <w:jc w:val="right"/>
        <w:rPr>
          <w:rFonts w:eastAsiaTheme="minorEastAsia"/>
          <w:b/>
          <w:bCs/>
          <w:color w:val="000000" w:themeColor="text1"/>
          <w:sz w:val="24"/>
        </w:rPr>
      </w:pPr>
      <w:r w:rsidRPr="00473486">
        <w:rPr>
          <w:rFonts w:eastAsiaTheme="minorEastAsia"/>
          <w:b/>
          <w:bCs/>
          <w:color w:val="000000" w:themeColor="text1"/>
          <w:sz w:val="24"/>
        </w:rPr>
        <w:t>摩根基金管理（中国）有限公司</w:t>
      </w:r>
    </w:p>
    <w:p w:rsidR="00881A82" w:rsidRPr="00473486" w:rsidRDefault="007D1E3A">
      <w:pPr>
        <w:spacing w:line="360" w:lineRule="auto"/>
        <w:jc w:val="right"/>
        <w:rPr>
          <w:rFonts w:eastAsiaTheme="minorEastAsia"/>
          <w:b/>
          <w:bCs/>
          <w:color w:val="000000" w:themeColor="text1"/>
          <w:sz w:val="24"/>
        </w:rPr>
      </w:pPr>
      <w:r w:rsidRPr="00473486">
        <w:rPr>
          <w:rFonts w:eastAsiaTheme="minorEastAsia"/>
          <w:b/>
          <w:bCs/>
          <w:color w:val="000000" w:themeColor="text1"/>
          <w:sz w:val="24"/>
        </w:rPr>
        <w:t>二〇二四年四月二十二日</w:t>
      </w:r>
    </w:p>
    <w:p w:rsidR="00881A82" w:rsidRPr="00473486" w:rsidRDefault="00881A82">
      <w:pPr>
        <w:spacing w:line="360" w:lineRule="auto"/>
        <w:ind w:firstLineChars="900" w:firstLine="2168"/>
        <w:rPr>
          <w:rFonts w:eastAsiaTheme="minorEastAsia"/>
          <w:b/>
          <w:color w:val="000000" w:themeColor="text1"/>
          <w:sz w:val="24"/>
        </w:rPr>
      </w:pPr>
    </w:p>
    <w:sectPr w:rsidR="00881A82" w:rsidRPr="00473486">
      <w:footerReference w:type="even"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EDF" w:rsidRDefault="007F3EDF">
      <w:r>
        <w:separator/>
      </w:r>
    </w:p>
  </w:endnote>
  <w:endnote w:type="continuationSeparator" w:id="0">
    <w:p w:rsidR="007F3EDF" w:rsidRDefault="007F3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F6D04">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F6D04">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881A82" w:rsidRDefault="00881A82">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6F6D04">
      <w:rPr>
        <w:rStyle w:val="af5"/>
        <w:noProof/>
      </w:rPr>
      <w:t>2</w:t>
    </w:r>
    <w:r>
      <w:rPr>
        <w:rStyle w:val="af5"/>
      </w:rPr>
      <w:fldChar w:fldCharType="end"/>
    </w:r>
  </w:p>
  <w:p w:rsidR="00881A82" w:rsidRDefault="00881A8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EDF" w:rsidRDefault="007F3EDF">
      <w:r>
        <w:separator/>
      </w:r>
    </w:p>
  </w:footnote>
  <w:footnote w:type="continuationSeparator" w:id="0">
    <w:p w:rsidR="007F3EDF" w:rsidRDefault="007F3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f"/>
      <w:pBdr>
        <w:bottom w:val="single" w:sz="6" w:space="0" w:color="auto"/>
      </w:pBdr>
      <w:jc w:val="right"/>
    </w:pPr>
    <w:r>
      <w:t>摩根</w:t>
    </w:r>
    <w:r>
      <w:t>MSCI</w:t>
    </w:r>
    <w:r>
      <w:t>中国</w:t>
    </w:r>
    <w:r>
      <w:t>A</w:t>
    </w:r>
    <w:r>
      <w:t>股交易型开放式指数证券投资基金</w:t>
    </w:r>
    <w:r>
      <w:t>2024</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9DA"/>
    <w:rsid w:val="000020BB"/>
    <w:rsid w:val="0000403B"/>
    <w:rsid w:val="00005911"/>
    <w:rsid w:val="00010A83"/>
    <w:rsid w:val="00010A8E"/>
    <w:rsid w:val="00010AC3"/>
    <w:rsid w:val="000115A7"/>
    <w:rsid w:val="00011EB5"/>
    <w:rsid w:val="0001280C"/>
    <w:rsid w:val="00017581"/>
    <w:rsid w:val="00020583"/>
    <w:rsid w:val="00021DD4"/>
    <w:rsid w:val="00023BE7"/>
    <w:rsid w:val="00037FCF"/>
    <w:rsid w:val="000421B8"/>
    <w:rsid w:val="000433E8"/>
    <w:rsid w:val="00043ABF"/>
    <w:rsid w:val="000445E4"/>
    <w:rsid w:val="00045BEC"/>
    <w:rsid w:val="000510AB"/>
    <w:rsid w:val="00055AF1"/>
    <w:rsid w:val="000625A6"/>
    <w:rsid w:val="00064AE3"/>
    <w:rsid w:val="00066524"/>
    <w:rsid w:val="00070CD1"/>
    <w:rsid w:val="0007171B"/>
    <w:rsid w:val="00072E4F"/>
    <w:rsid w:val="00074E9F"/>
    <w:rsid w:val="0007721B"/>
    <w:rsid w:val="00081D05"/>
    <w:rsid w:val="000820A8"/>
    <w:rsid w:val="00084EE5"/>
    <w:rsid w:val="00087CF7"/>
    <w:rsid w:val="00091560"/>
    <w:rsid w:val="00093160"/>
    <w:rsid w:val="00094876"/>
    <w:rsid w:val="00095912"/>
    <w:rsid w:val="00095CE0"/>
    <w:rsid w:val="00096933"/>
    <w:rsid w:val="00097230"/>
    <w:rsid w:val="0009778D"/>
    <w:rsid w:val="000A0010"/>
    <w:rsid w:val="000A457E"/>
    <w:rsid w:val="000A53FD"/>
    <w:rsid w:val="000A549A"/>
    <w:rsid w:val="000A5F96"/>
    <w:rsid w:val="000A72F2"/>
    <w:rsid w:val="000B0C56"/>
    <w:rsid w:val="000B3E43"/>
    <w:rsid w:val="000B5CC0"/>
    <w:rsid w:val="000C1723"/>
    <w:rsid w:val="000C1B20"/>
    <w:rsid w:val="000C4107"/>
    <w:rsid w:val="000C45E7"/>
    <w:rsid w:val="000D01F4"/>
    <w:rsid w:val="000D1519"/>
    <w:rsid w:val="000D1C87"/>
    <w:rsid w:val="000E4456"/>
    <w:rsid w:val="000F175F"/>
    <w:rsid w:val="000F17D1"/>
    <w:rsid w:val="000F60FF"/>
    <w:rsid w:val="000F635F"/>
    <w:rsid w:val="000F6C61"/>
    <w:rsid w:val="00100C12"/>
    <w:rsid w:val="00101DBA"/>
    <w:rsid w:val="001049B6"/>
    <w:rsid w:val="001051C6"/>
    <w:rsid w:val="0011177A"/>
    <w:rsid w:val="00112E9B"/>
    <w:rsid w:val="00116E31"/>
    <w:rsid w:val="00122A26"/>
    <w:rsid w:val="0012304E"/>
    <w:rsid w:val="001248EF"/>
    <w:rsid w:val="001257C7"/>
    <w:rsid w:val="00126DDF"/>
    <w:rsid w:val="001270BF"/>
    <w:rsid w:val="00127BAC"/>
    <w:rsid w:val="00131D06"/>
    <w:rsid w:val="0013360F"/>
    <w:rsid w:val="00141121"/>
    <w:rsid w:val="00142A56"/>
    <w:rsid w:val="00144DF5"/>
    <w:rsid w:val="00145A97"/>
    <w:rsid w:val="00146485"/>
    <w:rsid w:val="00150AD6"/>
    <w:rsid w:val="00153B40"/>
    <w:rsid w:val="00154ADA"/>
    <w:rsid w:val="0015531A"/>
    <w:rsid w:val="001600E8"/>
    <w:rsid w:val="00162BD7"/>
    <w:rsid w:val="00163B27"/>
    <w:rsid w:val="00165317"/>
    <w:rsid w:val="00171BAD"/>
    <w:rsid w:val="00172410"/>
    <w:rsid w:val="001744B4"/>
    <w:rsid w:val="001756A1"/>
    <w:rsid w:val="001761EE"/>
    <w:rsid w:val="00176EAA"/>
    <w:rsid w:val="0017725A"/>
    <w:rsid w:val="001775F7"/>
    <w:rsid w:val="001779ED"/>
    <w:rsid w:val="00177C4B"/>
    <w:rsid w:val="00180E68"/>
    <w:rsid w:val="0018325A"/>
    <w:rsid w:val="00186199"/>
    <w:rsid w:val="001928F7"/>
    <w:rsid w:val="00194537"/>
    <w:rsid w:val="0019563C"/>
    <w:rsid w:val="00195F18"/>
    <w:rsid w:val="001A21A9"/>
    <w:rsid w:val="001A59D8"/>
    <w:rsid w:val="001A5FA6"/>
    <w:rsid w:val="001A6A3B"/>
    <w:rsid w:val="001A6F8A"/>
    <w:rsid w:val="001A7FF1"/>
    <w:rsid w:val="001B2F0C"/>
    <w:rsid w:val="001C37F6"/>
    <w:rsid w:val="001C6288"/>
    <w:rsid w:val="001D0F6A"/>
    <w:rsid w:val="001D21BC"/>
    <w:rsid w:val="001D2FA5"/>
    <w:rsid w:val="001D35E0"/>
    <w:rsid w:val="001D3711"/>
    <w:rsid w:val="001D3CDF"/>
    <w:rsid w:val="001D5045"/>
    <w:rsid w:val="001D5A44"/>
    <w:rsid w:val="001D724B"/>
    <w:rsid w:val="001E11D3"/>
    <w:rsid w:val="001E2A6A"/>
    <w:rsid w:val="001E3DC2"/>
    <w:rsid w:val="001E56FF"/>
    <w:rsid w:val="001E5C6B"/>
    <w:rsid w:val="001F03E1"/>
    <w:rsid w:val="001F3CC6"/>
    <w:rsid w:val="001F4530"/>
    <w:rsid w:val="001F5265"/>
    <w:rsid w:val="002010DE"/>
    <w:rsid w:val="00202885"/>
    <w:rsid w:val="00202968"/>
    <w:rsid w:val="00202C32"/>
    <w:rsid w:val="00203AEF"/>
    <w:rsid w:val="00211A26"/>
    <w:rsid w:val="002125F7"/>
    <w:rsid w:val="002141B6"/>
    <w:rsid w:val="00214463"/>
    <w:rsid w:val="00214756"/>
    <w:rsid w:val="00215CF2"/>
    <w:rsid w:val="00217171"/>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D32E3"/>
    <w:rsid w:val="002E0FEB"/>
    <w:rsid w:val="002E300D"/>
    <w:rsid w:val="002F0F79"/>
    <w:rsid w:val="002F1CC8"/>
    <w:rsid w:val="002F280E"/>
    <w:rsid w:val="002F3709"/>
    <w:rsid w:val="002F3A6C"/>
    <w:rsid w:val="002F4296"/>
    <w:rsid w:val="00300951"/>
    <w:rsid w:val="003023C9"/>
    <w:rsid w:val="00302CA8"/>
    <w:rsid w:val="00302DE9"/>
    <w:rsid w:val="00305084"/>
    <w:rsid w:val="00310086"/>
    <w:rsid w:val="00312FE8"/>
    <w:rsid w:val="0031358C"/>
    <w:rsid w:val="00313AE2"/>
    <w:rsid w:val="0031630D"/>
    <w:rsid w:val="003204E9"/>
    <w:rsid w:val="00321690"/>
    <w:rsid w:val="00321E8C"/>
    <w:rsid w:val="00322A86"/>
    <w:rsid w:val="00323AE8"/>
    <w:rsid w:val="00324548"/>
    <w:rsid w:val="003251F4"/>
    <w:rsid w:val="003303E3"/>
    <w:rsid w:val="00331FA4"/>
    <w:rsid w:val="003329EA"/>
    <w:rsid w:val="003347EF"/>
    <w:rsid w:val="00337293"/>
    <w:rsid w:val="003407A5"/>
    <w:rsid w:val="00341188"/>
    <w:rsid w:val="0034147B"/>
    <w:rsid w:val="00343F87"/>
    <w:rsid w:val="00345AA8"/>
    <w:rsid w:val="00350238"/>
    <w:rsid w:val="0035109C"/>
    <w:rsid w:val="00351F0A"/>
    <w:rsid w:val="0035432B"/>
    <w:rsid w:val="00357172"/>
    <w:rsid w:val="003613A8"/>
    <w:rsid w:val="00361E7E"/>
    <w:rsid w:val="0036360E"/>
    <w:rsid w:val="00364504"/>
    <w:rsid w:val="003666D2"/>
    <w:rsid w:val="00370AA4"/>
    <w:rsid w:val="00371FF4"/>
    <w:rsid w:val="00376C39"/>
    <w:rsid w:val="00377520"/>
    <w:rsid w:val="00380D36"/>
    <w:rsid w:val="003822D3"/>
    <w:rsid w:val="003834E0"/>
    <w:rsid w:val="00386630"/>
    <w:rsid w:val="00390B25"/>
    <w:rsid w:val="00397156"/>
    <w:rsid w:val="00397960"/>
    <w:rsid w:val="003A0A94"/>
    <w:rsid w:val="003A3BC4"/>
    <w:rsid w:val="003A458A"/>
    <w:rsid w:val="003B2DA8"/>
    <w:rsid w:val="003B2F13"/>
    <w:rsid w:val="003B405E"/>
    <w:rsid w:val="003B57D3"/>
    <w:rsid w:val="003C1A49"/>
    <w:rsid w:val="003C1F58"/>
    <w:rsid w:val="003C6C58"/>
    <w:rsid w:val="003C792F"/>
    <w:rsid w:val="003D124B"/>
    <w:rsid w:val="003D18F3"/>
    <w:rsid w:val="003D78B5"/>
    <w:rsid w:val="003D7922"/>
    <w:rsid w:val="003E244F"/>
    <w:rsid w:val="003E62A6"/>
    <w:rsid w:val="003E695F"/>
    <w:rsid w:val="003E6C9B"/>
    <w:rsid w:val="003E709C"/>
    <w:rsid w:val="003E712B"/>
    <w:rsid w:val="003E7B89"/>
    <w:rsid w:val="003F4241"/>
    <w:rsid w:val="003F7040"/>
    <w:rsid w:val="003F7C45"/>
    <w:rsid w:val="0040132C"/>
    <w:rsid w:val="00405085"/>
    <w:rsid w:val="004066FC"/>
    <w:rsid w:val="00407C10"/>
    <w:rsid w:val="004113B4"/>
    <w:rsid w:val="00413689"/>
    <w:rsid w:val="004143D6"/>
    <w:rsid w:val="00414827"/>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5317"/>
    <w:rsid w:val="004575E9"/>
    <w:rsid w:val="004576F2"/>
    <w:rsid w:val="00457804"/>
    <w:rsid w:val="004646BF"/>
    <w:rsid w:val="00464744"/>
    <w:rsid w:val="004665E3"/>
    <w:rsid w:val="00467683"/>
    <w:rsid w:val="004731F1"/>
    <w:rsid w:val="00473486"/>
    <w:rsid w:val="00480BC8"/>
    <w:rsid w:val="00481265"/>
    <w:rsid w:val="004814BF"/>
    <w:rsid w:val="004845B9"/>
    <w:rsid w:val="0048587E"/>
    <w:rsid w:val="00486CB7"/>
    <w:rsid w:val="00487C2B"/>
    <w:rsid w:val="0049297D"/>
    <w:rsid w:val="004929F2"/>
    <w:rsid w:val="00495A03"/>
    <w:rsid w:val="004967FC"/>
    <w:rsid w:val="00497079"/>
    <w:rsid w:val="004A00BD"/>
    <w:rsid w:val="004A1BBA"/>
    <w:rsid w:val="004A3E3C"/>
    <w:rsid w:val="004B0E6D"/>
    <w:rsid w:val="004B16E8"/>
    <w:rsid w:val="004B2015"/>
    <w:rsid w:val="004B2DB9"/>
    <w:rsid w:val="004B5E54"/>
    <w:rsid w:val="004B6250"/>
    <w:rsid w:val="004B76B1"/>
    <w:rsid w:val="004C0057"/>
    <w:rsid w:val="004C03A7"/>
    <w:rsid w:val="004C0541"/>
    <w:rsid w:val="004C2C46"/>
    <w:rsid w:val="004C5189"/>
    <w:rsid w:val="004C7235"/>
    <w:rsid w:val="004C7955"/>
    <w:rsid w:val="004D047F"/>
    <w:rsid w:val="004D1A45"/>
    <w:rsid w:val="004D3D96"/>
    <w:rsid w:val="004D417D"/>
    <w:rsid w:val="004D650F"/>
    <w:rsid w:val="004E2133"/>
    <w:rsid w:val="004E5AB9"/>
    <w:rsid w:val="004E60FB"/>
    <w:rsid w:val="004F4EA9"/>
    <w:rsid w:val="004F759F"/>
    <w:rsid w:val="004F779C"/>
    <w:rsid w:val="004F7846"/>
    <w:rsid w:val="004F7A0E"/>
    <w:rsid w:val="005000D4"/>
    <w:rsid w:val="00500F1D"/>
    <w:rsid w:val="00504285"/>
    <w:rsid w:val="00504432"/>
    <w:rsid w:val="00505EE0"/>
    <w:rsid w:val="0050638D"/>
    <w:rsid w:val="00510CAF"/>
    <w:rsid w:val="00511B6A"/>
    <w:rsid w:val="005128C5"/>
    <w:rsid w:val="00514754"/>
    <w:rsid w:val="0051478B"/>
    <w:rsid w:val="0051566A"/>
    <w:rsid w:val="00515D7B"/>
    <w:rsid w:val="005166E9"/>
    <w:rsid w:val="0052009E"/>
    <w:rsid w:val="00521065"/>
    <w:rsid w:val="00525E59"/>
    <w:rsid w:val="005318CC"/>
    <w:rsid w:val="00531D1B"/>
    <w:rsid w:val="005349B1"/>
    <w:rsid w:val="005374BC"/>
    <w:rsid w:val="00543188"/>
    <w:rsid w:val="00543367"/>
    <w:rsid w:val="00543BFA"/>
    <w:rsid w:val="00547D9C"/>
    <w:rsid w:val="00547DA1"/>
    <w:rsid w:val="00551CED"/>
    <w:rsid w:val="00554EAB"/>
    <w:rsid w:val="0055513C"/>
    <w:rsid w:val="00560ABC"/>
    <w:rsid w:val="00560C94"/>
    <w:rsid w:val="0056291C"/>
    <w:rsid w:val="00565A63"/>
    <w:rsid w:val="00566588"/>
    <w:rsid w:val="00570B1A"/>
    <w:rsid w:val="00572736"/>
    <w:rsid w:val="0057275D"/>
    <w:rsid w:val="00577214"/>
    <w:rsid w:val="005800A9"/>
    <w:rsid w:val="00580488"/>
    <w:rsid w:val="0058074D"/>
    <w:rsid w:val="00580FD1"/>
    <w:rsid w:val="00582FAD"/>
    <w:rsid w:val="00583489"/>
    <w:rsid w:val="00583A98"/>
    <w:rsid w:val="005858C4"/>
    <w:rsid w:val="00590FE4"/>
    <w:rsid w:val="00591D9C"/>
    <w:rsid w:val="00597057"/>
    <w:rsid w:val="00597D8B"/>
    <w:rsid w:val="005A1C30"/>
    <w:rsid w:val="005A1C43"/>
    <w:rsid w:val="005A2DCB"/>
    <w:rsid w:val="005A3295"/>
    <w:rsid w:val="005A46FF"/>
    <w:rsid w:val="005B011E"/>
    <w:rsid w:val="005B1C7D"/>
    <w:rsid w:val="005B1DEC"/>
    <w:rsid w:val="005B2E84"/>
    <w:rsid w:val="005B7B0E"/>
    <w:rsid w:val="005C0A04"/>
    <w:rsid w:val="005C5409"/>
    <w:rsid w:val="005C69AC"/>
    <w:rsid w:val="005C722E"/>
    <w:rsid w:val="005D01A4"/>
    <w:rsid w:val="005D14DE"/>
    <w:rsid w:val="005D3F12"/>
    <w:rsid w:val="005D44E4"/>
    <w:rsid w:val="005D45B3"/>
    <w:rsid w:val="005D4CEB"/>
    <w:rsid w:val="005E491F"/>
    <w:rsid w:val="005E58CE"/>
    <w:rsid w:val="005E59E9"/>
    <w:rsid w:val="005F04E6"/>
    <w:rsid w:val="005F43B9"/>
    <w:rsid w:val="005F68CB"/>
    <w:rsid w:val="005F6A4A"/>
    <w:rsid w:val="00602154"/>
    <w:rsid w:val="006033E3"/>
    <w:rsid w:val="006054E4"/>
    <w:rsid w:val="00612AD1"/>
    <w:rsid w:val="0061321C"/>
    <w:rsid w:val="00620DB0"/>
    <w:rsid w:val="0062386E"/>
    <w:rsid w:val="00623D9A"/>
    <w:rsid w:val="00623F01"/>
    <w:rsid w:val="006242FB"/>
    <w:rsid w:val="00624E5B"/>
    <w:rsid w:val="00626E2D"/>
    <w:rsid w:val="00627D94"/>
    <w:rsid w:val="00630B42"/>
    <w:rsid w:val="00636CDE"/>
    <w:rsid w:val="00637BA7"/>
    <w:rsid w:val="00642072"/>
    <w:rsid w:val="00643330"/>
    <w:rsid w:val="006440ED"/>
    <w:rsid w:val="00645293"/>
    <w:rsid w:val="00651B78"/>
    <w:rsid w:val="00652263"/>
    <w:rsid w:val="00652881"/>
    <w:rsid w:val="00652DDE"/>
    <w:rsid w:val="0065417D"/>
    <w:rsid w:val="00661974"/>
    <w:rsid w:val="00664551"/>
    <w:rsid w:val="00664E44"/>
    <w:rsid w:val="00665677"/>
    <w:rsid w:val="0066704D"/>
    <w:rsid w:val="006676A0"/>
    <w:rsid w:val="00670857"/>
    <w:rsid w:val="00671124"/>
    <w:rsid w:val="006727B0"/>
    <w:rsid w:val="0067307E"/>
    <w:rsid w:val="00677AC6"/>
    <w:rsid w:val="00687AD5"/>
    <w:rsid w:val="00691AFA"/>
    <w:rsid w:val="0069335C"/>
    <w:rsid w:val="00695251"/>
    <w:rsid w:val="00695ADE"/>
    <w:rsid w:val="00695C0D"/>
    <w:rsid w:val="00696356"/>
    <w:rsid w:val="006A72C6"/>
    <w:rsid w:val="006B02DA"/>
    <w:rsid w:val="006B2065"/>
    <w:rsid w:val="006B3940"/>
    <w:rsid w:val="006B6C3A"/>
    <w:rsid w:val="006C168D"/>
    <w:rsid w:val="006C1D5C"/>
    <w:rsid w:val="006C3C80"/>
    <w:rsid w:val="006C3F43"/>
    <w:rsid w:val="006C642C"/>
    <w:rsid w:val="006C6FC6"/>
    <w:rsid w:val="006D6A40"/>
    <w:rsid w:val="006D7693"/>
    <w:rsid w:val="006E231B"/>
    <w:rsid w:val="006E346E"/>
    <w:rsid w:val="006E34B7"/>
    <w:rsid w:val="006F0F87"/>
    <w:rsid w:val="006F2F3E"/>
    <w:rsid w:val="006F4CD8"/>
    <w:rsid w:val="006F53D9"/>
    <w:rsid w:val="006F6A94"/>
    <w:rsid w:val="006F6D04"/>
    <w:rsid w:val="007004DC"/>
    <w:rsid w:val="00701575"/>
    <w:rsid w:val="00703E8A"/>
    <w:rsid w:val="00711522"/>
    <w:rsid w:val="007124FE"/>
    <w:rsid w:val="00713186"/>
    <w:rsid w:val="00713757"/>
    <w:rsid w:val="0071379B"/>
    <w:rsid w:val="0071497D"/>
    <w:rsid w:val="00717772"/>
    <w:rsid w:val="00721AF1"/>
    <w:rsid w:val="0072280F"/>
    <w:rsid w:val="00722B5E"/>
    <w:rsid w:val="00723845"/>
    <w:rsid w:val="0072708F"/>
    <w:rsid w:val="00732D1D"/>
    <w:rsid w:val="00736034"/>
    <w:rsid w:val="0073681C"/>
    <w:rsid w:val="00741EBE"/>
    <w:rsid w:val="00746130"/>
    <w:rsid w:val="00746A40"/>
    <w:rsid w:val="007479DC"/>
    <w:rsid w:val="00750358"/>
    <w:rsid w:val="00755CDF"/>
    <w:rsid w:val="00757A4C"/>
    <w:rsid w:val="00760FFC"/>
    <w:rsid w:val="0076110A"/>
    <w:rsid w:val="00764A94"/>
    <w:rsid w:val="00764DC3"/>
    <w:rsid w:val="007651E5"/>
    <w:rsid w:val="007670DC"/>
    <w:rsid w:val="00767239"/>
    <w:rsid w:val="00770601"/>
    <w:rsid w:val="0077111A"/>
    <w:rsid w:val="00772272"/>
    <w:rsid w:val="007756ED"/>
    <w:rsid w:val="00777CC9"/>
    <w:rsid w:val="007869A0"/>
    <w:rsid w:val="00786A23"/>
    <w:rsid w:val="007870FC"/>
    <w:rsid w:val="00787CD0"/>
    <w:rsid w:val="00791053"/>
    <w:rsid w:val="00791A3A"/>
    <w:rsid w:val="00794196"/>
    <w:rsid w:val="00797637"/>
    <w:rsid w:val="00797D95"/>
    <w:rsid w:val="007A2E54"/>
    <w:rsid w:val="007A3680"/>
    <w:rsid w:val="007A59B8"/>
    <w:rsid w:val="007B2862"/>
    <w:rsid w:val="007B662A"/>
    <w:rsid w:val="007C1A93"/>
    <w:rsid w:val="007C751E"/>
    <w:rsid w:val="007D021A"/>
    <w:rsid w:val="007D1E3A"/>
    <w:rsid w:val="007D28C9"/>
    <w:rsid w:val="007D3CC8"/>
    <w:rsid w:val="007D62F9"/>
    <w:rsid w:val="007D63A4"/>
    <w:rsid w:val="007E1AA2"/>
    <w:rsid w:val="007E4C1F"/>
    <w:rsid w:val="007F0746"/>
    <w:rsid w:val="007F0759"/>
    <w:rsid w:val="007F25C0"/>
    <w:rsid w:val="007F3EDF"/>
    <w:rsid w:val="007F456A"/>
    <w:rsid w:val="007F4C9B"/>
    <w:rsid w:val="007F5F52"/>
    <w:rsid w:val="007F77C6"/>
    <w:rsid w:val="008003A1"/>
    <w:rsid w:val="008006B7"/>
    <w:rsid w:val="00800FDB"/>
    <w:rsid w:val="00802081"/>
    <w:rsid w:val="008020B5"/>
    <w:rsid w:val="008021E8"/>
    <w:rsid w:val="008034CF"/>
    <w:rsid w:val="008063D8"/>
    <w:rsid w:val="00806461"/>
    <w:rsid w:val="00806722"/>
    <w:rsid w:val="0081096D"/>
    <w:rsid w:val="00810EAD"/>
    <w:rsid w:val="00811833"/>
    <w:rsid w:val="008174D4"/>
    <w:rsid w:val="00820FE6"/>
    <w:rsid w:val="00821A66"/>
    <w:rsid w:val="00822476"/>
    <w:rsid w:val="00822882"/>
    <w:rsid w:val="00824CB2"/>
    <w:rsid w:val="00825F68"/>
    <w:rsid w:val="00835408"/>
    <w:rsid w:val="008359DA"/>
    <w:rsid w:val="00837CEF"/>
    <w:rsid w:val="00840035"/>
    <w:rsid w:val="00840220"/>
    <w:rsid w:val="008428A9"/>
    <w:rsid w:val="00844112"/>
    <w:rsid w:val="008456C9"/>
    <w:rsid w:val="0084611D"/>
    <w:rsid w:val="00847BEF"/>
    <w:rsid w:val="00847D9E"/>
    <w:rsid w:val="00850C62"/>
    <w:rsid w:val="00863011"/>
    <w:rsid w:val="00865075"/>
    <w:rsid w:val="0086748F"/>
    <w:rsid w:val="00872CE4"/>
    <w:rsid w:val="00874F4B"/>
    <w:rsid w:val="0087539B"/>
    <w:rsid w:val="00877B62"/>
    <w:rsid w:val="00880199"/>
    <w:rsid w:val="00881015"/>
    <w:rsid w:val="008810B0"/>
    <w:rsid w:val="008813D6"/>
    <w:rsid w:val="008819B6"/>
    <w:rsid w:val="00881A82"/>
    <w:rsid w:val="00881AAC"/>
    <w:rsid w:val="008836B7"/>
    <w:rsid w:val="008841D3"/>
    <w:rsid w:val="0088709F"/>
    <w:rsid w:val="00887DE6"/>
    <w:rsid w:val="00894C2A"/>
    <w:rsid w:val="00897708"/>
    <w:rsid w:val="00897D88"/>
    <w:rsid w:val="008A2F16"/>
    <w:rsid w:val="008B1823"/>
    <w:rsid w:val="008B203C"/>
    <w:rsid w:val="008B6E16"/>
    <w:rsid w:val="008B7110"/>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60C5"/>
    <w:rsid w:val="009010F0"/>
    <w:rsid w:val="00901162"/>
    <w:rsid w:val="0090223A"/>
    <w:rsid w:val="009028E2"/>
    <w:rsid w:val="00914EAB"/>
    <w:rsid w:val="00916597"/>
    <w:rsid w:val="00922D49"/>
    <w:rsid w:val="009259CF"/>
    <w:rsid w:val="00925E37"/>
    <w:rsid w:val="00925EDD"/>
    <w:rsid w:val="00927D0E"/>
    <w:rsid w:val="009309DA"/>
    <w:rsid w:val="00936688"/>
    <w:rsid w:val="00937CFA"/>
    <w:rsid w:val="009406B3"/>
    <w:rsid w:val="00945CF5"/>
    <w:rsid w:val="009500A1"/>
    <w:rsid w:val="0095037E"/>
    <w:rsid w:val="0095267E"/>
    <w:rsid w:val="00952AAD"/>
    <w:rsid w:val="00954567"/>
    <w:rsid w:val="009547A9"/>
    <w:rsid w:val="009548FE"/>
    <w:rsid w:val="00956F0B"/>
    <w:rsid w:val="00957466"/>
    <w:rsid w:val="00957C7C"/>
    <w:rsid w:val="0096260B"/>
    <w:rsid w:val="009664D5"/>
    <w:rsid w:val="00970C69"/>
    <w:rsid w:val="00971DF7"/>
    <w:rsid w:val="00971F1C"/>
    <w:rsid w:val="0097211D"/>
    <w:rsid w:val="00972E10"/>
    <w:rsid w:val="009746CA"/>
    <w:rsid w:val="00974975"/>
    <w:rsid w:val="00974EA8"/>
    <w:rsid w:val="00981963"/>
    <w:rsid w:val="00983C82"/>
    <w:rsid w:val="00984520"/>
    <w:rsid w:val="0098545C"/>
    <w:rsid w:val="00992BA2"/>
    <w:rsid w:val="00992F83"/>
    <w:rsid w:val="0099508A"/>
    <w:rsid w:val="009974EB"/>
    <w:rsid w:val="009A037F"/>
    <w:rsid w:val="009A1126"/>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1EA4"/>
    <w:rsid w:val="009D27AA"/>
    <w:rsid w:val="009D38BA"/>
    <w:rsid w:val="009D4991"/>
    <w:rsid w:val="009D5BB5"/>
    <w:rsid w:val="009D696D"/>
    <w:rsid w:val="009D6ED2"/>
    <w:rsid w:val="009E0F1A"/>
    <w:rsid w:val="009E140D"/>
    <w:rsid w:val="009E348F"/>
    <w:rsid w:val="009E4465"/>
    <w:rsid w:val="009E6401"/>
    <w:rsid w:val="009E6C54"/>
    <w:rsid w:val="009F2261"/>
    <w:rsid w:val="009F2A25"/>
    <w:rsid w:val="009F4CB1"/>
    <w:rsid w:val="009F5235"/>
    <w:rsid w:val="009F531A"/>
    <w:rsid w:val="009F6550"/>
    <w:rsid w:val="009F786E"/>
    <w:rsid w:val="00A00902"/>
    <w:rsid w:val="00A039FF"/>
    <w:rsid w:val="00A05ACE"/>
    <w:rsid w:val="00A078CB"/>
    <w:rsid w:val="00A14AE3"/>
    <w:rsid w:val="00A16675"/>
    <w:rsid w:val="00A22CD6"/>
    <w:rsid w:val="00A234EC"/>
    <w:rsid w:val="00A2417A"/>
    <w:rsid w:val="00A26668"/>
    <w:rsid w:val="00A27804"/>
    <w:rsid w:val="00A348F0"/>
    <w:rsid w:val="00A36822"/>
    <w:rsid w:val="00A36AB5"/>
    <w:rsid w:val="00A37580"/>
    <w:rsid w:val="00A411D1"/>
    <w:rsid w:val="00A428A4"/>
    <w:rsid w:val="00A42CE1"/>
    <w:rsid w:val="00A43389"/>
    <w:rsid w:val="00A43E71"/>
    <w:rsid w:val="00A45753"/>
    <w:rsid w:val="00A47B15"/>
    <w:rsid w:val="00A52F84"/>
    <w:rsid w:val="00A56B05"/>
    <w:rsid w:val="00A57678"/>
    <w:rsid w:val="00A60E2F"/>
    <w:rsid w:val="00A618F3"/>
    <w:rsid w:val="00A63284"/>
    <w:rsid w:val="00A64CB8"/>
    <w:rsid w:val="00A67018"/>
    <w:rsid w:val="00A672F3"/>
    <w:rsid w:val="00A673DC"/>
    <w:rsid w:val="00A7076E"/>
    <w:rsid w:val="00A709BE"/>
    <w:rsid w:val="00A7162E"/>
    <w:rsid w:val="00A7195A"/>
    <w:rsid w:val="00A72D71"/>
    <w:rsid w:val="00A75705"/>
    <w:rsid w:val="00A77C69"/>
    <w:rsid w:val="00A829DE"/>
    <w:rsid w:val="00A83953"/>
    <w:rsid w:val="00A85AF5"/>
    <w:rsid w:val="00A903B6"/>
    <w:rsid w:val="00A90F4F"/>
    <w:rsid w:val="00A92C40"/>
    <w:rsid w:val="00A947AA"/>
    <w:rsid w:val="00A968D2"/>
    <w:rsid w:val="00AA0AC5"/>
    <w:rsid w:val="00AA19FE"/>
    <w:rsid w:val="00AA1B53"/>
    <w:rsid w:val="00AA3556"/>
    <w:rsid w:val="00AA35FD"/>
    <w:rsid w:val="00AA3DB7"/>
    <w:rsid w:val="00AB3012"/>
    <w:rsid w:val="00AB321C"/>
    <w:rsid w:val="00AB5B99"/>
    <w:rsid w:val="00AB688F"/>
    <w:rsid w:val="00AB75EA"/>
    <w:rsid w:val="00AB7AA2"/>
    <w:rsid w:val="00AC44D9"/>
    <w:rsid w:val="00AC4BC1"/>
    <w:rsid w:val="00AD04BD"/>
    <w:rsid w:val="00AD25F6"/>
    <w:rsid w:val="00AD67CB"/>
    <w:rsid w:val="00AD7214"/>
    <w:rsid w:val="00AE1066"/>
    <w:rsid w:val="00AE4518"/>
    <w:rsid w:val="00AE5D7F"/>
    <w:rsid w:val="00AE79F0"/>
    <w:rsid w:val="00AF2DAE"/>
    <w:rsid w:val="00AF5585"/>
    <w:rsid w:val="00AF6EC1"/>
    <w:rsid w:val="00B00331"/>
    <w:rsid w:val="00B01A80"/>
    <w:rsid w:val="00B06D4D"/>
    <w:rsid w:val="00B07C27"/>
    <w:rsid w:val="00B10017"/>
    <w:rsid w:val="00B10DE1"/>
    <w:rsid w:val="00B10FF8"/>
    <w:rsid w:val="00B203C4"/>
    <w:rsid w:val="00B22E81"/>
    <w:rsid w:val="00B23996"/>
    <w:rsid w:val="00B23CB2"/>
    <w:rsid w:val="00B2561A"/>
    <w:rsid w:val="00B25A64"/>
    <w:rsid w:val="00B32AB3"/>
    <w:rsid w:val="00B34E7C"/>
    <w:rsid w:val="00B368EA"/>
    <w:rsid w:val="00B37EEF"/>
    <w:rsid w:val="00B51D20"/>
    <w:rsid w:val="00B5298E"/>
    <w:rsid w:val="00B54370"/>
    <w:rsid w:val="00B54B5F"/>
    <w:rsid w:val="00B55185"/>
    <w:rsid w:val="00B55BB5"/>
    <w:rsid w:val="00B60D38"/>
    <w:rsid w:val="00B61923"/>
    <w:rsid w:val="00B621D6"/>
    <w:rsid w:val="00B63EF5"/>
    <w:rsid w:val="00B65D6F"/>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40D"/>
    <w:rsid w:val="00BA22A8"/>
    <w:rsid w:val="00BA285B"/>
    <w:rsid w:val="00BA3E48"/>
    <w:rsid w:val="00BA4BD3"/>
    <w:rsid w:val="00BA7473"/>
    <w:rsid w:val="00BB0187"/>
    <w:rsid w:val="00BB1EB3"/>
    <w:rsid w:val="00BB22CA"/>
    <w:rsid w:val="00BB2678"/>
    <w:rsid w:val="00BC013A"/>
    <w:rsid w:val="00BC2343"/>
    <w:rsid w:val="00BC23F8"/>
    <w:rsid w:val="00BC56FA"/>
    <w:rsid w:val="00BD30C8"/>
    <w:rsid w:val="00BD3EB4"/>
    <w:rsid w:val="00BD5C65"/>
    <w:rsid w:val="00BD7DB4"/>
    <w:rsid w:val="00BE1A80"/>
    <w:rsid w:val="00BE2F07"/>
    <w:rsid w:val="00BE5751"/>
    <w:rsid w:val="00BE5CAB"/>
    <w:rsid w:val="00BE6018"/>
    <w:rsid w:val="00BF0F8F"/>
    <w:rsid w:val="00BF1F57"/>
    <w:rsid w:val="00BF4086"/>
    <w:rsid w:val="00BF426C"/>
    <w:rsid w:val="00BF47C9"/>
    <w:rsid w:val="00BF58D0"/>
    <w:rsid w:val="00BF7D6A"/>
    <w:rsid w:val="00C013E1"/>
    <w:rsid w:val="00C01611"/>
    <w:rsid w:val="00C02D59"/>
    <w:rsid w:val="00C030B6"/>
    <w:rsid w:val="00C03284"/>
    <w:rsid w:val="00C050D7"/>
    <w:rsid w:val="00C05B5F"/>
    <w:rsid w:val="00C104CC"/>
    <w:rsid w:val="00C152FE"/>
    <w:rsid w:val="00C16739"/>
    <w:rsid w:val="00C21C43"/>
    <w:rsid w:val="00C22C7D"/>
    <w:rsid w:val="00C22CCE"/>
    <w:rsid w:val="00C231D6"/>
    <w:rsid w:val="00C23BA2"/>
    <w:rsid w:val="00C32AF2"/>
    <w:rsid w:val="00C33204"/>
    <w:rsid w:val="00C338EB"/>
    <w:rsid w:val="00C341FE"/>
    <w:rsid w:val="00C3465D"/>
    <w:rsid w:val="00C379E9"/>
    <w:rsid w:val="00C439FB"/>
    <w:rsid w:val="00C43F23"/>
    <w:rsid w:val="00C47790"/>
    <w:rsid w:val="00C50011"/>
    <w:rsid w:val="00C5274B"/>
    <w:rsid w:val="00C55A77"/>
    <w:rsid w:val="00C645E6"/>
    <w:rsid w:val="00C64D82"/>
    <w:rsid w:val="00C64FBC"/>
    <w:rsid w:val="00C65A83"/>
    <w:rsid w:val="00C721F2"/>
    <w:rsid w:val="00C72C6F"/>
    <w:rsid w:val="00C75BB1"/>
    <w:rsid w:val="00C76CF1"/>
    <w:rsid w:val="00C80F23"/>
    <w:rsid w:val="00C81151"/>
    <w:rsid w:val="00C82CC6"/>
    <w:rsid w:val="00C8434E"/>
    <w:rsid w:val="00C850A3"/>
    <w:rsid w:val="00C85C32"/>
    <w:rsid w:val="00C87568"/>
    <w:rsid w:val="00C905A7"/>
    <w:rsid w:val="00C909E1"/>
    <w:rsid w:val="00C90DB6"/>
    <w:rsid w:val="00C9394F"/>
    <w:rsid w:val="00C93B1A"/>
    <w:rsid w:val="00C96A14"/>
    <w:rsid w:val="00C96F5F"/>
    <w:rsid w:val="00CA21B5"/>
    <w:rsid w:val="00CA5927"/>
    <w:rsid w:val="00CA79EC"/>
    <w:rsid w:val="00CB26A5"/>
    <w:rsid w:val="00CB39C2"/>
    <w:rsid w:val="00CB4664"/>
    <w:rsid w:val="00CB4C8C"/>
    <w:rsid w:val="00CB6782"/>
    <w:rsid w:val="00CC080A"/>
    <w:rsid w:val="00CC52E1"/>
    <w:rsid w:val="00CD319D"/>
    <w:rsid w:val="00CD6BC3"/>
    <w:rsid w:val="00CD72D0"/>
    <w:rsid w:val="00CE3519"/>
    <w:rsid w:val="00CE5277"/>
    <w:rsid w:val="00CE6358"/>
    <w:rsid w:val="00CF2D54"/>
    <w:rsid w:val="00CF3CDE"/>
    <w:rsid w:val="00CF6570"/>
    <w:rsid w:val="00D03538"/>
    <w:rsid w:val="00D049B8"/>
    <w:rsid w:val="00D0516C"/>
    <w:rsid w:val="00D05EE7"/>
    <w:rsid w:val="00D068D0"/>
    <w:rsid w:val="00D078D1"/>
    <w:rsid w:val="00D129A8"/>
    <w:rsid w:val="00D12FB9"/>
    <w:rsid w:val="00D148B5"/>
    <w:rsid w:val="00D200BD"/>
    <w:rsid w:val="00D22399"/>
    <w:rsid w:val="00D26460"/>
    <w:rsid w:val="00D33751"/>
    <w:rsid w:val="00D33924"/>
    <w:rsid w:val="00D36F6E"/>
    <w:rsid w:val="00D37343"/>
    <w:rsid w:val="00D4205E"/>
    <w:rsid w:val="00D42507"/>
    <w:rsid w:val="00D5574C"/>
    <w:rsid w:val="00D61982"/>
    <w:rsid w:val="00D6267A"/>
    <w:rsid w:val="00D67D12"/>
    <w:rsid w:val="00D7585A"/>
    <w:rsid w:val="00D80618"/>
    <w:rsid w:val="00D81A17"/>
    <w:rsid w:val="00D82494"/>
    <w:rsid w:val="00D84A4B"/>
    <w:rsid w:val="00D92168"/>
    <w:rsid w:val="00D940A9"/>
    <w:rsid w:val="00D940B5"/>
    <w:rsid w:val="00D95CB0"/>
    <w:rsid w:val="00D977C0"/>
    <w:rsid w:val="00DA00A3"/>
    <w:rsid w:val="00DA13F3"/>
    <w:rsid w:val="00DA2DE3"/>
    <w:rsid w:val="00DA7146"/>
    <w:rsid w:val="00DA716A"/>
    <w:rsid w:val="00DB1F4F"/>
    <w:rsid w:val="00DB37EE"/>
    <w:rsid w:val="00DB4450"/>
    <w:rsid w:val="00DB7895"/>
    <w:rsid w:val="00DB7B69"/>
    <w:rsid w:val="00DC02EC"/>
    <w:rsid w:val="00DC234A"/>
    <w:rsid w:val="00DC41E4"/>
    <w:rsid w:val="00DC5116"/>
    <w:rsid w:val="00DC77DD"/>
    <w:rsid w:val="00DC7C77"/>
    <w:rsid w:val="00DD2417"/>
    <w:rsid w:val="00DD7EA2"/>
    <w:rsid w:val="00DE00F2"/>
    <w:rsid w:val="00DE117F"/>
    <w:rsid w:val="00DE401C"/>
    <w:rsid w:val="00DE4CDE"/>
    <w:rsid w:val="00DF1ED6"/>
    <w:rsid w:val="00DF63FA"/>
    <w:rsid w:val="00E00A1C"/>
    <w:rsid w:val="00E012CC"/>
    <w:rsid w:val="00E02B71"/>
    <w:rsid w:val="00E02DEB"/>
    <w:rsid w:val="00E042A1"/>
    <w:rsid w:val="00E04CE6"/>
    <w:rsid w:val="00E104FA"/>
    <w:rsid w:val="00E1082A"/>
    <w:rsid w:val="00E11166"/>
    <w:rsid w:val="00E13182"/>
    <w:rsid w:val="00E15383"/>
    <w:rsid w:val="00E1738C"/>
    <w:rsid w:val="00E22D28"/>
    <w:rsid w:val="00E230E3"/>
    <w:rsid w:val="00E23611"/>
    <w:rsid w:val="00E25852"/>
    <w:rsid w:val="00E30EDF"/>
    <w:rsid w:val="00E31FBA"/>
    <w:rsid w:val="00E36AAE"/>
    <w:rsid w:val="00E41773"/>
    <w:rsid w:val="00E427F2"/>
    <w:rsid w:val="00E513F6"/>
    <w:rsid w:val="00E52F3B"/>
    <w:rsid w:val="00E53D94"/>
    <w:rsid w:val="00E53DEA"/>
    <w:rsid w:val="00E55A61"/>
    <w:rsid w:val="00E57F92"/>
    <w:rsid w:val="00E616DB"/>
    <w:rsid w:val="00E627A4"/>
    <w:rsid w:val="00E630ED"/>
    <w:rsid w:val="00E70C95"/>
    <w:rsid w:val="00E74EC5"/>
    <w:rsid w:val="00E75FDC"/>
    <w:rsid w:val="00E76B86"/>
    <w:rsid w:val="00E833B9"/>
    <w:rsid w:val="00E8342F"/>
    <w:rsid w:val="00E8375E"/>
    <w:rsid w:val="00E847A7"/>
    <w:rsid w:val="00E85F25"/>
    <w:rsid w:val="00E86E79"/>
    <w:rsid w:val="00E906B4"/>
    <w:rsid w:val="00E9095B"/>
    <w:rsid w:val="00E926B8"/>
    <w:rsid w:val="00E92E98"/>
    <w:rsid w:val="00E9399B"/>
    <w:rsid w:val="00E94008"/>
    <w:rsid w:val="00E94762"/>
    <w:rsid w:val="00E96B52"/>
    <w:rsid w:val="00EA2244"/>
    <w:rsid w:val="00EA4C93"/>
    <w:rsid w:val="00EA6FA7"/>
    <w:rsid w:val="00EB067F"/>
    <w:rsid w:val="00EB0BF5"/>
    <w:rsid w:val="00EB1F02"/>
    <w:rsid w:val="00EB5BC5"/>
    <w:rsid w:val="00EC086C"/>
    <w:rsid w:val="00EC42D0"/>
    <w:rsid w:val="00EC5CE0"/>
    <w:rsid w:val="00EC638F"/>
    <w:rsid w:val="00ED48AC"/>
    <w:rsid w:val="00EE224C"/>
    <w:rsid w:val="00EE4874"/>
    <w:rsid w:val="00EE4A8C"/>
    <w:rsid w:val="00EE674E"/>
    <w:rsid w:val="00EE79A6"/>
    <w:rsid w:val="00EF0C36"/>
    <w:rsid w:val="00EF2689"/>
    <w:rsid w:val="00EF454D"/>
    <w:rsid w:val="00EF6111"/>
    <w:rsid w:val="00F005A0"/>
    <w:rsid w:val="00F0225B"/>
    <w:rsid w:val="00F06616"/>
    <w:rsid w:val="00F11352"/>
    <w:rsid w:val="00F1498D"/>
    <w:rsid w:val="00F14DDF"/>
    <w:rsid w:val="00F152AD"/>
    <w:rsid w:val="00F20DFE"/>
    <w:rsid w:val="00F2285F"/>
    <w:rsid w:val="00F23155"/>
    <w:rsid w:val="00F24236"/>
    <w:rsid w:val="00F24E0E"/>
    <w:rsid w:val="00F26693"/>
    <w:rsid w:val="00F36130"/>
    <w:rsid w:val="00F40444"/>
    <w:rsid w:val="00F423BD"/>
    <w:rsid w:val="00F432FF"/>
    <w:rsid w:val="00F4715C"/>
    <w:rsid w:val="00F54869"/>
    <w:rsid w:val="00F556B2"/>
    <w:rsid w:val="00F5754B"/>
    <w:rsid w:val="00F576DE"/>
    <w:rsid w:val="00F57CE6"/>
    <w:rsid w:val="00F63BF7"/>
    <w:rsid w:val="00F65617"/>
    <w:rsid w:val="00F710BE"/>
    <w:rsid w:val="00F723CF"/>
    <w:rsid w:val="00F736D2"/>
    <w:rsid w:val="00F7564C"/>
    <w:rsid w:val="00F76220"/>
    <w:rsid w:val="00F769BE"/>
    <w:rsid w:val="00F82E6B"/>
    <w:rsid w:val="00F8677B"/>
    <w:rsid w:val="00F97B71"/>
    <w:rsid w:val="00FA1EC5"/>
    <w:rsid w:val="00FA2DDA"/>
    <w:rsid w:val="00FA34CA"/>
    <w:rsid w:val="00FA4A55"/>
    <w:rsid w:val="00FA4D4F"/>
    <w:rsid w:val="00FA54E8"/>
    <w:rsid w:val="00FA57F6"/>
    <w:rsid w:val="00FA7193"/>
    <w:rsid w:val="00FB2D17"/>
    <w:rsid w:val="00FB2F69"/>
    <w:rsid w:val="00FB368B"/>
    <w:rsid w:val="00FB45FF"/>
    <w:rsid w:val="00FB5D97"/>
    <w:rsid w:val="00FB6DE6"/>
    <w:rsid w:val="00FC023D"/>
    <w:rsid w:val="00FC1CA5"/>
    <w:rsid w:val="00FC2979"/>
    <w:rsid w:val="00FD1C3C"/>
    <w:rsid w:val="00FD38A8"/>
    <w:rsid w:val="00FD5477"/>
    <w:rsid w:val="00FD6AC8"/>
    <w:rsid w:val="00FE3EA1"/>
    <w:rsid w:val="00FE4818"/>
    <w:rsid w:val="00FE5D80"/>
    <w:rsid w:val="00FF1577"/>
    <w:rsid w:val="00FF6ADB"/>
    <w:rsid w:val="2FA972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BE9B9F7-3084-4E23-82E2-17FB52A4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footnote text" w:semiHidden="1" w:qFormat="1"/>
    <w:lsdException w:name="annotation text" w:semiHidden="1" w:qFormat="1"/>
    <w:lsdException w:name="header" w:uiPriority="99"/>
    <w:lsdException w:name="caption" w:semiHidden="1" w:unhideWhenUsed="1" w:qFormat="1"/>
    <w:lsdException w:name="footnote reference" w:semiHidden="1" w:qFormat="1"/>
    <w:lsdException w:name="annotation reference" w:semiHidden="1"/>
    <w:lsdException w:name="Title" w:qFormat="1"/>
    <w:lsdException w:name="Default Paragraph Font" w:semiHidden="1" w:uiPriority="1" w:unhideWhenUsed="1"/>
    <w:lsdException w:name="Subtitle" w:qFormat="1"/>
    <w:lsdException w:name="Date" w:uiPriority="99"/>
    <w:lsdException w:name="Body Text Indent 3" w:qFormat="1"/>
    <w:lsdException w:name="Hyperlink" w:qFormat="1"/>
    <w:lsdException w:name="Strong" w:uiPriority="22"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semiHidden/>
    <w:rPr>
      <w:b/>
      <w:bCs/>
    </w:rPr>
  </w:style>
  <w:style w:type="paragraph" w:styleId="a5">
    <w:name w:val="annotation text"/>
    <w:basedOn w:val="a"/>
    <w:semiHidden/>
    <w:qFormat/>
    <w:pPr>
      <w:jc w:val="left"/>
    </w:pPr>
  </w:style>
  <w:style w:type="paragraph" w:styleId="a6">
    <w:name w:val="Document Map"/>
    <w:basedOn w:val="a"/>
    <w:semiHidden/>
    <w:pPr>
      <w:shd w:val="clear" w:color="auto" w:fill="000080"/>
    </w:pPr>
  </w:style>
  <w:style w:type="paragraph" w:styleId="a7">
    <w:name w:val="Body Text"/>
    <w:basedOn w:val="a"/>
    <w:pPr>
      <w:spacing w:after="120"/>
    </w:pPr>
  </w:style>
  <w:style w:type="paragraph" w:styleId="a8">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rPr>
      <w:rFonts w:ascii="宋体" w:hAnsi="Courier New"/>
      <w:szCs w:val="21"/>
    </w:rPr>
  </w:style>
  <w:style w:type="paragraph" w:styleId="ab">
    <w:name w:val="Date"/>
    <w:basedOn w:val="a"/>
    <w:next w:val="a"/>
    <w:link w:val="ac"/>
    <w:uiPriority w:val="99"/>
    <w:rPr>
      <w:sz w:val="24"/>
      <w:szCs w:val="20"/>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d">
    <w:name w:val="Balloon Text"/>
    <w:basedOn w:val="a"/>
    <w:semiHidden/>
    <w:rPr>
      <w:sz w:val="18"/>
      <w:szCs w:val="18"/>
    </w:rPr>
  </w:style>
  <w:style w:type="paragraph" w:styleId="ae">
    <w:name w:val="footer"/>
    <w:basedOn w:val="a"/>
    <w:pPr>
      <w:tabs>
        <w:tab w:val="center" w:pos="4153"/>
        <w:tab w:val="right" w:pos="8306"/>
      </w:tabs>
      <w:snapToGrid w:val="0"/>
      <w:jc w:val="left"/>
    </w:pPr>
    <w:rPr>
      <w:sz w:val="18"/>
      <w:szCs w:val="18"/>
    </w:rPr>
  </w:style>
  <w:style w:type="paragraph" w:styleId="af">
    <w:name w:val="header"/>
    <w:basedOn w:val="a"/>
    <w:link w:val="af0"/>
    <w:uiPriority w:val="99"/>
    <w:pPr>
      <w:pBdr>
        <w:bottom w:val="single" w:sz="6" w:space="1" w:color="auto"/>
      </w:pBdr>
      <w:tabs>
        <w:tab w:val="center" w:pos="4153"/>
        <w:tab w:val="right" w:pos="8306"/>
      </w:tabs>
      <w:snapToGrid w:val="0"/>
      <w:jc w:val="center"/>
    </w:pPr>
    <w:rPr>
      <w:sz w:val="18"/>
      <w:szCs w:val="18"/>
    </w:rPr>
  </w:style>
  <w:style w:type="paragraph" w:styleId="af1">
    <w:name w:val="List"/>
    <w:basedOn w:val="a7"/>
    <w:pPr>
      <w:spacing w:after="220" w:line="220" w:lineRule="atLeast"/>
      <w:ind w:left="1440" w:hanging="360"/>
    </w:pPr>
    <w:rPr>
      <w:szCs w:val="20"/>
    </w:rPr>
  </w:style>
  <w:style w:type="paragraph" w:styleId="af2">
    <w:name w:val="footnote text"/>
    <w:basedOn w:val="a"/>
    <w:semiHidden/>
    <w:qFormat/>
    <w:pPr>
      <w:snapToGrid w:val="0"/>
      <w:jc w:val="left"/>
    </w:pPr>
    <w:rPr>
      <w:sz w:val="18"/>
      <w:szCs w:val="18"/>
    </w:rPr>
  </w:style>
  <w:style w:type="paragraph" w:styleId="3">
    <w:name w:val="Body Text Indent 3"/>
    <w:basedOn w:val="a"/>
    <w:qFormat/>
    <w:pPr>
      <w:spacing w:line="560" w:lineRule="exact"/>
      <w:ind w:firstLineChars="200" w:firstLine="420"/>
    </w:pPr>
    <w:rPr>
      <w:rFonts w:ascii="Arial" w:hAnsi="Arial" w:cs="Arial"/>
      <w:color w:val="FF0000"/>
    </w:rPr>
  </w:style>
  <w:style w:type="paragraph" w:styleId="af3">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pPr>
      <w:jc w:val="right"/>
    </w:pPr>
    <w:rPr>
      <w:color w:val="008000"/>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rPr>
      <w:color w:val="800080"/>
      <w:u w:val="single"/>
    </w:rPr>
  </w:style>
  <w:style w:type="character" w:styleId="af7">
    <w:name w:val="Hyperlink"/>
    <w:basedOn w:val="a1"/>
    <w:qFormat/>
    <w:rPr>
      <w:color w:val="0000FF"/>
      <w:u w:val="single"/>
    </w:rPr>
  </w:style>
  <w:style w:type="character" w:styleId="af8">
    <w:name w:val="annotation reference"/>
    <w:basedOn w:val="a1"/>
    <w:semiHidden/>
    <w:rPr>
      <w:sz w:val="21"/>
      <w:szCs w:val="21"/>
    </w:rPr>
  </w:style>
  <w:style w:type="character" w:styleId="af9">
    <w:name w:val="footnote reference"/>
    <w:basedOn w:val="a1"/>
    <w:semiHidden/>
    <w:qFormat/>
    <w:rPr>
      <w:vertAlign w:val="superscript"/>
    </w:rPr>
  </w:style>
  <w:style w:type="table" w:styleId="afa">
    <w:name w:val="Table Grid"/>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rPr>
      <w:color w:val="00000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style>
  <w:style w:type="paragraph" w:customStyle="1" w:styleId="afb">
    <w:name w:val="正文 + (符号) 宋体"/>
    <w:basedOn w:val="a"/>
    <w:qFormat/>
    <w:pPr>
      <w:autoSpaceDE w:val="0"/>
      <w:autoSpaceDN w:val="0"/>
      <w:adjustRightInd w:val="0"/>
      <w:ind w:rightChars="671" w:right="1409" w:firstLineChars="512" w:firstLine="1229"/>
      <w:jc w:val="distribute"/>
    </w:pPr>
    <w:rPr>
      <w:sz w:val="24"/>
    </w:rPr>
  </w:style>
  <w:style w:type="paragraph" w:customStyle="1" w:styleId="Char1">
    <w:name w:val="Char1"/>
    <w:basedOn w:val="a"/>
    <w:qFormat/>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宋体"/>
      <w:kern w:val="0"/>
      <w:sz w:val="34"/>
      <w:szCs w:val="20"/>
    </w:rPr>
  </w:style>
  <w:style w:type="character" w:customStyle="1" w:styleId="aa">
    <w:name w:val="纯文本 字符"/>
    <w:link w:val="a9"/>
    <w:uiPriority w:val="99"/>
    <w:qFormat/>
    <w:rPr>
      <w:rFonts w:ascii="宋体" w:hAnsi="Courier New"/>
      <w:kern w:val="2"/>
      <w:sz w:val="21"/>
      <w:szCs w:val="21"/>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ac">
    <w:name w:val="日期 字符"/>
    <w:basedOn w:val="a1"/>
    <w:link w:val="ab"/>
    <w:uiPriority w:val="99"/>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419917">
      <w:bodyDiv w:val="1"/>
      <w:marLeft w:val="0"/>
      <w:marRight w:val="0"/>
      <w:marTop w:val="0"/>
      <w:marBottom w:val="0"/>
      <w:divBdr>
        <w:top w:val="none" w:sz="0" w:space="0" w:color="auto"/>
        <w:left w:val="none" w:sz="0" w:space="0" w:color="auto"/>
        <w:bottom w:val="none" w:sz="0" w:space="0" w:color="auto"/>
        <w:right w:val="none" w:sz="0" w:space="0" w:color="auto"/>
      </w:divBdr>
    </w:div>
    <w:div w:id="1890339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1253</Words>
  <Characters>7145</Characters>
  <Application>Microsoft Office Word</Application>
  <DocSecurity>0</DocSecurity>
  <Lines>59</Lines>
  <Paragraphs>16</Paragraphs>
  <ScaleCrop>false</ScaleCrop>
  <Company>TRT. Ltd. Co.</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Kelly.Yang@FA</cp:lastModifiedBy>
  <cp:revision>160</cp:revision>
  <cp:lastPrinted>2007-07-19T00:46:00Z</cp:lastPrinted>
  <dcterms:created xsi:type="dcterms:W3CDTF">2012-11-21T04:46:00Z</dcterms:created>
  <dcterms:modified xsi:type="dcterms:W3CDTF">2024-04-19T02:23:00Z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