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6933ED" w:rsidRDefault="006933ED">
      <w:pPr>
        <w:spacing w:line="360" w:lineRule="auto"/>
        <w:rPr>
          <w:rFonts w:ascii="宋体" w:hAnsi="宋体"/>
          <w:sz w:val="48"/>
        </w:rPr>
      </w:pPr>
      <w:r>
        <w:rPr>
          <w:rFonts w:ascii="宋体" w:hAnsi="宋体" w:hint="eastAsia"/>
          <w:sz w:val="48"/>
        </w:rPr>
        <w:t xml:space="preserve">　</w:t>
      </w:r>
      <w:r>
        <w:rPr>
          <w:rFonts w:ascii="宋体" w:hAnsi="宋体" w:hint="eastAsia"/>
          <w:sz w:val="48"/>
        </w:rPr>
        <w:t xml:space="preserve"> </w:t>
      </w:r>
    </w:p>
    <w:p w:rsidR="006933ED" w:rsidRDefault="006933ED">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6933ED" w:rsidRDefault="006933ED">
      <w:pPr>
        <w:spacing w:line="360" w:lineRule="auto"/>
        <w:jc w:val="center"/>
        <w:rPr>
          <w:rFonts w:hint="eastAsia"/>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摩根恒生生物科技交易型开放式指数证券投资基金</w:t>
      </w:r>
      <w:r>
        <w:rPr>
          <w:rFonts w:ascii="宋体" w:hAnsi="宋体" w:hint="eastAsia"/>
          <w:b/>
          <w:bCs/>
          <w:color w:val="000000" w:themeColor="text1"/>
          <w:sz w:val="48"/>
          <w:szCs w:val="30"/>
        </w:rPr>
        <w:br/>
        <w:t>2026</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6933ED" w:rsidRDefault="006933E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hint="eastAsia"/>
        </w:rPr>
      </w:pP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6933ED" w:rsidRDefault="006933E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6933ED" w:rsidRDefault="006933ED">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6933ED" w:rsidRDefault="006933ED">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国信证券股份有限公</w:t>
      </w:r>
      <w:r>
        <w:rPr>
          <w:rFonts w:ascii="宋体" w:hAnsi="宋体" w:hint="eastAsia"/>
          <w:b/>
          <w:bCs/>
          <w:sz w:val="28"/>
          <w:szCs w:val="30"/>
        </w:rPr>
        <w:t>司</w:t>
      </w:r>
    </w:p>
    <w:p w:rsidR="006933ED" w:rsidRDefault="006933ED">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6933ED" w:rsidRDefault="006933ED">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r>
        <w:rPr>
          <w:rFonts w:hAnsi="宋体" w:hint="eastAsia"/>
        </w:rPr>
        <w:lastRenderedPageBreak/>
        <w:t>重要提</w:t>
      </w:r>
      <w:r>
        <w:rPr>
          <w:rFonts w:hAnsi="宋体" w:hint="eastAsia"/>
        </w:rPr>
        <w:t>示</w:t>
      </w:r>
      <w:bookmarkEnd w:id="7"/>
      <w:bookmarkEnd w:id="8"/>
      <w:bookmarkEnd w:id="9"/>
      <w:bookmarkEnd w:id="10"/>
      <w:bookmarkEnd w:id="11"/>
      <w:r>
        <w:rPr>
          <w:rFonts w:hAnsi="宋体" w:hint="eastAsia"/>
        </w:rPr>
        <w:t xml:space="preserve"> </w:t>
      </w:r>
    </w:p>
    <w:p w:rsidR="006933ED" w:rsidRDefault="006933ED">
      <w:pPr>
        <w:spacing w:line="360" w:lineRule="auto"/>
        <w:ind w:firstLineChars="200" w:firstLine="420"/>
        <w:divId w:val="745111172"/>
        <w:rPr>
          <w:rFonts w:hint="eastAsia"/>
        </w:rPr>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基金托管人国信证券股份有限公司根据本基金合同约定，于</w:t>
      </w:r>
      <w:r>
        <w:rPr>
          <w:rFonts w:ascii="宋体" w:hAnsi="宋体" w:hint="eastAsia"/>
        </w:rPr>
        <w:t>2026</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20</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6933ED" w:rsidRDefault="006933ED">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r>
        <w:rPr>
          <w:rFonts w:hAnsi="宋体" w:hint="eastAsia"/>
        </w:rPr>
        <w:t>基金产品概</w:t>
      </w:r>
      <w:r>
        <w:rPr>
          <w:rFonts w:hAnsi="宋体" w:hint="eastAsia"/>
        </w:rPr>
        <w:t>况</w:t>
      </w:r>
      <w:bookmarkEnd w:id="20"/>
      <w:bookmarkEnd w:id="21"/>
      <w:bookmarkEnd w:id="22"/>
      <w:bookmarkEnd w:id="23"/>
      <w:bookmarkEnd w:id="2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000000">
        <w:trPr>
          <w:divId w:val="185410958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rPr>
                <w:rFonts w:hint="eastAsia"/>
              </w:rPr>
            </w:pPr>
            <w:bookmarkStart w:id="25" w:name="OLE_LINK1"/>
            <w:r>
              <w:rPr>
                <w:rFonts w:asciiTheme="minorEastAsia" w:eastAsiaTheme="minorEastAsia" w:hAnsiTheme="minorEastAsia" w:hint="eastAsia"/>
              </w:rPr>
              <w:t>基金简称</w:t>
            </w:r>
            <w:r>
              <w:rPr>
                <w:rFonts w:asciiTheme="minorEastAsia" w:eastAsiaTheme="minorEastAsia" w:hAnsiTheme="minorEastAsia" w:hint="eastAsia"/>
              </w:rPr>
              <w:t xml:space="preserve">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摩根恒生生物科技</w:t>
            </w:r>
            <w:r>
              <w:rPr>
                <w:rFonts w:asciiTheme="minorEastAsia" w:eastAsiaTheme="minorEastAsia" w:hAnsiTheme="minorEastAsia" w:hint="eastAsia"/>
              </w:rPr>
              <w:t>ET</w:t>
            </w:r>
            <w:r>
              <w:rPr>
                <w:rFonts w:asciiTheme="minorEastAsia" w:eastAsiaTheme="minorEastAsia" w:hAnsiTheme="minorEastAsia" w:hint="eastAsia"/>
              </w:rPr>
              <w:t>F</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基金主代码</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52076</w:t>
            </w:r>
            <w:r>
              <w:rPr>
                <w:rFonts w:asciiTheme="minorEastAsia" w:eastAsiaTheme="minorEastAsia" w:hAnsiTheme="minorEastAsia" w:hint="eastAsia"/>
              </w:rPr>
              <w:t>0</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交易代码</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52076</w:t>
            </w:r>
            <w:r>
              <w:rPr>
                <w:rFonts w:asciiTheme="minorEastAsia" w:eastAsiaTheme="minorEastAsia" w:hAnsiTheme="minorEastAsia" w:hint="eastAsia"/>
              </w:rPr>
              <w:t>0</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基金运作方式</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交易型开放</w:t>
            </w:r>
            <w:r>
              <w:rPr>
                <w:rFonts w:asciiTheme="minorEastAsia" w:eastAsiaTheme="minorEastAsia" w:hAnsiTheme="minorEastAsia" w:hint="eastAsia"/>
              </w:rPr>
              <w:t>式</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基金合同生效日</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2</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rPr>
          <w:divId w:val="185410958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报告期末基金份额总额</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205,466,000.0</w:t>
            </w:r>
            <w:r>
              <w:rPr>
                <w:rFonts w:asciiTheme="minorEastAsia" w:eastAsiaTheme="minorEastAsia" w:hAnsiTheme="minorEastAsia" w:hint="eastAsia"/>
              </w:rPr>
              <w:t>0</w:t>
            </w:r>
            <w:r>
              <w:rPr>
                <w:rFonts w:asciiTheme="minorEastAsia" w:eastAsiaTheme="minorEastAsia" w:hAnsiTheme="minorEastAsia" w:hint="eastAsia"/>
              </w:rPr>
              <w:t>份</w:t>
            </w:r>
            <w:r>
              <w:rPr>
                <w:rFonts w:asciiTheme="minorEastAsia" w:eastAsiaTheme="minorEastAsia" w:hAnsiTheme="minorEastAsia" w:hint="eastAsia"/>
              </w:rPr>
              <w:t xml:space="preserve"> </w:t>
            </w:r>
          </w:p>
        </w:tc>
      </w:tr>
      <w:tr w:rsidR="00000000">
        <w:trPr>
          <w:divId w:val="185410958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投资目标</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r>
              <w:rPr>
                <w:rFonts w:asciiTheme="minorEastAsia" w:eastAsiaTheme="minorEastAsia" w:hAnsiTheme="minorEastAsia" w:hint="eastAsia"/>
              </w:rPr>
              <w:t>。</w:t>
            </w:r>
          </w:p>
        </w:tc>
      </w:tr>
      <w:tr w:rsidR="00000000">
        <w:trPr>
          <w:divId w:val="185410958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投资策略</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w:t>
            </w:r>
            <w:r>
              <w:rPr>
                <w:rFonts w:asciiTheme="minorEastAsia" w:eastAsiaTheme="minorEastAsia" w:hAnsiTheme="minorEastAsia" w:hint="eastAsia"/>
              </w:rPr>
              <w:t>0.35%</w:t>
            </w:r>
            <w:r>
              <w:rPr>
                <w:rFonts w:asciiTheme="minorEastAsia" w:eastAsiaTheme="minorEastAsia" w:hAnsiTheme="minorEastAsia" w:hint="eastAsia"/>
              </w:rPr>
              <w:t>，年跟踪误差不超过</w:t>
            </w:r>
            <w:r>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hint="eastAsia"/>
              </w:rPr>
              <w:br/>
              <w:t>1</w:t>
            </w:r>
            <w:r>
              <w:rPr>
                <w:rFonts w:asciiTheme="minorEastAsia" w:eastAsiaTheme="minorEastAsia" w:hAnsiTheme="minorEastAsia" w:hint="eastAsia"/>
              </w:rPr>
              <w:t>、复制策略</w:t>
            </w:r>
            <w:r>
              <w:rPr>
                <w:rFonts w:asciiTheme="minorEastAsia" w:eastAsiaTheme="minorEastAsia" w:hAnsiTheme="minorEastAsia" w:hint="eastAsia"/>
              </w:rPr>
              <w:br/>
            </w:r>
            <w:r>
              <w:rPr>
                <w:rFonts w:asciiTheme="minorEastAsia" w:eastAsiaTheme="minorEastAsia" w:hAnsiTheme="minorEastAsia" w:hint="eastAsia"/>
              </w:rP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hint="eastAsia"/>
              </w:rPr>
              <w:t>）定期调整</w:t>
            </w:r>
            <w:r>
              <w:rPr>
                <w:rFonts w:asciiTheme="minorEastAsia" w:eastAsiaTheme="minorEastAsia" w:hAnsiTheme="minorEastAsia" w:hint="eastAsia"/>
              </w:rPr>
              <w:br/>
            </w:r>
            <w:r>
              <w:rPr>
                <w:rFonts w:asciiTheme="minorEastAsia" w:eastAsiaTheme="minorEastAsia" w:hAnsiTheme="minorEastAsia" w:hint="eastAsia"/>
              </w:rP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r>
            <w:r>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hint="eastAsia"/>
              </w:rPr>
              <w:t>）不定期调整</w:t>
            </w:r>
            <w:r>
              <w:rPr>
                <w:rFonts w:asciiTheme="minorEastAsia" w:eastAsiaTheme="minorEastAsia" w:hAnsiTheme="minorEastAsia" w:hint="eastAsia"/>
              </w:rPr>
              <w:br/>
              <w:t>1</w:t>
            </w:r>
            <w:r>
              <w:rPr>
                <w:rFonts w:asciiTheme="minorEastAsia" w:eastAsiaTheme="minorEastAsia" w:hAnsiTheme="minorEastAsia" w:hint="eastAsia"/>
              </w:rPr>
              <w:t>）根据指数编制规则，当标的指数成份股因增发、送配等股权变动而需进行成份股权重调整时，本基金将根据标的指数权重比例的变化，进行相应调整。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w:t>
            </w:r>
            <w:r>
              <w:rPr>
                <w:rFonts w:asciiTheme="minorEastAsia" w:eastAsiaTheme="minorEastAsia" w:hAnsiTheme="minorEastAsia" w:hint="eastAsia"/>
              </w:rPr>
              <w:t>）当标的指数成份股因停牌、流动性不足等因素导致基金无法按照指数权重进行配置，基金管理人将综合考虑跟踪误差和投资者利益，选择相关股票进行适当的替代。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w:t>
            </w:r>
            <w:r>
              <w:rPr>
                <w:rFonts w:asciiTheme="minorEastAsia" w:eastAsiaTheme="minorEastAsia" w:hAnsiTheme="minorEastAsia" w:hint="eastAsia"/>
              </w:rPr>
              <w:t>）本基金将根据申购和赎回情况对股票投资组合进行调整，保证基金正常运行，从而有效跟踪标的指数。</w:t>
            </w:r>
            <w:r>
              <w:rPr>
                <w:rFonts w:asciiTheme="minorEastAsia" w:eastAsiaTheme="minorEastAsia" w:hAnsiTheme="minorEastAsia" w:hint="eastAsia"/>
              </w:rPr>
              <w:br/>
              <w:t>2</w:t>
            </w:r>
            <w:r>
              <w:rPr>
                <w:rFonts w:asciiTheme="minorEastAsia" w:eastAsiaTheme="minorEastAsia" w:hAnsiTheme="minorEastAsia" w:hint="eastAsia"/>
              </w:rPr>
              <w:t>、替代策略</w:t>
            </w:r>
            <w:r>
              <w:rPr>
                <w:rFonts w:asciiTheme="minorEastAsia" w:eastAsiaTheme="minorEastAsia" w:hAnsiTheme="minorEastAsia" w:hint="eastAsia"/>
              </w:rPr>
              <w:br/>
            </w:r>
            <w:r>
              <w:rPr>
                <w:rFonts w:asciiTheme="minorEastAsia" w:eastAsiaTheme="minorEastAsia" w:hAnsiTheme="minorEastAsia" w:hint="eastAsia"/>
              </w:rPr>
              <w:t>当预期成份股发生调整和成份股发生配股、增发、分红、长期停牌等行为时，或因基金的申购和赎回等对本基金跟踪标的指数的效果可能带来影响时，或因某些特殊情况导致流动性不足时，或法律法规的限制无法投资某</w:t>
            </w:r>
            <w:r>
              <w:rPr>
                <w:rFonts w:asciiTheme="minorEastAsia" w:eastAsiaTheme="minorEastAsia" w:hAnsiTheme="minorEastAsia" w:hint="eastAsia"/>
              </w:rPr>
              <w:t>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w:t>
            </w:r>
            <w:r>
              <w:rPr>
                <w:rFonts w:asciiTheme="minorEastAsia" w:eastAsiaTheme="minorEastAsia" w:hAnsiTheme="minorEastAsia" w:hint="eastAsia"/>
              </w:rPr>
              <w:t>、其他投资策略：包括股指期货投资策略、国债期货投资策略、股票期权投资策略、债券投资策略、融资及转融通证券出借策略、存托凭证投资策略</w:t>
            </w:r>
            <w:r>
              <w:rPr>
                <w:rFonts w:asciiTheme="minorEastAsia" w:eastAsiaTheme="minorEastAsia" w:hAnsiTheme="minorEastAsia" w:hint="eastAsia"/>
              </w:rPr>
              <w:t>。</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lastRenderedPageBreak/>
              <w:t>业绩比较基准</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本基金的业绩比较基准为标的指数，即恒生生物科技指数收益率（经汇率调整后）</w:t>
            </w:r>
            <w:r>
              <w:rPr>
                <w:rFonts w:asciiTheme="minorEastAsia" w:eastAsiaTheme="minorEastAsia" w:hAnsiTheme="minorEastAsia" w:hint="eastAsia"/>
              </w:rPr>
              <w:t>。</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风险收益特征</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r>
              <w:rPr>
                <w:rFonts w:asciiTheme="minorEastAsia" w:eastAsiaTheme="minorEastAsia" w:hAnsiTheme="minorEastAsia" w:hint="eastAsia"/>
              </w:rPr>
              <w:br/>
            </w:r>
            <w:r>
              <w:rPr>
                <w:rFonts w:asciiTheme="minorEastAsia" w:eastAsiaTheme="minorEastAsia" w:hAnsiTheme="minorEastAsia" w:hint="eastAsia"/>
              </w:rPr>
              <w:t>本基金投资于港股通标的股票，还需承担汇率风险和港股通机制下因投资环境、投资标的、市场制度以及交易规则等差异带来的特有风险</w:t>
            </w:r>
            <w:r>
              <w:rPr>
                <w:rFonts w:asciiTheme="minorEastAsia" w:eastAsiaTheme="minorEastAsia" w:hAnsiTheme="minorEastAsia" w:hint="eastAsia"/>
              </w:rPr>
              <w:t>。</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基金管理人</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摩根基金管理（中国）有限公</w:t>
            </w:r>
            <w:r>
              <w:rPr>
                <w:rFonts w:asciiTheme="minorEastAsia" w:eastAsiaTheme="minorEastAsia" w:hAnsiTheme="minorEastAsia" w:hint="eastAsia"/>
              </w:rPr>
              <w:t>司</w:t>
            </w:r>
          </w:p>
        </w:tc>
      </w:tr>
      <w:tr w:rsidR="00000000">
        <w:trPr>
          <w:divId w:val="185410958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基金托管人</w:t>
            </w:r>
            <w:r>
              <w:rPr>
                <w:rFonts w:asciiTheme="minorEastAsia" w:eastAsiaTheme="minorEastAsia" w:hAnsiTheme="minorEastAsia" w:hint="eastAsia"/>
              </w:rPr>
              <w:t xml:space="preserve">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rsidR="006933ED" w:rsidRDefault="006933ED">
            <w:pPr>
              <w:widowControl/>
              <w:spacing w:line="315" w:lineRule="atLeast"/>
              <w:jc w:val="left"/>
            </w:pPr>
            <w:r>
              <w:rPr>
                <w:rFonts w:asciiTheme="minorEastAsia" w:eastAsiaTheme="minorEastAsia" w:hAnsiTheme="minorEastAsia" w:hint="eastAsia"/>
              </w:rPr>
              <w:t>国信证券股份有限公</w:t>
            </w:r>
            <w:r>
              <w:rPr>
                <w:rFonts w:asciiTheme="minorEastAsia" w:eastAsiaTheme="minorEastAsia" w:hAnsiTheme="minorEastAsia" w:hint="eastAsia"/>
              </w:rPr>
              <w:t>司</w:t>
            </w:r>
          </w:p>
        </w:tc>
      </w:tr>
    </w:tbl>
    <w:p w:rsidR="006933ED" w:rsidRDefault="006933ED">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r>
        <w:rPr>
          <w:rFonts w:hAnsi="宋体" w:hint="eastAsia"/>
        </w:rPr>
        <w:t>主要财务指标和基金净值表</w:t>
      </w:r>
      <w:r>
        <w:rPr>
          <w:rFonts w:hAnsi="宋体" w:hint="eastAsia"/>
        </w:rPr>
        <w:t>现</w:t>
      </w:r>
      <w:bookmarkEnd w:id="26"/>
      <w:bookmarkEnd w:id="27"/>
      <w:bookmarkEnd w:id="28"/>
      <w:bookmarkEnd w:id="29"/>
      <w:bookmarkEnd w:id="30"/>
      <w:r>
        <w:rPr>
          <w:rFonts w:hAnsi="宋体" w:hint="eastAsia"/>
        </w:rPr>
        <w:t xml:space="preserve"> </w:t>
      </w:r>
    </w:p>
    <w:p w:rsidR="006933ED" w:rsidRDefault="006933ED">
      <w:pPr>
        <w:pStyle w:val="XBRLTitle2"/>
        <w:spacing w:before="156" w:line="360" w:lineRule="auto"/>
        <w:ind w:left="454"/>
        <w:rPr>
          <w:rFonts w:hint="eastAsia"/>
        </w:rPr>
      </w:pPr>
      <w:bookmarkStart w:id="33" w:name="_Toc513386585"/>
      <w:bookmarkStart w:id="34" w:name="_Toc490050004"/>
      <w:bookmarkStart w:id="35" w:name="_Toc438646456"/>
      <w:bookmarkStart w:id="36" w:name="_Toc481075050"/>
      <w:bookmarkStart w:id="37" w:name="_Toc512519483"/>
      <w:r>
        <w:rPr>
          <w:rFonts w:hAnsi="宋体" w:hint="eastAsia"/>
        </w:rPr>
        <w:t>主要财务指</w:t>
      </w:r>
      <w:r>
        <w:rPr>
          <w:rFonts w:hAnsi="宋体" w:hint="eastAsia"/>
        </w:rPr>
        <w:t>标</w:t>
      </w:r>
      <w:bookmarkEnd w:id="33"/>
      <w:bookmarkEnd w:id="34"/>
      <w:bookmarkEnd w:id="35"/>
      <w:bookmarkEnd w:id="36"/>
      <w:bookmarkEnd w:id="37"/>
      <w:r>
        <w:rPr>
          <w:rFonts w:hAnsi="宋体" w:hint="eastAsia"/>
        </w:rPr>
        <w:t xml:space="preserve"> </w:t>
      </w:r>
    </w:p>
    <w:p w:rsidR="006933ED" w:rsidRDefault="006933ED">
      <w:pPr>
        <w:jc w:val="right"/>
        <w:divId w:val="1080642370"/>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000000">
        <w:trPr>
          <w:divId w:val="108064237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6933ED" w:rsidRDefault="006933ED">
            <w:pPr>
              <w:pStyle w:val="a5"/>
            </w:pPr>
            <w:r>
              <w:rPr>
                <w:rFonts w:hint="eastAsia"/>
                <w:kern w:val="2"/>
                <w:sz w:val="21"/>
                <w:lang w:eastAsia="zh-Hans"/>
              </w:rPr>
              <w:t>主要财务指标</w:t>
            </w:r>
            <w:r>
              <w:rPr>
                <w:rFonts w:hint="eastAsia"/>
                <w:kern w:val="2"/>
                <w:sz w:val="21"/>
                <w:lang w:eastAsia="zh-Hans"/>
              </w:rPr>
              <w:t xml:space="preserve">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6933ED" w:rsidRDefault="006933ED">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2026</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 xml:space="preserve"> - 2026</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p>
        </w:tc>
      </w:tr>
      <w:tr w:rsidR="00000000">
        <w:trPr>
          <w:divId w:val="108064237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a5"/>
              <w:rPr>
                <w:rFonts w:hint="eastAsia"/>
              </w:rPr>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rPr>
                <w:rFonts w:hint="eastAsia"/>
              </w:rPr>
            </w:pPr>
            <w:r>
              <w:rPr>
                <w:rFonts w:ascii="宋体" w:hAnsi="宋体" w:hint="eastAsia"/>
                <w:szCs w:val="24"/>
                <w:lang w:eastAsia="zh-Hans"/>
              </w:rPr>
              <w:t>-3,199,018.4</w:t>
            </w:r>
            <w:r>
              <w:rPr>
                <w:rFonts w:ascii="宋体" w:hAnsi="宋体" w:hint="eastAsia"/>
                <w:szCs w:val="24"/>
                <w:lang w:eastAsia="zh-Hans"/>
              </w:rPr>
              <w:t>9</w:t>
            </w:r>
          </w:p>
        </w:tc>
      </w:tr>
      <w:tr w:rsidR="00000000">
        <w:trPr>
          <w:divId w:val="108064237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rPr>
                <w:rFonts w:hint="eastAsia"/>
              </w:rPr>
            </w:pPr>
            <w:r>
              <w:rPr>
                <w:rFonts w:ascii="宋体" w:hAnsi="宋体" w:hint="eastAsia"/>
                <w:szCs w:val="24"/>
                <w:lang w:eastAsia="zh-Hans"/>
              </w:rPr>
              <w:t>-19,299,923.6</w:t>
            </w:r>
            <w:r>
              <w:rPr>
                <w:rFonts w:ascii="宋体" w:hAnsi="宋体" w:hint="eastAsia"/>
                <w:szCs w:val="24"/>
                <w:lang w:eastAsia="zh-Hans"/>
              </w:rPr>
              <w:t>4</w:t>
            </w:r>
          </w:p>
        </w:tc>
      </w:tr>
      <w:tr w:rsidR="00000000">
        <w:trPr>
          <w:divId w:val="108064237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rPr>
                <w:rFonts w:hint="eastAsia"/>
              </w:rPr>
            </w:pPr>
            <w:r>
              <w:rPr>
                <w:rFonts w:ascii="宋体" w:hAnsi="宋体" w:hint="eastAsia"/>
                <w:szCs w:val="24"/>
                <w:lang w:eastAsia="zh-Hans"/>
              </w:rPr>
              <w:t>-0.082</w:t>
            </w:r>
            <w:r>
              <w:rPr>
                <w:rFonts w:ascii="宋体" w:hAnsi="宋体" w:hint="eastAsia"/>
                <w:szCs w:val="24"/>
                <w:lang w:eastAsia="zh-Hans"/>
              </w:rPr>
              <w:t>5</w:t>
            </w:r>
          </w:p>
        </w:tc>
      </w:tr>
      <w:tr w:rsidR="00000000">
        <w:trPr>
          <w:divId w:val="108064237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rPr>
                <w:rFonts w:hint="eastAsia"/>
              </w:rPr>
            </w:pPr>
            <w:r>
              <w:rPr>
                <w:rFonts w:ascii="宋体" w:hAnsi="宋体" w:hint="eastAsia"/>
                <w:szCs w:val="24"/>
                <w:lang w:eastAsia="zh-Hans"/>
              </w:rPr>
              <w:t>165,977,547.2</w:t>
            </w:r>
            <w:r>
              <w:rPr>
                <w:rFonts w:ascii="宋体" w:hAnsi="宋体" w:hint="eastAsia"/>
                <w:szCs w:val="24"/>
                <w:lang w:eastAsia="zh-Hans"/>
              </w:rPr>
              <w:t>1</w:t>
            </w:r>
          </w:p>
        </w:tc>
      </w:tr>
      <w:tr w:rsidR="00000000">
        <w:trPr>
          <w:divId w:val="108064237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rPr>
                <w:rFonts w:hint="eastAsia"/>
              </w:rPr>
            </w:pPr>
            <w:r>
              <w:rPr>
                <w:rFonts w:ascii="宋体" w:hAnsi="宋体" w:hint="eastAsia"/>
                <w:szCs w:val="24"/>
                <w:lang w:eastAsia="zh-Hans"/>
              </w:rPr>
              <w:t>0.807</w:t>
            </w:r>
            <w:r>
              <w:rPr>
                <w:rFonts w:ascii="宋体" w:hAnsi="宋体" w:hint="eastAsia"/>
                <w:szCs w:val="24"/>
                <w:lang w:eastAsia="zh-Hans"/>
              </w:rPr>
              <w:t>8</w:t>
            </w:r>
          </w:p>
        </w:tc>
      </w:tr>
    </w:tbl>
    <w:p w:rsidR="006933ED" w:rsidRDefault="006933ED">
      <w:pPr>
        <w:spacing w:line="360" w:lineRule="auto"/>
      </w:pPr>
      <w:r>
        <w:rPr>
          <w:rFonts w:hint="eastAsia"/>
        </w:rPr>
        <w:t>注</w:t>
      </w:r>
      <w:r>
        <w:rPr>
          <w:rFonts w:hint="eastAsia"/>
        </w:rPr>
        <w:t>：</w:t>
      </w:r>
      <w:r>
        <w:rPr>
          <w:rFonts w:ascii="宋体" w:hAnsi="宋体" w:hint="eastAsia"/>
          <w:szCs w:val="24"/>
          <w:lang w:eastAsia="zh-Hans"/>
        </w:rPr>
        <w:t>本期已实现收益指基金本期利息收入、投资收益、其他收入</w:t>
      </w:r>
      <w:r>
        <w:rPr>
          <w:rFonts w:ascii="宋体" w:hAnsi="宋体" w:hint="eastAsia"/>
          <w:szCs w:val="24"/>
          <w:lang w:eastAsia="zh-Hans"/>
        </w:rPr>
        <w:t>(</w:t>
      </w:r>
      <w:r>
        <w:rPr>
          <w:rFonts w:ascii="宋体" w:hAnsi="宋体" w:hint="eastAsia"/>
          <w:szCs w:val="24"/>
          <w:lang w:eastAsia="zh-Hans"/>
        </w:rPr>
        <w:t>不含公允价值变动收益</w:t>
      </w:r>
      <w:r>
        <w:rPr>
          <w:rFonts w:ascii="宋体" w:hAnsi="宋体" w:hint="eastAsia"/>
          <w:szCs w:val="24"/>
          <w:lang w:eastAsia="zh-Hans"/>
        </w:rPr>
        <w:t>)</w:t>
      </w:r>
      <w:r>
        <w:rPr>
          <w:rFonts w:ascii="宋体" w:hAnsi="宋体" w:hint="eastAsia"/>
          <w:szCs w:val="24"/>
          <w:lang w:eastAsia="zh-Hans"/>
        </w:rPr>
        <w:t>扣除相关费用后的余额</w:t>
      </w:r>
      <w:r>
        <w:rPr>
          <w:rFonts w:ascii="宋体" w:hAnsi="宋体" w:hint="eastAsia"/>
          <w:szCs w:val="24"/>
          <w:lang w:eastAsia="zh-Hans"/>
        </w:rPr>
        <w:t>,</w:t>
      </w:r>
      <w:r>
        <w:rPr>
          <w:rFonts w:ascii="宋体" w:hAnsi="宋体" w:hint="eastAsia"/>
          <w:szCs w:val="24"/>
          <w:lang w:eastAsia="zh-Hans"/>
        </w:rPr>
        <w:t>本期利润为本期已实现收益加上本期公允价值变动收益。</w:t>
      </w:r>
      <w:r>
        <w:rPr>
          <w:rFonts w:ascii="宋体" w:hAnsi="宋体" w:hint="eastAsia"/>
          <w:szCs w:val="24"/>
          <w:lang w:eastAsia="zh-Hans"/>
        </w:rPr>
        <w:br/>
      </w:r>
      <w:r>
        <w:rPr>
          <w:rFonts w:ascii="宋体" w:hAnsi="宋体" w:hint="eastAsia"/>
          <w:szCs w:val="24"/>
          <w:lang w:eastAsia="zh-Hans"/>
        </w:rPr>
        <w:t xml:space="preserve">　　上述基金业绩指标不包括持有人认购或交易基金的各项费用（例如，开放式基金的申购赎回</w:t>
      </w:r>
      <w:r>
        <w:rPr>
          <w:rFonts w:ascii="宋体" w:hAnsi="宋体" w:hint="eastAsia"/>
          <w:szCs w:val="24"/>
          <w:lang w:eastAsia="zh-Hans"/>
        </w:rPr>
        <w:lastRenderedPageBreak/>
        <w:t>费、红利再投资费、基金转换费等），计入费用后实际收益水平要低于所列数字</w:t>
      </w:r>
      <w:r>
        <w:rPr>
          <w:rFonts w:ascii="宋体" w:hAnsi="宋体" w:hint="eastAsia"/>
          <w:szCs w:val="24"/>
          <w:lang w:eastAsia="zh-Hans"/>
        </w:rPr>
        <w:t>。</w:t>
      </w:r>
      <w:r>
        <w:rPr>
          <w:rFonts w:ascii="宋体" w:hAnsi="宋体" w:hint="eastAsia"/>
          <w:lang w:eastAsia="zh-Hans"/>
        </w:rPr>
        <w:t xml:space="preserve"> </w:t>
      </w:r>
    </w:p>
    <w:p w:rsidR="006933ED" w:rsidRDefault="006933ED">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r>
        <w:rPr>
          <w:rFonts w:hAnsi="宋体" w:hint="eastAsia"/>
        </w:rPr>
        <w:t>基金净值表</w:t>
      </w:r>
      <w:r>
        <w:rPr>
          <w:rFonts w:hAnsi="宋体" w:hint="eastAsia"/>
        </w:rPr>
        <w:t>现</w:t>
      </w:r>
      <w:bookmarkEnd w:id="38"/>
      <w:bookmarkEnd w:id="39"/>
      <w:bookmarkEnd w:id="40"/>
      <w:bookmarkEnd w:id="41"/>
      <w:bookmarkEnd w:id="42"/>
      <w:r>
        <w:rPr>
          <w:rFonts w:hAnsi="宋体" w:hint="eastAsia"/>
        </w:rPr>
        <w:t xml:space="preserve"> </w:t>
      </w:r>
    </w:p>
    <w:p w:rsidR="006933ED" w:rsidRDefault="006933ED">
      <w:pPr>
        <w:pStyle w:val="XBRLTitle3"/>
        <w:spacing w:before="156"/>
        <w:ind w:left="0"/>
        <w:rPr>
          <w:rFonts w:hint="eastAsia"/>
        </w:rPr>
      </w:pPr>
      <w:bookmarkStart w:id="43" w:name="_Toc513386587"/>
      <w:bookmarkStart w:id="44" w:name="_Toc490050006"/>
      <w:bookmarkStart w:id="45" w:name="_Toc481075052"/>
      <w:bookmarkStart w:id="46" w:name="_Toc512519485"/>
      <w:r>
        <w:rPr>
          <w:rFonts w:hint="eastAsia"/>
        </w:rPr>
        <w:t>基金份额净值增长率及其与同期业绩比较基准收益率的比</w:t>
      </w:r>
      <w:r>
        <w:rPr>
          <w:rFonts w:hint="eastAsia"/>
        </w:rPr>
        <w:t>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000000">
        <w:trPr>
          <w:divId w:val="96072256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rPr>
                <w:rFonts w:hint="eastAsia"/>
              </w:rPr>
            </w:pPr>
            <w:r>
              <w:rPr>
                <w:rFonts w:ascii="宋体" w:hAnsi="宋体" w:hint="eastAsia"/>
              </w:rPr>
              <w:t>阶段</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净值增长率①</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净值增长率标准差②</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业绩比较基准收益率③</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业绩比较基准收益率标准差④</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①－③</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spacing w:line="360" w:lineRule="auto"/>
              <w:jc w:val="center"/>
            </w:pPr>
            <w:r>
              <w:rPr>
                <w:rFonts w:ascii="宋体" w:hAnsi="宋体" w:hint="eastAsia"/>
              </w:rPr>
              <w:t>②－④</w:t>
            </w:r>
            <w:r>
              <w:rPr>
                <w:rFonts w:ascii="宋体" w:hAnsi="宋体" w:hint="eastAsia"/>
              </w:rPr>
              <w:t xml:space="preserve"> </w:t>
            </w:r>
          </w:p>
        </w:tc>
      </w:tr>
      <w:tr w:rsidR="00000000">
        <w:trPr>
          <w:divId w:val="9607225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center"/>
            </w:pPr>
            <w:r>
              <w:rPr>
                <w:rFonts w:ascii="宋体" w:hAnsi="宋体" w:hint="eastAsia"/>
              </w:rPr>
              <w:t>过去三个</w:t>
            </w:r>
            <w:r>
              <w:rPr>
                <w:rFonts w:ascii="宋体" w:hAnsi="宋体" w:hint="eastAsia"/>
              </w:rPr>
              <w:t>月</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-13.9</w:t>
            </w:r>
            <w:r>
              <w:rPr>
                <w:rFonts w:ascii="宋体" w:hAnsi="宋体" w:hint="eastAsia"/>
              </w:rPr>
              <w:t>4</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2.0</w:t>
            </w:r>
            <w:r>
              <w:rPr>
                <w:rFonts w:ascii="宋体" w:hAnsi="宋体" w:hint="eastAsia"/>
              </w:rPr>
              <w:t>3</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-14.3</w:t>
            </w:r>
            <w:r>
              <w:rPr>
                <w:rFonts w:ascii="宋体" w:hAnsi="宋体" w:hint="eastAsia"/>
              </w:rPr>
              <w:t>4</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2.0</w:t>
            </w:r>
            <w:r>
              <w:rPr>
                <w:rFonts w:ascii="宋体" w:hAnsi="宋体" w:hint="eastAsia"/>
              </w:rPr>
              <w:t>5</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0.4</w:t>
            </w:r>
            <w:r>
              <w:rPr>
                <w:rFonts w:ascii="宋体" w:hAnsi="宋体" w:hint="eastAsia"/>
              </w:rPr>
              <w:t>0</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-0.0</w:t>
            </w:r>
            <w:r>
              <w:rPr>
                <w:rFonts w:ascii="宋体" w:hAnsi="宋体" w:hint="eastAsia"/>
              </w:rPr>
              <w:t>2</w:t>
            </w:r>
            <w:r>
              <w:rPr>
                <w:rFonts w:ascii="宋体" w:hAnsi="宋体" w:hint="eastAsia"/>
              </w:rPr>
              <w:t>%</w:t>
            </w:r>
          </w:p>
        </w:tc>
      </w:tr>
      <w:tr w:rsidR="00000000">
        <w:trPr>
          <w:divId w:val="9607225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center"/>
            </w:pPr>
            <w:r>
              <w:rPr>
                <w:rFonts w:ascii="宋体" w:hAnsi="宋体" w:hint="eastAsia"/>
              </w:rPr>
              <w:t>自基金合同生效起至</w:t>
            </w:r>
            <w:r>
              <w:rPr>
                <w:rFonts w:ascii="宋体" w:hAnsi="宋体" w:hint="eastAsia"/>
              </w:rPr>
              <w:t>今</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-19.2</w:t>
            </w:r>
            <w:r>
              <w:rPr>
                <w:rFonts w:ascii="宋体" w:hAnsi="宋体" w:hint="eastAsia"/>
              </w:rPr>
              <w:t>2</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2.1</w:t>
            </w:r>
            <w:r>
              <w:rPr>
                <w:rFonts w:ascii="宋体" w:hAnsi="宋体" w:hint="eastAsia"/>
              </w:rPr>
              <w:t>3</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-22.4</w:t>
            </w:r>
            <w:r>
              <w:rPr>
                <w:rFonts w:ascii="宋体" w:hAnsi="宋体" w:hint="eastAsia"/>
              </w:rPr>
              <w:t>3</w:t>
            </w:r>
            <w:r>
              <w:rPr>
                <w:rFonts w:ascii="宋体" w:hAnsi="宋体" w:hint="eastAsia"/>
              </w:rPr>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2.2</w:t>
            </w:r>
            <w:r>
              <w:rPr>
                <w:rFonts w:ascii="宋体" w:hAnsi="宋体" w:hint="eastAsia"/>
              </w:rPr>
              <w:t>1</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3.2</w:t>
            </w:r>
            <w:r>
              <w:rPr>
                <w:rFonts w:ascii="宋体" w:hAnsi="宋体" w:hint="eastAsia"/>
              </w:rPr>
              <w:t>1</w:t>
            </w:r>
            <w:r>
              <w:rPr>
                <w:rFonts w:ascii="宋体" w:hAnsi="宋体" w:hint="eastAsia"/>
              </w:rP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6933ED" w:rsidRDefault="006933ED">
            <w:pPr>
              <w:spacing w:line="360" w:lineRule="auto"/>
              <w:jc w:val="right"/>
            </w:pPr>
            <w:r>
              <w:rPr>
                <w:rFonts w:ascii="宋体" w:hAnsi="宋体" w:hint="eastAsia"/>
              </w:rPr>
              <w:t>-0.0</w:t>
            </w:r>
            <w:r>
              <w:rPr>
                <w:rFonts w:ascii="宋体" w:hAnsi="宋体" w:hint="eastAsia"/>
              </w:rPr>
              <w:t>8</w:t>
            </w:r>
            <w:r>
              <w:rPr>
                <w:rFonts w:ascii="宋体" w:hAnsi="宋体" w:hint="eastAsia"/>
              </w:rPr>
              <w:t>%</w:t>
            </w:r>
          </w:p>
        </w:tc>
      </w:tr>
    </w:tbl>
    <w:p w:rsidR="006933ED" w:rsidRDefault="006933ED">
      <w:pPr>
        <w:pStyle w:val="XBRLTitle3"/>
        <w:spacing w:before="156"/>
        <w:ind w:left="0"/>
      </w:pPr>
      <w:bookmarkStart w:id="47" w:name="_Toc513386588"/>
      <w:bookmarkStart w:id="48" w:name="_Toc490050007"/>
      <w:bookmarkStart w:id="49" w:name="_Toc481075053"/>
      <w:bookmarkStart w:id="50" w:name="_Toc512519486"/>
      <w:r>
        <w:rPr>
          <w:rFonts w:hint="eastAsia"/>
        </w:rPr>
        <w:t>自基金合同生效以</w:t>
      </w:r>
      <w:r>
        <w:rPr>
          <w:rFonts w:hint="eastAsia"/>
        </w:rPr>
        <w:t>来</w:t>
      </w:r>
      <w:r>
        <w:rPr>
          <w:rFonts w:hint="eastAsia"/>
        </w:rPr>
        <w:t>基金累计净值增长率变动及其与同期业绩比较基准收益率变动的比</w:t>
      </w:r>
      <w:r>
        <w:rPr>
          <w:rFonts w:hint="eastAsia"/>
        </w:rPr>
        <w:t>较</w:t>
      </w:r>
      <w:bookmarkEnd w:id="47"/>
      <w:bookmarkEnd w:id="48"/>
      <w:bookmarkEnd w:id="49"/>
      <w:bookmarkEnd w:id="50"/>
      <w:r>
        <w:rPr>
          <w:rFonts w:hint="eastAsia"/>
          <w:kern w:val="2"/>
          <w:sz w:val="21"/>
          <w:szCs w:val="20"/>
          <w:lang w:val="en-US" w:eastAsia="zh-CN"/>
        </w:rPr>
        <w:t xml:space="preserve"> </w:t>
      </w:r>
    </w:p>
    <w:p w:rsidR="006933ED" w:rsidRDefault="006933ED">
      <w:pPr>
        <w:spacing w:line="360" w:lineRule="auto"/>
        <w:jc w:val="left"/>
        <w:divId w:val="144786460"/>
        <w:rPr>
          <w:rFonts w:hint="eastAsia"/>
        </w:rPr>
      </w:pPr>
      <w:bookmarkStart w:id="51" w:name="m07_04_07_09_tab"/>
      <w:bookmarkStart w:id="52" w:name="m07_04_07_09"/>
      <w:bookmarkStart w:id="53" w:name="m01_01"/>
      <w:r>
        <w:rPr>
          <w:rFonts w:ascii="宋体" w:hAnsi="宋体" w:hint="eastAsia"/>
          <w:noProof/>
        </w:rPr>
        <w:drawing>
          <wp:inline distT="0" distB="0" distL="0" distR="0">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6933ED" w:rsidRDefault="006933ED">
      <w:pPr>
        <w:spacing w:line="360" w:lineRule="auto"/>
        <w:divId w:val="144786460"/>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2</w:t>
      </w:r>
      <w:r>
        <w:rPr>
          <w:rFonts w:ascii="宋体" w:hAnsi="宋体" w:hint="eastAsia"/>
          <w:lang w:eastAsia="zh-Hans"/>
        </w:rPr>
        <w:t>月</w:t>
      </w:r>
      <w:r>
        <w:rPr>
          <w:rFonts w:ascii="宋体" w:hAnsi="宋体" w:hint="eastAsia"/>
          <w:lang w:eastAsia="zh-Hans"/>
        </w:rPr>
        <w:t>11</w:t>
      </w:r>
      <w:r>
        <w:rPr>
          <w:rFonts w:ascii="宋体" w:hAnsi="宋体" w:hint="eastAsia"/>
          <w:lang w:eastAsia="zh-Hans"/>
        </w:rPr>
        <w:t>日，截至本报告期末本基金合同生效未满一年。</w:t>
      </w:r>
      <w:r>
        <w:rPr>
          <w:rFonts w:ascii="宋体" w:hAnsi="宋体" w:hint="eastAsia"/>
          <w:lang w:eastAsia="zh-Hans"/>
        </w:rPr>
        <w:br/>
      </w:r>
      <w:r>
        <w:rPr>
          <w:rFonts w:ascii="宋体" w:hAnsi="宋体" w:hint="eastAsia"/>
          <w:lang w:eastAsia="zh-Hans"/>
        </w:rPr>
        <w:t xml:space="preserve">本基金建仓期为本基金合同生效日起　</w:t>
      </w:r>
      <w:r>
        <w:rPr>
          <w:rFonts w:ascii="宋体" w:hAnsi="宋体" w:hint="eastAsia"/>
          <w:lang w:eastAsia="zh-Hans"/>
        </w:rPr>
        <w:t>6</w:t>
      </w:r>
      <w:r>
        <w:rPr>
          <w:rFonts w:ascii="宋体" w:hAnsi="宋体" w:hint="eastAsia"/>
          <w:lang w:eastAsia="zh-Hans"/>
        </w:rPr>
        <w:t xml:space="preserve">　个月，截至本报告期末本基金仍处于建仓期</w:t>
      </w:r>
      <w:r>
        <w:rPr>
          <w:rFonts w:ascii="宋体" w:hAnsi="宋体" w:hint="eastAsia"/>
          <w:lang w:eastAsia="zh-Hans"/>
        </w:rPr>
        <w:t>。</w:t>
      </w:r>
      <w:r>
        <w:rPr>
          <w:rFonts w:ascii="宋体" w:hAnsi="宋体" w:hint="eastAsia"/>
          <w:kern w:val="0"/>
          <w:lang w:eastAsia="zh-Hans"/>
        </w:rPr>
        <w:t xml:space="preserve"> </w:t>
      </w:r>
      <w:bookmarkEnd w:id="51"/>
      <w:bookmarkEnd w:id="52"/>
      <w:bookmarkEnd w:id="53"/>
    </w:p>
    <w:p w:rsidR="006933ED" w:rsidRDefault="006933ED">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r>
        <w:rPr>
          <w:rFonts w:hAnsi="宋体" w:hint="eastAsia"/>
        </w:rPr>
        <w:t>管理人报</w:t>
      </w:r>
      <w:r>
        <w:rPr>
          <w:rFonts w:hAnsi="宋体" w:hint="eastAsia"/>
        </w:rPr>
        <w:t>告</w:t>
      </w:r>
      <w:bookmarkEnd w:id="54"/>
      <w:bookmarkEnd w:id="55"/>
      <w:bookmarkEnd w:id="56"/>
      <w:bookmarkEnd w:id="57"/>
      <w:bookmarkEnd w:id="58"/>
      <w:r>
        <w:rPr>
          <w:rFonts w:hAnsi="宋体" w:hint="eastAsia"/>
        </w:rPr>
        <w:t xml:space="preserve"> </w:t>
      </w:r>
    </w:p>
    <w:p w:rsidR="006933ED" w:rsidRDefault="006933ED">
      <w:pPr>
        <w:pStyle w:val="XBRLTitle2"/>
        <w:spacing w:before="156" w:line="360" w:lineRule="auto"/>
        <w:ind w:left="454"/>
        <w:rPr>
          <w:rFonts w:hint="eastAsia"/>
        </w:rPr>
      </w:pPr>
      <w:bookmarkStart w:id="59" w:name="_Toc513386590"/>
      <w:bookmarkStart w:id="60" w:name="_Toc512519488"/>
      <w:bookmarkStart w:id="61" w:name="_Toc490050009"/>
      <w:bookmarkStart w:id="62" w:name="_Toc438646459"/>
      <w:bookmarkStart w:id="63" w:name="_Toc481075055"/>
      <w:r>
        <w:rPr>
          <w:rFonts w:hAnsi="宋体" w:hint="eastAsia"/>
        </w:rPr>
        <w:t>基金经理（或基金经理小组）简</w:t>
      </w:r>
      <w:r>
        <w:rPr>
          <w:rFonts w:hAnsi="宋体" w:hint="eastAsia"/>
        </w:rPr>
        <w:t>介</w:t>
      </w:r>
      <w:bookmarkEnd w:id="59"/>
      <w:bookmarkEnd w:id="60"/>
      <w:bookmarkEnd w:id="61"/>
      <w:bookmarkEnd w:id="62"/>
      <w:bookmarkEnd w:id="6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118582377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rPr>
                <w:rFonts w:hint="eastAsia"/>
              </w:rP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18582377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33ED" w:rsidRDefault="006933E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33ED" w:rsidRDefault="006933E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33ED" w:rsidRDefault="006933E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33ED" w:rsidRDefault="006933ED">
            <w:pPr>
              <w:widowControl/>
              <w:jc w:val="left"/>
            </w:pPr>
          </w:p>
        </w:tc>
      </w:tr>
      <w:tr w:rsidR="00000000">
        <w:trPr>
          <w:divId w:val="118582377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何智</w:t>
            </w:r>
            <w:r>
              <w:rPr>
                <w:rFonts w:ascii="宋体" w:hAnsi="宋体" w:hint="eastAsia"/>
                <w:szCs w:val="24"/>
                <w:lang w:eastAsia="zh-Hans"/>
              </w:rPr>
              <w:t>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szCs w:val="24"/>
                <w:lang w:eastAsia="zh-Hans"/>
              </w:rPr>
              <w:t>本基金的</w:t>
            </w:r>
            <w:r>
              <w:rPr>
                <w:rFonts w:ascii="宋体" w:hAnsi="宋体" w:hint="eastAsia"/>
                <w:szCs w:val="24"/>
                <w:lang w:eastAsia="zh-Hans"/>
              </w:rPr>
              <w:lastRenderedPageBreak/>
              <w:t>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lastRenderedPageBreak/>
              <w:t>2026</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w:t>
            </w:r>
            <w:r>
              <w:rPr>
                <w:rFonts w:ascii="宋体" w:hAnsi="宋体" w:hint="eastAsia"/>
                <w:szCs w:val="24"/>
                <w:lang w:eastAsia="zh-Hans"/>
              </w:rPr>
              <w:lastRenderedPageBreak/>
              <w:t>11</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12</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szCs w:val="24"/>
                <w:lang w:eastAsia="zh-Hans"/>
              </w:rPr>
              <w:t>何智豪先生曾任中国国际金融股份有限</w:t>
            </w:r>
            <w:r>
              <w:rPr>
                <w:rFonts w:ascii="宋体" w:hAnsi="宋体" w:hint="eastAsia"/>
                <w:szCs w:val="24"/>
                <w:lang w:eastAsia="zh-Hans"/>
              </w:rPr>
              <w:lastRenderedPageBreak/>
              <w:t>公司组合与量化策略研究员、资产管理部高级经理。</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月起加入摩根基金管理（中国）有限公司（原上投摩根基金管理有限公司），现任指数及量化投资部基金经理</w:t>
            </w:r>
            <w:r>
              <w:rPr>
                <w:rFonts w:ascii="宋体" w:hAnsi="宋体" w:hint="eastAsia"/>
                <w:szCs w:val="24"/>
                <w:lang w:eastAsia="zh-Hans"/>
              </w:rPr>
              <w:t>。</w:t>
            </w:r>
          </w:p>
        </w:tc>
      </w:tr>
      <w:tr w:rsidR="00000000">
        <w:trPr>
          <w:divId w:val="118582377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lastRenderedPageBreak/>
              <w:t>曲蕾</w:t>
            </w:r>
            <w:r>
              <w:rPr>
                <w:rFonts w:ascii="宋体" w:hAnsi="宋体" w:hint="eastAsia"/>
                <w:szCs w:val="24"/>
                <w:lang w:eastAsia="zh-Hans"/>
              </w:rPr>
              <w:t>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szCs w:val="24"/>
                <w:lang w:eastAsia="zh-Hans"/>
              </w:rPr>
              <w:t>本基金的基金经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2026</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13</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12</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月加入摩根基金管理</w:t>
            </w:r>
            <w:r>
              <w:rPr>
                <w:rFonts w:ascii="宋体" w:hAnsi="宋体" w:hint="eastAsia"/>
                <w:szCs w:val="24"/>
                <w:lang w:eastAsia="zh-Hans"/>
              </w:rPr>
              <w:t>(</w:t>
            </w:r>
            <w:r>
              <w:rPr>
                <w:rFonts w:ascii="宋体" w:hAnsi="宋体" w:hint="eastAsia"/>
                <w:szCs w:val="24"/>
                <w:lang w:eastAsia="zh-Hans"/>
              </w:rPr>
              <w:t>中国</w:t>
            </w:r>
            <w:r>
              <w:rPr>
                <w:rFonts w:ascii="宋体" w:hAnsi="宋体" w:hint="eastAsia"/>
                <w:szCs w:val="24"/>
                <w:lang w:eastAsia="zh-Hans"/>
              </w:rPr>
              <w:t>)</w:t>
            </w:r>
            <w:r>
              <w:rPr>
                <w:rFonts w:ascii="宋体" w:hAnsi="宋体" w:hint="eastAsia"/>
                <w:szCs w:val="24"/>
                <w:lang w:eastAsia="zh-Hans"/>
              </w:rPr>
              <w:t>有限公司，历任投资经理，现任指数及量化投资部基金经理</w:t>
            </w:r>
            <w:r>
              <w:rPr>
                <w:rFonts w:ascii="宋体" w:hAnsi="宋体" w:hint="eastAsia"/>
                <w:szCs w:val="24"/>
                <w:lang w:eastAsia="zh-Hans"/>
              </w:rPr>
              <w:t>。</w:t>
            </w:r>
          </w:p>
        </w:tc>
      </w:tr>
    </w:tbl>
    <w:p w:rsidR="006933ED" w:rsidRDefault="006933ED">
      <w:pPr>
        <w:wordWrap w:val="0"/>
        <w:spacing w:line="360" w:lineRule="auto"/>
        <w:jc w:val="left"/>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6933ED" w:rsidRDefault="006933ED">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r>
        <w:rPr>
          <w:rFonts w:hAnsi="宋体" w:hint="eastAsia"/>
        </w:rPr>
        <w:t>管理人对报告期内本基金运作遵规守信情况的说</w:t>
      </w:r>
      <w:r>
        <w:rPr>
          <w:rFonts w:hAnsi="宋体" w:hint="eastAsia"/>
        </w:rPr>
        <w:t>明</w:t>
      </w:r>
      <w:bookmarkEnd w:id="65"/>
      <w:bookmarkEnd w:id="66"/>
      <w:bookmarkEnd w:id="67"/>
      <w:bookmarkEnd w:id="68"/>
      <w:bookmarkEnd w:id="69"/>
      <w:r>
        <w:rPr>
          <w:rFonts w:hAnsi="宋体" w:hint="eastAsia"/>
        </w:rPr>
        <w:t xml:space="preserve"> </w:t>
      </w:r>
    </w:p>
    <w:p w:rsidR="006933ED" w:rsidRDefault="006933ED">
      <w:pPr>
        <w:spacing w:line="360" w:lineRule="auto"/>
        <w:ind w:firstLineChars="200" w:firstLine="420"/>
        <w:jc w:val="left"/>
        <w:rPr>
          <w:rFonts w:hint="eastAsia"/>
        </w:rPr>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6933ED" w:rsidRDefault="006933ED">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r>
        <w:rPr>
          <w:rFonts w:hAnsi="宋体" w:hint="eastAsia"/>
        </w:rPr>
        <w:t>公平交易专项说</w:t>
      </w:r>
      <w:r>
        <w:rPr>
          <w:rFonts w:hAnsi="宋体" w:hint="eastAsia"/>
        </w:rPr>
        <w:t>明</w:t>
      </w:r>
      <w:bookmarkEnd w:id="72"/>
      <w:bookmarkEnd w:id="73"/>
      <w:bookmarkEnd w:id="74"/>
      <w:bookmarkEnd w:id="75"/>
      <w:bookmarkEnd w:id="76"/>
      <w:r>
        <w:rPr>
          <w:rFonts w:hAnsi="宋体" w:hint="eastAsia"/>
        </w:rPr>
        <w:t xml:space="preserve"> </w:t>
      </w:r>
    </w:p>
    <w:p w:rsidR="006933ED" w:rsidRDefault="006933ED">
      <w:pPr>
        <w:pStyle w:val="XBRLTitle3"/>
        <w:spacing w:before="156"/>
        <w:ind w:left="0"/>
        <w:rPr>
          <w:rFonts w:hint="eastAsia"/>
        </w:rPr>
      </w:pPr>
      <w:bookmarkStart w:id="77" w:name="_Toc513386593"/>
      <w:bookmarkStart w:id="78" w:name="_Toc512519491"/>
      <w:bookmarkStart w:id="79" w:name="_Toc490050012"/>
      <w:bookmarkStart w:id="80" w:name="_Toc481075058"/>
      <w:bookmarkStart w:id="81" w:name="m404_01_0570"/>
      <w:r>
        <w:rPr>
          <w:rFonts w:hint="eastAsia"/>
        </w:rPr>
        <w:t>公平交易制度的执行情</w:t>
      </w:r>
      <w:r>
        <w:rPr>
          <w:rFonts w:hint="eastAsia"/>
        </w:rPr>
        <w:t>况</w:t>
      </w:r>
      <w:bookmarkEnd w:id="77"/>
      <w:bookmarkEnd w:id="78"/>
      <w:bookmarkEnd w:id="79"/>
      <w:bookmarkEnd w:id="80"/>
    </w:p>
    <w:p w:rsidR="006933ED" w:rsidRDefault="006933ED">
      <w:pPr>
        <w:spacing w:line="360" w:lineRule="auto"/>
        <w:ind w:firstLineChars="200" w:firstLine="420"/>
        <w:jc w:val="left"/>
        <w:rPr>
          <w:rFonts w:hint="eastAsia"/>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r>
        <w:rPr>
          <w:rFonts w:ascii="宋体" w:hAnsi="宋体" w:cs="宋体" w:hint="eastAsia"/>
          <w:color w:val="000000"/>
          <w:kern w:val="0"/>
        </w:rPr>
        <w:t>。</w:t>
      </w:r>
    </w:p>
    <w:p w:rsidR="006933ED" w:rsidRDefault="006933ED">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r>
        <w:rPr>
          <w:rFonts w:hint="eastAsia"/>
        </w:rPr>
        <w:t>异常交易行为的专项说</w:t>
      </w:r>
      <w:r>
        <w:rPr>
          <w:rFonts w:hint="eastAsia"/>
        </w:rPr>
        <w:t>明</w:t>
      </w:r>
      <w:bookmarkEnd w:id="82"/>
      <w:bookmarkEnd w:id="83"/>
      <w:bookmarkEnd w:id="84"/>
      <w:bookmarkEnd w:id="85"/>
    </w:p>
    <w:p w:rsidR="006933ED" w:rsidRDefault="006933ED">
      <w:pPr>
        <w:spacing w:line="360" w:lineRule="auto"/>
        <w:ind w:firstLineChars="200" w:firstLine="420"/>
        <w:jc w:val="left"/>
        <w:rPr>
          <w:rFonts w:hint="eastAsia"/>
        </w:rPr>
      </w:pPr>
      <w:r>
        <w:rPr>
          <w:rFonts w:ascii="宋体" w:hAnsi="宋体" w:cs="宋体" w:hint="eastAsia"/>
          <w:color w:val="000000"/>
          <w:kern w:val="0"/>
        </w:rPr>
        <w:t>报告期内，通过对交易价格、交易时间、交易方向等的分析，未发现有可能导致不公平交易和利益输送的异常交易行为。</w:t>
      </w:r>
      <w:r>
        <w:rPr>
          <w:rFonts w:ascii="宋体" w:hAnsi="宋体" w:cs="宋体" w:hint="eastAsia"/>
          <w:color w:val="000000"/>
          <w:kern w:val="0"/>
        </w:rPr>
        <w:br/>
      </w:r>
      <w:r>
        <w:rPr>
          <w:rFonts w:ascii="宋体" w:hAnsi="宋体" w:cs="宋体" w:hint="eastAsia"/>
          <w:color w:val="000000"/>
          <w:kern w:val="0"/>
        </w:rPr>
        <w:t xml:space="preserve">　　所有投资组合参与的交易所公开竞价同日反向交易成交较少的单边交易量超过该证券当日成交量的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6933ED" w:rsidRDefault="006933ED">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r>
        <w:rPr>
          <w:rFonts w:hAnsi="宋体" w:hint="eastAsia"/>
        </w:rPr>
        <w:t>报告期内基金的投资策略和运作分</w:t>
      </w:r>
      <w:r>
        <w:rPr>
          <w:rFonts w:hAnsi="宋体" w:hint="eastAsia"/>
        </w:rPr>
        <w:t>析</w:t>
      </w:r>
      <w:bookmarkEnd w:id="87"/>
      <w:bookmarkEnd w:id="88"/>
      <w:bookmarkEnd w:id="89"/>
      <w:bookmarkEnd w:id="90"/>
      <w:r>
        <w:rPr>
          <w:rFonts w:hAnsi="宋体" w:hint="eastAsia"/>
        </w:rPr>
        <w:t xml:space="preserve"> </w:t>
      </w:r>
    </w:p>
    <w:p w:rsidR="006933ED" w:rsidRDefault="006933ED">
      <w:pPr>
        <w:spacing w:line="360" w:lineRule="auto"/>
        <w:ind w:firstLineChars="200" w:firstLine="420"/>
        <w:jc w:val="left"/>
        <w:rPr>
          <w:rFonts w:hint="eastAsia"/>
        </w:rPr>
      </w:pPr>
      <w:r>
        <w:rPr>
          <w:rFonts w:ascii="宋体" w:hAnsi="宋体" w:cs="宋体" w:hint="eastAsia"/>
          <w:color w:val="000000"/>
          <w:kern w:val="0"/>
        </w:rPr>
        <w:t>恒生生物科技指数在</w:t>
      </w:r>
      <w:r>
        <w:rPr>
          <w:rFonts w:ascii="宋体" w:hAnsi="宋体" w:cs="宋体" w:hint="eastAsia"/>
          <w:color w:val="000000"/>
          <w:kern w:val="0"/>
        </w:rPr>
        <w:t>2026</w:t>
      </w:r>
      <w:r>
        <w:rPr>
          <w:rFonts w:ascii="宋体" w:hAnsi="宋体" w:cs="宋体" w:hint="eastAsia"/>
          <w:color w:val="000000"/>
          <w:kern w:val="0"/>
        </w:rPr>
        <w:t>年二季度呈现大幅下跌后小幅反弹的走势，季度整体收跌约</w:t>
      </w:r>
      <w:r>
        <w:rPr>
          <w:rFonts w:ascii="宋体" w:hAnsi="宋体" w:cs="宋体" w:hint="eastAsia"/>
          <w:color w:val="000000"/>
          <w:kern w:val="0"/>
        </w:rPr>
        <w:t>-13%</w:t>
      </w:r>
      <w:r>
        <w:rPr>
          <w:rFonts w:ascii="宋体" w:hAnsi="宋体" w:cs="宋体" w:hint="eastAsia"/>
          <w:color w:val="000000"/>
          <w:kern w:val="0"/>
        </w:rPr>
        <w:t>，季末最后一周强势反转上涨</w:t>
      </w:r>
      <w:r>
        <w:rPr>
          <w:rFonts w:ascii="宋体" w:hAnsi="宋体" w:cs="宋体" w:hint="eastAsia"/>
          <w:color w:val="000000"/>
          <w:kern w:val="0"/>
        </w:rPr>
        <w:t>9.89%</w:t>
      </w:r>
      <w:r>
        <w:rPr>
          <w:rFonts w:ascii="宋体" w:hAnsi="宋体" w:cs="宋体" w:hint="eastAsia"/>
          <w:color w:val="000000"/>
          <w:kern w:val="0"/>
        </w:rPr>
        <w:t>。产业资本在二季度发力</w:t>
      </w:r>
      <w:r>
        <w:rPr>
          <w:rFonts w:ascii="宋体" w:hAnsi="宋体" w:cs="宋体" w:hint="eastAsia"/>
          <w:color w:val="000000"/>
          <w:kern w:val="0"/>
        </w:rPr>
        <w:t>,</w:t>
      </w:r>
      <w:r>
        <w:rPr>
          <w:rFonts w:ascii="宋体" w:hAnsi="宋体" w:cs="宋体" w:hint="eastAsia"/>
          <w:color w:val="000000"/>
          <w:kern w:val="0"/>
        </w:rPr>
        <w:t>超</w:t>
      </w:r>
      <w:r>
        <w:rPr>
          <w:rFonts w:ascii="宋体" w:hAnsi="宋体" w:cs="宋体" w:hint="eastAsia"/>
          <w:color w:val="000000"/>
          <w:kern w:val="0"/>
        </w:rPr>
        <w:t>60</w:t>
      </w:r>
      <w:r>
        <w:rPr>
          <w:rFonts w:ascii="宋体" w:hAnsi="宋体" w:cs="宋体" w:hint="eastAsia"/>
          <w:color w:val="000000"/>
          <w:kern w:val="0"/>
        </w:rPr>
        <w:t>家港股医药企业二季度实施回购，年内累计金额超</w:t>
      </w:r>
      <w:r>
        <w:rPr>
          <w:rFonts w:ascii="宋体" w:hAnsi="宋体" w:cs="宋体" w:hint="eastAsia"/>
          <w:color w:val="000000"/>
          <w:kern w:val="0"/>
        </w:rPr>
        <w:t>78</w:t>
      </w:r>
      <w:r>
        <w:rPr>
          <w:rFonts w:ascii="宋体" w:hAnsi="宋体" w:cs="宋体" w:hint="eastAsia"/>
          <w:color w:val="000000"/>
          <w:kern w:val="0"/>
        </w:rPr>
        <w:t>亿港元，释放估值底部信号。指数在二季度维持季度成分股调整变化不大，前十大权重合计约</w:t>
      </w:r>
      <w:r>
        <w:rPr>
          <w:rFonts w:ascii="宋体" w:hAnsi="宋体" w:cs="宋体" w:hint="eastAsia"/>
          <w:color w:val="000000"/>
          <w:kern w:val="0"/>
        </w:rPr>
        <w:t>71%</w:t>
      </w:r>
      <w:r>
        <w:rPr>
          <w:rFonts w:ascii="宋体" w:hAnsi="宋体" w:cs="宋体" w:hint="eastAsia"/>
          <w:color w:val="000000"/>
          <w:kern w:val="0"/>
        </w:rPr>
        <w:t>，创新药</w:t>
      </w:r>
      <w:r>
        <w:rPr>
          <w:rFonts w:ascii="宋体" w:hAnsi="宋体" w:cs="宋体" w:hint="eastAsia"/>
          <w:color w:val="000000"/>
          <w:kern w:val="0"/>
        </w:rPr>
        <w:t>+CXO</w:t>
      </w:r>
      <w:r>
        <w:rPr>
          <w:rFonts w:ascii="宋体" w:hAnsi="宋体" w:cs="宋体" w:hint="eastAsia"/>
          <w:color w:val="000000"/>
          <w:kern w:val="0"/>
        </w:rPr>
        <w:t>权重近</w:t>
      </w:r>
      <w:r>
        <w:rPr>
          <w:rFonts w:ascii="宋体" w:hAnsi="宋体" w:cs="宋体" w:hint="eastAsia"/>
          <w:color w:val="000000"/>
          <w:kern w:val="0"/>
        </w:rPr>
        <w:t>90%</w:t>
      </w:r>
      <w:r>
        <w:rPr>
          <w:rFonts w:ascii="宋体" w:hAnsi="宋体" w:cs="宋体" w:hint="eastAsia"/>
          <w:color w:val="000000"/>
          <w:kern w:val="0"/>
        </w:rPr>
        <w:t>。产业层面，</w:t>
      </w:r>
      <w:r>
        <w:rPr>
          <w:rFonts w:ascii="宋体" w:hAnsi="宋体" w:cs="宋体" w:hint="eastAsia"/>
          <w:color w:val="000000"/>
          <w:kern w:val="0"/>
        </w:rPr>
        <w:t>Q1</w:t>
      </w:r>
      <w:r>
        <w:rPr>
          <w:rFonts w:ascii="宋体" w:hAnsi="宋体" w:cs="宋体" w:hint="eastAsia"/>
          <w:color w:val="000000"/>
          <w:kern w:val="0"/>
        </w:rPr>
        <w:t>国产创新药</w:t>
      </w:r>
      <w:r>
        <w:rPr>
          <w:rFonts w:ascii="宋体" w:hAnsi="宋体" w:cs="宋体" w:hint="eastAsia"/>
          <w:color w:val="000000"/>
          <w:kern w:val="0"/>
        </w:rPr>
        <w:t>BD</w:t>
      </w:r>
      <w:r>
        <w:rPr>
          <w:rFonts w:ascii="宋体" w:hAnsi="宋体" w:cs="宋体" w:hint="eastAsia"/>
          <w:color w:val="000000"/>
          <w:kern w:val="0"/>
        </w:rPr>
        <w:t>（</w:t>
      </w:r>
      <w:r>
        <w:rPr>
          <w:rFonts w:ascii="宋体" w:hAnsi="宋体" w:cs="宋体" w:hint="eastAsia"/>
          <w:color w:val="000000"/>
          <w:kern w:val="0"/>
        </w:rPr>
        <w:t xml:space="preserve">Business development, </w:t>
      </w:r>
      <w:r>
        <w:rPr>
          <w:rFonts w:ascii="宋体" w:hAnsi="宋体" w:cs="宋体" w:hint="eastAsia"/>
          <w:color w:val="000000"/>
          <w:kern w:val="0"/>
        </w:rPr>
        <w:t>商务拓展）交易额达</w:t>
      </w:r>
      <w:r>
        <w:rPr>
          <w:rFonts w:ascii="宋体" w:hAnsi="宋体" w:cs="宋体" w:hint="eastAsia"/>
          <w:color w:val="000000"/>
          <w:kern w:val="0"/>
        </w:rPr>
        <w:t>614</w:t>
      </w:r>
      <w:r>
        <w:rPr>
          <w:rFonts w:ascii="宋体" w:hAnsi="宋体" w:cs="宋体" w:hint="eastAsia"/>
          <w:color w:val="000000"/>
          <w:kern w:val="0"/>
        </w:rPr>
        <w:t>亿美元（超</w:t>
      </w:r>
      <w:r>
        <w:rPr>
          <w:rFonts w:ascii="宋体" w:hAnsi="宋体" w:cs="宋体" w:hint="eastAsia"/>
          <w:color w:val="000000"/>
          <w:kern w:val="0"/>
        </w:rPr>
        <w:t>2024</w:t>
      </w:r>
      <w:r>
        <w:rPr>
          <w:rFonts w:ascii="宋体" w:hAnsi="宋体" w:cs="宋体" w:hint="eastAsia"/>
          <w:color w:val="000000"/>
          <w:kern w:val="0"/>
        </w:rPr>
        <w:t>全年），</w:t>
      </w:r>
      <w:r>
        <w:rPr>
          <w:rFonts w:ascii="宋体" w:hAnsi="宋体" w:cs="宋体" w:hint="eastAsia"/>
          <w:color w:val="000000"/>
          <w:kern w:val="0"/>
        </w:rPr>
        <w:t>ASCO 2026</w:t>
      </w:r>
      <w:r>
        <w:rPr>
          <w:rFonts w:ascii="宋体" w:hAnsi="宋体" w:cs="宋体" w:hint="eastAsia"/>
          <w:color w:val="000000"/>
          <w:kern w:val="0"/>
        </w:rPr>
        <w:t>中国药企</w:t>
      </w:r>
      <w:r>
        <w:rPr>
          <w:rFonts w:ascii="宋体" w:hAnsi="宋体" w:cs="宋体" w:hint="eastAsia"/>
          <w:color w:val="000000"/>
          <w:kern w:val="0"/>
        </w:rPr>
        <w:t>LBA</w:t>
      </w:r>
      <w:r>
        <w:rPr>
          <w:rFonts w:ascii="宋体" w:hAnsi="宋体" w:cs="宋体" w:hint="eastAsia"/>
          <w:color w:val="000000"/>
          <w:kern w:val="0"/>
        </w:rPr>
        <w:t>（</w:t>
      </w:r>
      <w:r>
        <w:rPr>
          <w:rFonts w:ascii="宋体" w:hAnsi="宋体" w:cs="宋体" w:hint="eastAsia"/>
          <w:color w:val="000000"/>
          <w:kern w:val="0"/>
        </w:rPr>
        <w:t xml:space="preserve">Late-Breaking Abstract, </w:t>
      </w:r>
      <w:r>
        <w:rPr>
          <w:rFonts w:ascii="宋体" w:hAnsi="宋体" w:cs="宋体" w:hint="eastAsia"/>
          <w:color w:val="000000"/>
          <w:kern w:val="0"/>
        </w:rPr>
        <w:t>突破性摘要）入选数创历史新高。</w:t>
      </w:r>
      <w:r>
        <w:rPr>
          <w:rFonts w:ascii="宋体" w:hAnsi="宋体" w:cs="宋体" w:hint="eastAsia"/>
          <w:color w:val="000000"/>
          <w:kern w:val="0"/>
        </w:rPr>
        <w:t>6</w:t>
      </w:r>
      <w:r>
        <w:rPr>
          <w:rFonts w:ascii="宋体" w:hAnsi="宋体" w:cs="宋体" w:hint="eastAsia"/>
          <w:color w:val="000000"/>
          <w:kern w:val="0"/>
        </w:rPr>
        <w:t>月</w:t>
      </w:r>
      <w:r>
        <w:rPr>
          <w:rFonts w:ascii="宋体" w:hAnsi="宋体" w:cs="宋体" w:hint="eastAsia"/>
          <w:color w:val="000000"/>
          <w:kern w:val="0"/>
        </w:rPr>
        <w:t>29</w:t>
      </w:r>
      <w:r>
        <w:rPr>
          <w:rFonts w:ascii="宋体" w:hAnsi="宋体" w:cs="宋体" w:hint="eastAsia"/>
          <w:color w:val="000000"/>
          <w:kern w:val="0"/>
        </w:rPr>
        <w:t>日医保</w:t>
      </w:r>
      <w:r>
        <w:rPr>
          <w:rFonts w:ascii="宋体" w:hAnsi="宋体" w:cs="宋体" w:hint="eastAsia"/>
          <w:color w:val="000000"/>
          <w:kern w:val="0"/>
        </w:rPr>
        <w:t>+</w:t>
      </w:r>
      <w:r>
        <w:rPr>
          <w:rFonts w:ascii="宋体" w:hAnsi="宋体" w:cs="宋体" w:hint="eastAsia"/>
          <w:color w:val="000000"/>
          <w:kern w:val="0"/>
        </w:rPr>
        <w:t>商保双目录初审名单公布（</w:t>
      </w:r>
      <w:r>
        <w:rPr>
          <w:rFonts w:ascii="宋体" w:hAnsi="宋体" w:cs="宋体" w:hint="eastAsia"/>
          <w:color w:val="000000"/>
          <w:kern w:val="0"/>
        </w:rPr>
        <w:t>557</w:t>
      </w:r>
      <w:r>
        <w:rPr>
          <w:rFonts w:ascii="宋体" w:hAnsi="宋体" w:cs="宋体" w:hint="eastAsia"/>
          <w:color w:val="000000"/>
          <w:kern w:val="0"/>
        </w:rPr>
        <w:t>个药品通过医保初审、</w:t>
      </w:r>
      <w:r>
        <w:rPr>
          <w:rFonts w:ascii="宋体" w:hAnsi="宋体" w:cs="宋体" w:hint="eastAsia"/>
          <w:color w:val="000000"/>
          <w:kern w:val="0"/>
        </w:rPr>
        <w:t>54</w:t>
      </w:r>
      <w:r>
        <w:rPr>
          <w:rFonts w:ascii="宋体" w:hAnsi="宋体" w:cs="宋体" w:hint="eastAsia"/>
          <w:color w:val="000000"/>
          <w:kern w:val="0"/>
        </w:rPr>
        <w:t>个通过商保创新药目录初审），成为板块的核心催化剂。</w:t>
      </w:r>
      <w:r>
        <w:rPr>
          <w:rFonts w:ascii="宋体" w:hAnsi="宋体" w:cs="宋体" w:hint="eastAsia"/>
          <w:color w:val="000000"/>
          <w:kern w:val="0"/>
        </w:rPr>
        <w:br/>
      </w:r>
      <w:r>
        <w:rPr>
          <w:rFonts w:ascii="宋体" w:hAnsi="宋体" w:cs="宋体" w:hint="eastAsia"/>
          <w:color w:val="000000"/>
          <w:kern w:val="0"/>
        </w:rPr>
        <w:t xml:space="preserve">　　本基金采用完全复制法跟踪标的指数，按照标的指数成份股及其权重构建基金的股票投资组合，并根据标的指数成份股及其权重的变动对股票投资组合进行相应调整，以实现基金的投资目标并争取将跟踪误差保持在合理范围内。</w:t>
      </w:r>
      <w:r>
        <w:rPr>
          <w:rFonts w:ascii="宋体" w:hAnsi="宋体" w:cs="宋体" w:hint="eastAsia"/>
          <w:color w:val="000000"/>
          <w:kern w:val="0"/>
        </w:rPr>
        <w:br/>
      </w:r>
      <w:r>
        <w:rPr>
          <w:rFonts w:ascii="宋体" w:hAnsi="宋体" w:cs="宋体" w:hint="eastAsia"/>
          <w:color w:val="000000"/>
          <w:kern w:val="0"/>
        </w:rPr>
        <w:t xml:space="preserve">　　展望未来，中报是三季度核心变量。中长期来看，指数</w:t>
      </w:r>
      <w:r>
        <w:rPr>
          <w:rFonts w:ascii="宋体" w:hAnsi="宋体" w:cs="宋体" w:hint="eastAsia"/>
          <w:color w:val="000000"/>
          <w:kern w:val="0"/>
        </w:rPr>
        <w:t>PE</w:t>
      </w:r>
      <w:r>
        <w:rPr>
          <w:rFonts w:ascii="宋体" w:hAnsi="宋体" w:cs="宋体" w:hint="eastAsia"/>
          <w:color w:val="000000"/>
          <w:kern w:val="0"/>
        </w:rPr>
        <w:t>约</w:t>
      </w:r>
      <w:r>
        <w:rPr>
          <w:rFonts w:ascii="宋体" w:hAnsi="宋体" w:cs="宋体" w:hint="eastAsia"/>
          <w:color w:val="000000"/>
          <w:kern w:val="0"/>
        </w:rPr>
        <w:t>29</w:t>
      </w:r>
      <w:r>
        <w:rPr>
          <w:rFonts w:ascii="宋体" w:hAnsi="宋体" w:cs="宋体" w:hint="eastAsia"/>
          <w:color w:val="000000"/>
          <w:kern w:val="0"/>
        </w:rPr>
        <w:t>倍处于近十年</w:t>
      </w:r>
      <w:r>
        <w:rPr>
          <w:rFonts w:ascii="宋体" w:hAnsi="宋体" w:cs="宋体" w:hint="eastAsia"/>
          <w:color w:val="000000"/>
          <w:kern w:val="0"/>
        </w:rPr>
        <w:t>30%</w:t>
      </w:r>
      <w:r>
        <w:rPr>
          <w:rFonts w:ascii="宋体" w:hAnsi="宋体" w:cs="宋体" w:hint="eastAsia"/>
          <w:color w:val="000000"/>
          <w:kern w:val="0"/>
        </w:rPr>
        <w:t>分位以下，</w:t>
      </w:r>
      <w:r>
        <w:rPr>
          <w:rFonts w:ascii="宋体" w:hAnsi="宋体" w:cs="宋体" w:hint="eastAsia"/>
          <w:color w:val="000000"/>
          <w:kern w:val="0"/>
        </w:rPr>
        <w:t>PEG</w:t>
      </w:r>
      <w:r>
        <w:rPr>
          <w:rFonts w:ascii="宋体" w:hAnsi="宋体" w:cs="宋体" w:hint="eastAsia"/>
          <w:color w:val="000000"/>
          <w:kern w:val="0"/>
        </w:rPr>
        <w:t>显著低于纳斯达克生物科技指数。中国创新药核心资产的估值仍在全球范</w:t>
      </w:r>
      <w:r>
        <w:rPr>
          <w:rFonts w:ascii="宋体" w:hAnsi="宋体" w:cs="宋体" w:hint="eastAsia"/>
          <w:color w:val="000000"/>
          <w:kern w:val="0"/>
        </w:rPr>
        <w:t>围内相对低估，</w:t>
      </w:r>
      <w:r>
        <w:rPr>
          <w:rFonts w:ascii="宋体" w:hAnsi="宋体" w:cs="宋体" w:hint="eastAsia"/>
          <w:color w:val="000000"/>
          <w:kern w:val="0"/>
        </w:rPr>
        <w:t>BD</w:t>
      </w:r>
      <w:r>
        <w:rPr>
          <w:rFonts w:ascii="宋体" w:hAnsi="宋体" w:cs="宋体" w:hint="eastAsia"/>
          <w:color w:val="000000"/>
          <w:kern w:val="0"/>
        </w:rPr>
        <w:t>出海从</w:t>
      </w:r>
      <w:r>
        <w:rPr>
          <w:rFonts w:ascii="宋体" w:hAnsi="宋体" w:cs="宋体" w:hint="eastAsia"/>
          <w:color w:val="000000"/>
          <w:kern w:val="0"/>
        </w:rPr>
        <w:t>"</w:t>
      </w:r>
      <w:r>
        <w:rPr>
          <w:rFonts w:ascii="宋体" w:hAnsi="宋体" w:cs="宋体" w:hint="eastAsia"/>
          <w:color w:val="000000"/>
          <w:kern w:val="0"/>
        </w:rPr>
        <w:t>偶发事件</w:t>
      </w:r>
      <w:r>
        <w:rPr>
          <w:rFonts w:ascii="宋体" w:hAnsi="宋体" w:cs="宋体" w:hint="eastAsia"/>
          <w:color w:val="000000"/>
          <w:kern w:val="0"/>
        </w:rPr>
        <w:t>"</w:t>
      </w:r>
      <w:r>
        <w:rPr>
          <w:rFonts w:ascii="宋体" w:hAnsi="宋体" w:cs="宋体" w:hint="eastAsia"/>
          <w:color w:val="000000"/>
          <w:kern w:val="0"/>
        </w:rPr>
        <w:t>转为</w:t>
      </w:r>
      <w:r>
        <w:rPr>
          <w:rFonts w:ascii="宋体" w:hAnsi="宋体" w:cs="宋体" w:hint="eastAsia"/>
          <w:color w:val="000000"/>
          <w:kern w:val="0"/>
        </w:rPr>
        <w:t>"</w:t>
      </w:r>
      <w:r>
        <w:rPr>
          <w:rFonts w:ascii="宋体" w:hAnsi="宋体" w:cs="宋体" w:hint="eastAsia"/>
          <w:color w:val="000000"/>
          <w:kern w:val="0"/>
        </w:rPr>
        <w:t>系统性趋势</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医保</w:t>
      </w:r>
      <w:r>
        <w:rPr>
          <w:rFonts w:ascii="宋体" w:hAnsi="宋体" w:cs="宋体" w:hint="eastAsia"/>
          <w:color w:val="000000"/>
          <w:kern w:val="0"/>
        </w:rPr>
        <w:t>+</w:t>
      </w:r>
      <w:r>
        <w:rPr>
          <w:rFonts w:ascii="宋体" w:hAnsi="宋体" w:cs="宋体" w:hint="eastAsia"/>
          <w:color w:val="000000"/>
          <w:kern w:val="0"/>
        </w:rPr>
        <w:t>商保</w:t>
      </w:r>
      <w:r>
        <w:rPr>
          <w:rFonts w:ascii="宋体" w:hAnsi="宋体" w:cs="宋体" w:hint="eastAsia"/>
          <w:color w:val="000000"/>
          <w:kern w:val="0"/>
        </w:rPr>
        <w:t>"</w:t>
      </w:r>
      <w:r>
        <w:rPr>
          <w:rFonts w:ascii="宋体" w:hAnsi="宋体" w:cs="宋体" w:hint="eastAsia"/>
          <w:color w:val="000000"/>
          <w:kern w:val="0"/>
        </w:rPr>
        <w:t>双轨准入制度红利逐步释放，政策预期叠加产业升级催化下，配置型资金有望进一步回流港股生物科技核心资产</w:t>
      </w:r>
      <w:r>
        <w:rPr>
          <w:rFonts w:ascii="宋体" w:hAnsi="宋体" w:cs="宋体" w:hint="eastAsia"/>
          <w:color w:val="000000"/>
          <w:kern w:val="0"/>
        </w:rPr>
        <w:t>。</w:t>
      </w:r>
    </w:p>
    <w:p w:rsidR="006933ED" w:rsidRDefault="006933ED">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r>
        <w:rPr>
          <w:rFonts w:hAnsi="宋体" w:hint="eastAsia"/>
        </w:rPr>
        <w:t>报告期内基金的业绩表</w:t>
      </w:r>
      <w:r>
        <w:rPr>
          <w:rFonts w:hAnsi="宋体" w:hint="eastAsia"/>
        </w:rPr>
        <w:t>现</w:t>
      </w:r>
      <w:bookmarkEnd w:id="92"/>
      <w:bookmarkEnd w:id="93"/>
      <w:bookmarkEnd w:id="94"/>
      <w:bookmarkEnd w:id="95"/>
      <w:r>
        <w:rPr>
          <w:rFonts w:hAnsi="宋体" w:hint="eastAsia"/>
        </w:rPr>
        <w:t xml:space="preserve"> </w:t>
      </w:r>
      <w:bookmarkEnd w:id="96"/>
    </w:p>
    <w:p w:rsidR="006933ED" w:rsidRDefault="006933ED">
      <w:pPr>
        <w:spacing w:line="360" w:lineRule="auto"/>
        <w:ind w:firstLineChars="200" w:firstLine="420"/>
        <w:divId w:val="1833989658"/>
        <w:rPr>
          <w:rFonts w:hint="eastAsia"/>
        </w:rPr>
      </w:pPr>
      <w:r>
        <w:rPr>
          <w:rFonts w:ascii="宋体" w:hAnsi="宋体" w:hint="eastAsia"/>
        </w:rPr>
        <w:t>本报告期摩根恒生生物科技</w:t>
      </w:r>
      <w:r>
        <w:rPr>
          <w:rFonts w:ascii="宋体" w:hAnsi="宋体" w:hint="eastAsia"/>
        </w:rPr>
        <w:t>ETF</w:t>
      </w:r>
      <w:r>
        <w:rPr>
          <w:rFonts w:ascii="宋体" w:hAnsi="宋体" w:hint="eastAsia"/>
        </w:rPr>
        <w:t>份额净值增长率为</w:t>
      </w:r>
      <w:r>
        <w:rPr>
          <w:rFonts w:ascii="宋体" w:hAnsi="宋体" w:hint="eastAsia"/>
        </w:rPr>
        <w:t>:-13.94%</w:t>
      </w:r>
      <w:r>
        <w:rPr>
          <w:rFonts w:ascii="宋体" w:hAnsi="宋体" w:hint="eastAsia"/>
        </w:rPr>
        <w:t>，同期业绩比较基准收益率为</w:t>
      </w:r>
      <w:r>
        <w:rPr>
          <w:rFonts w:ascii="宋体" w:hAnsi="宋体" w:hint="eastAsia"/>
        </w:rPr>
        <w:t>:-14.34%</w:t>
      </w:r>
      <w:r>
        <w:rPr>
          <w:rFonts w:ascii="宋体" w:hAnsi="宋体" w:hint="eastAsia"/>
        </w:rPr>
        <w:t>。</w:t>
      </w:r>
    </w:p>
    <w:p w:rsidR="006933ED" w:rsidRDefault="006933ED">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r>
        <w:rPr>
          <w:rFonts w:hAnsi="宋体" w:hint="eastAsia"/>
        </w:rPr>
        <w:t>报告期内基金持有人数或基金资产净值预警说</w:t>
      </w:r>
      <w:r>
        <w:rPr>
          <w:rFonts w:hAnsi="宋体" w:hint="eastAsia"/>
        </w:rPr>
        <w:t>明</w:t>
      </w:r>
      <w:bookmarkEnd w:id="98"/>
      <w:bookmarkEnd w:id="99"/>
      <w:bookmarkEnd w:id="100"/>
      <w:bookmarkEnd w:id="101"/>
      <w:bookmarkEnd w:id="102"/>
      <w:r>
        <w:rPr>
          <w:rFonts w:hAnsi="宋体" w:hint="eastAsia"/>
        </w:rPr>
        <w:t xml:space="preserve"> </w:t>
      </w:r>
    </w:p>
    <w:p w:rsidR="006933ED" w:rsidRDefault="006933ED">
      <w:pPr>
        <w:spacing w:line="360" w:lineRule="auto"/>
        <w:ind w:firstLineChars="200" w:firstLine="420"/>
        <w:jc w:val="left"/>
        <w:rPr>
          <w:rFonts w:hint="eastAsia"/>
        </w:rPr>
      </w:pPr>
      <w:r>
        <w:rPr>
          <w:rFonts w:ascii="宋体" w:hAnsi="宋体" w:hint="eastAsia"/>
        </w:rPr>
        <w:t>无</w:t>
      </w:r>
      <w:r>
        <w:rPr>
          <w:rFonts w:ascii="宋体" w:hAnsi="宋体" w:hint="eastAsia"/>
        </w:rPr>
        <w:t>。</w:t>
      </w:r>
    </w:p>
    <w:p w:rsidR="006933ED" w:rsidRDefault="006933ED">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r>
        <w:rPr>
          <w:rFonts w:hAnsi="宋体" w:hint="eastAsia"/>
        </w:rPr>
        <w:t>投资组合报</w:t>
      </w:r>
      <w:r>
        <w:rPr>
          <w:rFonts w:hAnsi="宋体" w:hint="eastAsia"/>
        </w:rPr>
        <w:t>告</w:t>
      </w:r>
      <w:bookmarkEnd w:id="104"/>
      <w:bookmarkEnd w:id="105"/>
      <w:bookmarkEnd w:id="106"/>
      <w:bookmarkEnd w:id="107"/>
      <w:bookmarkEnd w:id="108"/>
      <w:r>
        <w:rPr>
          <w:rFonts w:hAnsi="宋体" w:hint="eastAsia"/>
        </w:rPr>
        <w:t xml:space="preserve"> </w:t>
      </w:r>
    </w:p>
    <w:p w:rsidR="006933ED" w:rsidRDefault="006933ED">
      <w:pPr>
        <w:pStyle w:val="XBRLTitle2"/>
        <w:spacing w:before="156" w:line="360" w:lineRule="auto"/>
        <w:ind w:left="454"/>
        <w:rPr>
          <w:rFonts w:hint="eastAsia"/>
        </w:rPr>
      </w:pPr>
      <w:bookmarkStart w:id="109" w:name="_Toc513386599"/>
      <w:bookmarkStart w:id="110" w:name="_Toc512519497"/>
      <w:bookmarkStart w:id="111" w:name="_Toc490050018"/>
      <w:bookmarkStart w:id="112" w:name="_Toc438646467"/>
      <w:bookmarkStart w:id="113" w:name="_Toc481075065"/>
      <w:bookmarkStart w:id="114" w:name="m501"/>
      <w:r>
        <w:rPr>
          <w:rFonts w:hAnsi="宋体" w:hint="eastAsia"/>
        </w:rPr>
        <w:lastRenderedPageBreak/>
        <w:t>报告期末基金资产组合情</w:t>
      </w:r>
      <w:r>
        <w:rPr>
          <w:rFonts w:hAnsi="宋体" w:hint="eastAsia"/>
        </w:rPr>
        <w:t>况</w:t>
      </w:r>
      <w:bookmarkEnd w:id="109"/>
      <w:bookmarkEnd w:id="110"/>
      <w:bookmarkEnd w:id="111"/>
      <w:bookmarkEnd w:id="112"/>
      <w:bookmarkEnd w:id="113"/>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rPr>
                <w:rFonts w:hint="eastAsia"/>
              </w:rP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164,257,576.4</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97.9</w:t>
            </w:r>
            <w:r>
              <w:rPr>
                <w:rFonts w:ascii="宋体" w:hAnsi="宋体" w:hint="eastAsia"/>
                <w:szCs w:val="24"/>
                <w:lang w:eastAsia="zh-Hans"/>
              </w:rPr>
              <w:t>3</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164,257,576.4</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97.9</w:t>
            </w:r>
            <w:r>
              <w:rPr>
                <w:rFonts w:ascii="宋体" w:hAnsi="宋体" w:hint="eastAsia"/>
                <w:szCs w:val="24"/>
                <w:lang w:eastAsia="zh-Hans"/>
              </w:rPr>
              <w:t>3</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1,332,855.7</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0.7</w:t>
            </w:r>
            <w:r>
              <w:rPr>
                <w:rFonts w:ascii="宋体" w:hAnsi="宋体" w:hint="eastAsia"/>
                <w:szCs w:val="24"/>
                <w:lang w:eastAsia="zh-Hans"/>
              </w:rPr>
              <w:t>9</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2,143,566.6</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1.2</w:t>
            </w:r>
            <w:r>
              <w:rPr>
                <w:rFonts w:ascii="宋体" w:hAnsi="宋体" w:hint="eastAsia"/>
                <w:szCs w:val="24"/>
                <w:lang w:eastAsia="zh-Hans"/>
              </w:rPr>
              <w:t>8</w:t>
            </w:r>
          </w:p>
        </w:tc>
      </w:tr>
      <w:tr w:rsidR="00000000">
        <w:trPr>
          <w:divId w:val="16322440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6933ED" w:rsidRDefault="006933E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6933ED" w:rsidRDefault="006933E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167,733,998.8</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6933ED" w:rsidRDefault="006933ED">
            <w:pPr>
              <w:jc w:val="right"/>
            </w:pPr>
            <w:r>
              <w:rPr>
                <w:rFonts w:ascii="宋体" w:hAnsi="宋体" w:hint="eastAsia"/>
                <w:szCs w:val="24"/>
                <w:lang w:eastAsia="zh-Hans"/>
              </w:rPr>
              <w:t>100.0</w:t>
            </w:r>
            <w:r>
              <w:rPr>
                <w:rFonts w:ascii="宋体" w:hAnsi="宋体" w:hint="eastAsia"/>
                <w:szCs w:val="24"/>
                <w:lang w:eastAsia="zh-Hans"/>
              </w:rPr>
              <w:t>0</w:t>
            </w:r>
          </w:p>
        </w:tc>
      </w:tr>
    </w:tbl>
    <w:p w:rsidR="006933ED" w:rsidRDefault="006933ED">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rPr>
        <w:t>本基金本报告期末通过港股通交易机制投资的港股公允价值为人民币</w:t>
      </w:r>
      <w:r>
        <w:rPr>
          <w:rFonts w:ascii="宋体" w:hAnsi="宋体" w:hint="eastAsia"/>
        </w:rPr>
        <w:t>164,257,576.44</w:t>
      </w:r>
      <w:r>
        <w:rPr>
          <w:rFonts w:ascii="宋体" w:hAnsi="宋体" w:hint="eastAsia"/>
        </w:rPr>
        <w:t>元</w:t>
      </w:r>
      <w:r>
        <w:rPr>
          <w:rFonts w:ascii="宋体" w:hAnsi="宋体" w:hint="eastAsia"/>
        </w:rPr>
        <w:t>,</w:t>
      </w:r>
      <w:r>
        <w:rPr>
          <w:rFonts w:ascii="宋体" w:hAnsi="宋体" w:hint="eastAsia"/>
        </w:rPr>
        <w:t>占期末净值比例为</w:t>
      </w:r>
      <w:r>
        <w:rPr>
          <w:rFonts w:ascii="宋体" w:hAnsi="宋体" w:hint="eastAsia"/>
        </w:rPr>
        <w:t>98.96%</w:t>
      </w:r>
      <w:r>
        <w:rPr>
          <w:rFonts w:ascii="宋体" w:hAnsi="宋体" w:hint="eastAsia"/>
        </w:rPr>
        <w:t>。</w:t>
      </w:r>
    </w:p>
    <w:p w:rsidR="006933ED" w:rsidRDefault="006933ED">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r>
        <w:rPr>
          <w:rFonts w:hAnsi="宋体" w:hint="eastAsia"/>
        </w:rPr>
        <w:t>报告期末按行业分类的股票投资组</w:t>
      </w:r>
      <w:r>
        <w:rPr>
          <w:rFonts w:hAnsi="宋体" w:hint="eastAsia"/>
        </w:rPr>
        <w:t>合</w:t>
      </w:r>
      <w:bookmarkEnd w:id="116"/>
      <w:bookmarkEnd w:id="117"/>
      <w:bookmarkEnd w:id="118"/>
      <w:bookmarkEnd w:id="119"/>
      <w:bookmarkEnd w:id="120"/>
      <w:r>
        <w:rPr>
          <w:rFonts w:hAnsi="宋体" w:hint="eastAsia"/>
          <w:lang w:eastAsia="zh-CN"/>
        </w:rPr>
        <w:t xml:space="preserve"> </w:t>
      </w:r>
    </w:p>
    <w:p w:rsidR="006933ED" w:rsidRDefault="006933ED">
      <w:pPr>
        <w:pStyle w:val="XBRLTitle3"/>
        <w:spacing w:before="156"/>
        <w:ind w:left="0"/>
        <w:rPr>
          <w:rFonts w:hint="eastAsia"/>
        </w:rPr>
      </w:pPr>
      <w:bookmarkStart w:id="121" w:name="_Toc513386601"/>
      <w:bookmarkStart w:id="122" w:name="_Toc512519499"/>
      <w:bookmarkStart w:id="123" w:name="_Toc490050020"/>
      <w:bookmarkStart w:id="124" w:name="_Toc481075067"/>
      <w:r>
        <w:rPr>
          <w:rFonts w:hint="eastAsia"/>
        </w:rPr>
        <w:t>报告期末指数投资按行业分类的境内股票投资组</w:t>
      </w:r>
      <w:r>
        <w:rPr>
          <w:rFonts w:hint="eastAsia"/>
        </w:rPr>
        <w:t>合</w:t>
      </w:r>
      <w:bookmarkEnd w:id="121"/>
      <w:r>
        <w:rPr>
          <w:rFonts w:hint="eastAsia"/>
          <w:lang w:eastAsia="zh-CN"/>
        </w:rPr>
        <w:t xml:space="preserve"> </w:t>
      </w:r>
    </w:p>
    <w:p w:rsidR="006933ED" w:rsidRDefault="006933ED">
      <w:pPr>
        <w:spacing w:line="360" w:lineRule="auto"/>
        <w:ind w:firstLineChars="200" w:firstLine="420"/>
        <w:rPr>
          <w:rFonts w:hint="eastAsia"/>
        </w:rPr>
      </w:pPr>
      <w:r>
        <w:rPr>
          <w:rFonts w:ascii="宋体" w:hAnsi="宋体" w:hint="eastAsia"/>
          <w:szCs w:val="21"/>
          <w:lang w:eastAsia="zh-Hans"/>
        </w:rPr>
        <w:t>本基金本报告期末未持有指数投资股票</w:t>
      </w:r>
      <w:r>
        <w:rPr>
          <w:rFonts w:ascii="宋体" w:hAnsi="宋体" w:hint="eastAsia"/>
          <w:szCs w:val="21"/>
          <w:lang w:eastAsia="zh-Hans"/>
        </w:rPr>
        <w:t>。</w:t>
      </w:r>
    </w:p>
    <w:p w:rsidR="006933ED" w:rsidRDefault="006933ED">
      <w:pPr>
        <w:pStyle w:val="XBRLTitle3"/>
        <w:spacing w:before="156"/>
        <w:ind w:left="0"/>
      </w:pPr>
      <w:bookmarkStart w:id="125" w:name="_Toc513386602"/>
      <w:r>
        <w:rPr>
          <w:rFonts w:hint="eastAsia"/>
        </w:rPr>
        <w:t>报告期末积极投资按行业分类的境内股票投资组</w:t>
      </w:r>
      <w:r>
        <w:rPr>
          <w:rFonts w:hint="eastAsia"/>
        </w:rPr>
        <w:t>合</w:t>
      </w:r>
      <w:bookmarkEnd w:id="125"/>
      <w:r>
        <w:rPr>
          <w:rFonts w:hint="eastAsia"/>
          <w:lang w:eastAsia="zh-CN"/>
        </w:rPr>
        <w:t xml:space="preserve"> </w:t>
      </w:r>
      <w:bookmarkEnd w:id="122"/>
      <w:bookmarkEnd w:id="123"/>
      <w:bookmarkEnd w:id="124"/>
    </w:p>
    <w:p w:rsidR="006933ED" w:rsidRDefault="006933ED">
      <w:pPr>
        <w:spacing w:line="360" w:lineRule="auto"/>
        <w:ind w:firstLineChars="200" w:firstLine="420"/>
        <w:rPr>
          <w:rFonts w:hint="eastAsia"/>
        </w:rPr>
      </w:pPr>
      <w:r>
        <w:rPr>
          <w:rFonts w:ascii="宋体" w:hAnsi="宋体" w:hint="eastAsia"/>
          <w:szCs w:val="21"/>
          <w:lang w:eastAsia="zh-Hans"/>
        </w:rPr>
        <w:t>本基金本报告期末未持有积极投资股票</w:t>
      </w:r>
      <w:r>
        <w:rPr>
          <w:rFonts w:ascii="宋体" w:hAnsi="宋体" w:hint="eastAsia"/>
          <w:szCs w:val="21"/>
          <w:lang w:eastAsia="zh-Hans"/>
        </w:rPr>
        <w:t>。</w:t>
      </w:r>
    </w:p>
    <w:p w:rsidR="006933ED" w:rsidRDefault="006933ED">
      <w:pPr>
        <w:pStyle w:val="XBRLTitle3"/>
        <w:spacing w:before="156"/>
        <w:ind w:left="0"/>
      </w:pPr>
      <w:bookmarkStart w:id="126" w:name="_Toc513386603"/>
      <w:bookmarkStart w:id="127" w:name="_Toc512519500"/>
      <w:bookmarkStart w:id="128" w:name="_Toc490050021"/>
      <w:bookmarkStart w:id="129" w:name="_Toc481075068"/>
      <w:bookmarkStart w:id="130" w:name="m502_tab"/>
      <w:r>
        <w:rPr>
          <w:rFonts w:hint="eastAsia"/>
        </w:rPr>
        <w:t>报告期末按行业分类的港股通投资股票投资组</w:t>
      </w:r>
      <w:r>
        <w:rPr>
          <w:rFonts w:hint="eastAsia"/>
        </w:rPr>
        <w:t>合</w:t>
      </w:r>
      <w:bookmarkEnd w:id="126"/>
      <w:bookmarkEnd w:id="127"/>
      <w:bookmarkEnd w:id="128"/>
      <w:bookmarkEnd w:id="12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933ED" w:rsidRDefault="006933ED">
            <w:pPr>
              <w:jc w:val="center"/>
              <w:rPr>
                <w:rFonts w:hint="eastAsia"/>
              </w:rPr>
            </w:pPr>
            <w:r>
              <w:rPr>
                <w:rFonts w:ascii="宋体" w:hAnsi="宋体" w:hint="eastAsia"/>
                <w:color w:val="000000"/>
              </w:rPr>
              <w:t>行业类别</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933ED" w:rsidRDefault="006933ED">
            <w:pPr>
              <w:jc w:val="center"/>
            </w:pPr>
            <w:r>
              <w:rPr>
                <w:rFonts w:ascii="宋体" w:hAnsi="宋体" w:hint="eastAsia"/>
                <w:color w:val="000000"/>
              </w:rPr>
              <w:t>公允价值（人民币）</w:t>
            </w:r>
            <w:r>
              <w:rPr>
                <w:rFonts w:ascii="宋体" w:hAnsi="宋体" w:hint="eastAsia"/>
                <w:color w:val="000000"/>
              </w:rPr>
              <w:t xml:space="preserve">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933ED" w:rsidRDefault="006933E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基础材</w:t>
            </w:r>
            <w:r>
              <w:rPr>
                <w:rFonts w:ascii="宋体" w:hAnsi="宋体" w:hint="eastAsia"/>
                <w:szCs w:val="24"/>
                <w:lang w:eastAsia="zh-Hans"/>
              </w:rPr>
              <w:t>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消费者非必需</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消费者常用</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5,412,329.3</w:t>
            </w:r>
            <w:r>
              <w:rPr>
                <w:rFonts w:ascii="宋体" w:hAnsi="宋体" w:hint="eastAsia"/>
                <w:szCs w:val="24"/>
                <w:lang w:eastAsia="zh-Hans"/>
              </w:rPr>
              <w:t>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3.2</w:t>
            </w:r>
            <w:r>
              <w:rPr>
                <w:rFonts w:ascii="宋体" w:hAnsi="宋体" w:hint="eastAsia"/>
                <w:szCs w:val="24"/>
                <w:lang w:eastAsia="zh-Hans"/>
              </w:rPr>
              <w:t>6</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能</w:t>
            </w:r>
            <w:r>
              <w:rPr>
                <w:rFonts w:ascii="宋体" w:hAnsi="宋体" w:hint="eastAsia"/>
                <w:szCs w:val="24"/>
                <w:lang w:eastAsia="zh-Hans"/>
              </w:rPr>
              <w:t>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金</w:t>
            </w:r>
            <w:r>
              <w:rPr>
                <w:rFonts w:ascii="宋体" w:hAnsi="宋体" w:hint="eastAsia"/>
                <w:szCs w:val="24"/>
                <w:lang w:eastAsia="zh-Hans"/>
              </w:rPr>
              <w:t>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医疗保</w:t>
            </w:r>
            <w:r>
              <w:rPr>
                <w:rFonts w:ascii="宋体" w:hAnsi="宋体" w:hint="eastAsia"/>
                <w:szCs w:val="24"/>
                <w:lang w:eastAsia="zh-Hans"/>
              </w:rPr>
              <w:t>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158,845,247.0</w:t>
            </w:r>
            <w:r>
              <w:rPr>
                <w:rFonts w:ascii="宋体" w:hAnsi="宋体" w:hint="eastAsia"/>
                <w:szCs w:val="24"/>
                <w:lang w:eastAsia="zh-Hans"/>
              </w:rPr>
              <w:t>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95.7</w:t>
            </w:r>
            <w:r>
              <w:rPr>
                <w:rFonts w:ascii="宋体" w:hAnsi="宋体" w:hint="eastAsia"/>
                <w:szCs w:val="24"/>
                <w:lang w:eastAsia="zh-Hans"/>
              </w:rPr>
              <w:t>0</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工</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信息技</w:t>
            </w:r>
            <w:r>
              <w:rPr>
                <w:rFonts w:ascii="宋体" w:hAnsi="宋体" w:hint="eastAsia"/>
                <w:szCs w:val="24"/>
                <w:lang w:eastAsia="zh-Hans"/>
              </w:rPr>
              <w:t>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电信服</w:t>
            </w:r>
            <w:r>
              <w:rPr>
                <w:rFonts w:ascii="宋体" w:hAnsi="宋体" w:hint="eastAsia"/>
                <w:szCs w:val="24"/>
                <w:lang w:eastAsia="zh-Hans"/>
              </w:rPr>
              <w:t>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公用事</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szCs w:val="24"/>
                <w:lang w:eastAsia="zh-Hans"/>
              </w:rPr>
              <w:t>房地</w:t>
            </w:r>
            <w:r>
              <w:rPr>
                <w:rFonts w:ascii="宋体" w:hAnsi="宋体" w:hint="eastAsia"/>
                <w:szCs w:val="24"/>
                <w:lang w:eastAsia="zh-Hans"/>
              </w:rPr>
              <w:t>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w:t>
            </w:r>
          </w:p>
        </w:tc>
      </w:tr>
      <w:tr w:rsidR="00000000">
        <w:trPr>
          <w:divId w:val="11973530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left"/>
            </w:pPr>
            <w:r>
              <w:rPr>
                <w:rFonts w:ascii="宋体" w:hAnsi="宋体" w:hint="eastAsia"/>
                <w:color w:val="000000"/>
              </w:rPr>
              <w:lastRenderedPageBreak/>
              <w:t>合计</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164,257,576.4</w:t>
            </w:r>
            <w:r>
              <w:rPr>
                <w:rFonts w:ascii="宋体" w:hAnsi="宋体" w:hint="eastAsia"/>
                <w:szCs w:val="24"/>
                <w:lang w:eastAsia="zh-Hans"/>
              </w:rPr>
              <w:t>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6933ED" w:rsidRDefault="006933ED">
            <w:pPr>
              <w:jc w:val="right"/>
            </w:pPr>
            <w:r>
              <w:rPr>
                <w:rFonts w:ascii="宋体" w:hAnsi="宋体" w:hint="eastAsia"/>
                <w:szCs w:val="24"/>
                <w:lang w:eastAsia="zh-Hans"/>
              </w:rPr>
              <w:t>98.9</w:t>
            </w:r>
            <w:r>
              <w:rPr>
                <w:rFonts w:ascii="宋体" w:hAnsi="宋体" w:hint="eastAsia"/>
                <w:szCs w:val="24"/>
                <w:lang w:eastAsia="zh-Hans"/>
              </w:rPr>
              <w:t>6</w:t>
            </w:r>
          </w:p>
        </w:tc>
      </w:tr>
    </w:tbl>
    <w:p w:rsidR="006933ED" w:rsidRDefault="006933ED">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以上分类采用全球行业分类标准（</w:t>
      </w:r>
      <w:r>
        <w:rPr>
          <w:rFonts w:ascii="宋体" w:hAnsi="宋体" w:hint="eastAsia"/>
          <w:szCs w:val="21"/>
          <w:lang w:eastAsia="zh-Hans"/>
        </w:rPr>
        <w:t>GICS</w:t>
      </w:r>
      <w:r>
        <w:rPr>
          <w:rFonts w:ascii="宋体" w:hAnsi="宋体" w:hint="eastAsia"/>
          <w:szCs w:val="21"/>
          <w:lang w:eastAsia="zh-Hans"/>
        </w:rPr>
        <w:t>）</w:t>
      </w:r>
      <w:r>
        <w:rPr>
          <w:rFonts w:ascii="宋体" w:hAnsi="宋体" w:hint="eastAsia"/>
          <w:szCs w:val="21"/>
          <w:lang w:eastAsia="zh-Hans"/>
        </w:rPr>
        <w:t>。</w:t>
      </w:r>
    </w:p>
    <w:p w:rsidR="006933ED" w:rsidRDefault="006933ED">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r>
        <w:rPr>
          <w:rFonts w:hAnsi="宋体" w:hint="eastAsia"/>
        </w:rPr>
        <w:t>期末按公允价值占基金资产净值比例大小排序的股票投资明</w:t>
      </w:r>
      <w:r>
        <w:rPr>
          <w:rFonts w:hAnsi="宋体" w:hint="eastAsia"/>
        </w:rPr>
        <w:t>细</w:t>
      </w:r>
      <w:bookmarkEnd w:id="131"/>
      <w:bookmarkEnd w:id="132"/>
      <w:bookmarkEnd w:id="133"/>
      <w:bookmarkEnd w:id="134"/>
      <w:bookmarkEnd w:id="135"/>
      <w:bookmarkEnd w:id="136"/>
      <w:r>
        <w:rPr>
          <w:rFonts w:hAnsi="宋体" w:hint="eastAsia"/>
        </w:rPr>
        <w:t xml:space="preserve"> </w:t>
      </w:r>
    </w:p>
    <w:p w:rsidR="006933ED" w:rsidRDefault="006933ED">
      <w:pPr>
        <w:pStyle w:val="XBRLTitle3"/>
        <w:spacing w:before="156"/>
        <w:ind w:left="0"/>
        <w:rPr>
          <w:rFonts w:hint="eastAsia"/>
        </w:rPr>
      </w:pPr>
      <w:bookmarkStart w:id="142" w:name="_Toc513386605"/>
      <w:bookmarkStart w:id="143" w:name="m504_tab"/>
      <w:r>
        <w:rPr>
          <w:rFonts w:hint="eastAsia"/>
        </w:rPr>
        <w:t>报告期末指数投资按公允价值占基金资产净值比例大小排序的前十名股票投资明</w:t>
      </w:r>
      <w:r>
        <w:rPr>
          <w:rFonts w:hint="eastAsia"/>
        </w:rPr>
        <w:t>细</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58117905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933ED" w:rsidRDefault="006933E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0616</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百济神</w:t>
            </w:r>
            <w:r>
              <w:rPr>
                <w:rFonts w:ascii="宋体" w:hAnsi="宋体" w:hint="eastAsia"/>
                <w:szCs w:val="24"/>
                <w:lang w:eastAsia="zh-Hans"/>
              </w:rPr>
              <w:t>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116,10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17,182,906.8</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10.3</w:t>
            </w:r>
            <w:r>
              <w:rPr>
                <w:rFonts w:ascii="宋体" w:hAnsi="宋体" w:hint="eastAsia"/>
                <w:szCs w:val="24"/>
                <w:lang w:eastAsia="zh-Hans"/>
              </w:rPr>
              <w:t>5</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0180</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信达生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247,00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17,076,735.2</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10.2</w:t>
            </w:r>
            <w:r>
              <w:rPr>
                <w:rFonts w:ascii="宋体" w:hAnsi="宋体" w:hint="eastAsia"/>
                <w:szCs w:val="24"/>
                <w:lang w:eastAsia="zh-Hans"/>
              </w:rPr>
              <w:t>9</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0226</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药明生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558,50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16,783,947.0</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10.1</w:t>
            </w:r>
            <w:r>
              <w:rPr>
                <w:rFonts w:ascii="宋体" w:hAnsi="宋体" w:hint="eastAsia"/>
                <w:szCs w:val="24"/>
                <w:lang w:eastAsia="zh-Hans"/>
              </w:rPr>
              <w:t>1</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0235</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药明康</w:t>
            </w:r>
            <w:r>
              <w:rPr>
                <w:rFonts w:ascii="宋体" w:hAnsi="宋体" w:hint="eastAsia"/>
                <w:szCs w:val="24"/>
                <w:lang w:eastAsia="zh-Hans"/>
              </w:rPr>
              <w:t>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106,50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14,217,338.3</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8.5</w:t>
            </w:r>
            <w:r>
              <w:rPr>
                <w:rFonts w:ascii="宋体" w:hAnsi="宋体" w:hint="eastAsia"/>
                <w:szCs w:val="24"/>
                <w:lang w:eastAsia="zh-Hans"/>
              </w:rPr>
              <w:t>7</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0992</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康方生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160,00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12,236,132.4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7.3</w:t>
            </w:r>
            <w:r>
              <w:rPr>
                <w:rFonts w:ascii="宋体" w:hAnsi="宋体" w:hint="eastAsia"/>
                <w:szCs w:val="24"/>
                <w:lang w:eastAsia="zh-Hans"/>
              </w:rPr>
              <w:t>7</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0109</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石药集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1,770,00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10,715,214.5</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6.4</w:t>
            </w:r>
            <w:r>
              <w:rPr>
                <w:rFonts w:ascii="宋体" w:hAnsi="宋体" w:hint="eastAsia"/>
                <w:szCs w:val="24"/>
                <w:lang w:eastAsia="zh-Hans"/>
              </w:rPr>
              <w:t>6</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0117</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中国生物制</w:t>
            </w:r>
            <w:r>
              <w:rPr>
                <w:rFonts w:ascii="宋体" w:hAnsi="宋体" w:hint="eastAsia"/>
                <w:szCs w:val="24"/>
                <w:lang w:eastAsia="zh-Hans"/>
              </w:rPr>
              <w:t>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2,264,00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8,671,811.6</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5.2</w:t>
            </w:r>
            <w:r>
              <w:rPr>
                <w:rFonts w:ascii="宋体" w:hAnsi="宋体" w:hint="eastAsia"/>
                <w:szCs w:val="24"/>
                <w:lang w:eastAsia="zh-Hans"/>
              </w:rPr>
              <w:t>2</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0369</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翰森制</w:t>
            </w:r>
            <w:r>
              <w:rPr>
                <w:rFonts w:ascii="宋体" w:hAnsi="宋体" w:hint="eastAsia"/>
                <w:szCs w:val="24"/>
                <w:lang w:eastAsia="zh-Hans"/>
              </w:rPr>
              <w:t>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330,00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8,489,728.8</w:t>
            </w:r>
            <w:r>
              <w:rPr>
                <w:rFonts w:ascii="宋体" w:hAnsi="宋体" w:hint="eastAsia"/>
                <w:szCs w:val="24"/>
                <w:lang w:eastAsia="zh-Hans"/>
              </w:rPr>
              <w:t>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5.1</w:t>
            </w:r>
            <w:r>
              <w:rPr>
                <w:rFonts w:ascii="宋体" w:hAnsi="宋体" w:hint="eastAsia"/>
                <w:szCs w:val="24"/>
                <w:lang w:eastAsia="zh-Hans"/>
              </w:rPr>
              <w:t>1</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0153</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三生制</w:t>
            </w:r>
            <w:r>
              <w:rPr>
                <w:rFonts w:ascii="宋体" w:hAnsi="宋体" w:hint="eastAsia"/>
                <w:szCs w:val="24"/>
                <w:lang w:eastAsia="zh-Hans"/>
              </w:rPr>
              <w:t>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445,50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6,535,400.1</w:t>
            </w:r>
            <w:r>
              <w:rPr>
                <w:rFonts w:ascii="宋体" w:hAnsi="宋体" w:hint="eastAsia"/>
                <w:szCs w:val="24"/>
                <w:lang w:eastAsia="zh-Hans"/>
              </w:rPr>
              <w:t>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3.9</w:t>
            </w:r>
            <w:r>
              <w:rPr>
                <w:rFonts w:ascii="宋体" w:hAnsi="宋体" w:hint="eastAsia"/>
                <w:szCs w:val="24"/>
                <w:lang w:eastAsia="zh-Hans"/>
              </w:rPr>
              <w:t>4</w:t>
            </w:r>
          </w:p>
        </w:tc>
      </w:tr>
      <w:tr w:rsidR="00000000">
        <w:trPr>
          <w:divId w:val="58117905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0699</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szCs w:val="24"/>
                <w:lang w:eastAsia="zh-Hans"/>
              </w:rPr>
              <w:t>科伦博泰生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14,30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5,417,719.5</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szCs w:val="24"/>
                <w:lang w:eastAsia="zh-Hans"/>
              </w:rPr>
              <w:t>3.2</w:t>
            </w:r>
            <w:r>
              <w:rPr>
                <w:rFonts w:ascii="宋体" w:hAnsi="宋体" w:hint="eastAsia"/>
                <w:szCs w:val="24"/>
                <w:lang w:eastAsia="zh-Hans"/>
              </w:rPr>
              <w:t>6</w:t>
            </w:r>
          </w:p>
        </w:tc>
      </w:tr>
    </w:tbl>
    <w:p w:rsidR="006933ED" w:rsidRDefault="006933ED">
      <w:pPr>
        <w:pStyle w:val="XBRLTitle3"/>
        <w:spacing w:before="156"/>
        <w:ind w:left="0"/>
      </w:pPr>
      <w:bookmarkStart w:id="144" w:name="_Toc513386606"/>
      <w:r>
        <w:rPr>
          <w:rFonts w:hint="eastAsia"/>
        </w:rPr>
        <w:t>报告期末积极投资按公允价值占基金资产净值比例大小排序的前五名股票投资明</w:t>
      </w:r>
      <w:r>
        <w:rPr>
          <w:rFonts w:hint="eastAsia"/>
        </w:rPr>
        <w:t>细</w:t>
      </w:r>
      <w:bookmarkEnd w:id="143"/>
      <w:bookmarkEnd w:id="144"/>
    </w:p>
    <w:p w:rsidR="006933ED" w:rsidRDefault="006933ED">
      <w:pPr>
        <w:spacing w:line="360" w:lineRule="auto"/>
        <w:ind w:firstLineChars="200" w:firstLine="420"/>
        <w:jc w:val="left"/>
        <w:divId w:val="70468145"/>
        <w:rPr>
          <w:rFonts w:hint="eastAsia"/>
        </w:rPr>
      </w:pPr>
      <w:r>
        <w:rPr>
          <w:rFonts w:ascii="宋体" w:hAnsi="宋体" w:hint="eastAsia"/>
          <w:color w:val="000000"/>
          <w:szCs w:val="21"/>
          <w:lang w:eastAsia="zh-Hans"/>
        </w:rPr>
        <w:t>本基金本报告期末未持有积极投资股票</w:t>
      </w:r>
      <w:r>
        <w:rPr>
          <w:rFonts w:ascii="宋体" w:hAnsi="宋体" w:hint="eastAsia"/>
          <w:color w:val="000000"/>
          <w:szCs w:val="21"/>
          <w:lang w:eastAsia="zh-Hans"/>
        </w:rPr>
        <w:t>。</w:t>
      </w:r>
    </w:p>
    <w:p w:rsidR="006933ED" w:rsidRDefault="006933ED">
      <w:pPr>
        <w:pStyle w:val="XBRLTitle2"/>
        <w:spacing w:before="156" w:line="360" w:lineRule="auto"/>
        <w:ind w:left="454"/>
      </w:pPr>
      <w:bookmarkStart w:id="145" w:name="_Toc513386607"/>
      <w:r>
        <w:rPr>
          <w:rFonts w:hAnsi="宋体" w:hint="eastAsia"/>
        </w:rPr>
        <w:t>报告期末按债券品种分类的债券投资组</w:t>
      </w:r>
      <w:r>
        <w:rPr>
          <w:rFonts w:hAnsi="宋体" w:hint="eastAsia"/>
        </w:rPr>
        <w:t>合</w:t>
      </w:r>
      <w:bookmarkEnd w:id="137"/>
      <w:bookmarkEnd w:id="138"/>
      <w:bookmarkEnd w:id="139"/>
      <w:bookmarkEnd w:id="140"/>
      <w:bookmarkEnd w:id="145"/>
      <w:r>
        <w:rPr>
          <w:rFonts w:hAnsi="宋体" w:hint="eastAsia"/>
        </w:rPr>
        <w:t xml:space="preserve"> </w:t>
      </w:r>
    </w:p>
    <w:p w:rsidR="006933ED" w:rsidRDefault="006933ED">
      <w:pPr>
        <w:spacing w:line="360" w:lineRule="auto"/>
        <w:ind w:firstLineChars="200" w:firstLine="420"/>
        <w:jc w:val="left"/>
        <w:divId w:val="1711762952"/>
        <w:rPr>
          <w:rFonts w:hint="eastAsia"/>
        </w:rPr>
      </w:pPr>
      <w:r>
        <w:rPr>
          <w:rFonts w:ascii="宋体" w:hAnsi="宋体" w:hint="eastAsia"/>
        </w:rPr>
        <w:t>本基金本报告期末未持有债券</w:t>
      </w:r>
      <w:r>
        <w:rPr>
          <w:rFonts w:ascii="宋体" w:hAnsi="宋体" w:hint="eastAsia"/>
        </w:rPr>
        <w:t>。</w:t>
      </w:r>
      <w:bookmarkStart w:id="146" w:name="m08QD_06"/>
      <w:bookmarkEnd w:id="146"/>
      <w:r>
        <w:rPr>
          <w:rFonts w:ascii="宋体" w:hAnsi="宋体" w:hint="eastAsia"/>
        </w:rPr>
        <w:t xml:space="preserve"> </w:t>
      </w:r>
    </w:p>
    <w:p w:rsidR="006933ED" w:rsidRDefault="006933ED">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147"/>
      <w:bookmarkEnd w:id="148"/>
      <w:bookmarkEnd w:id="149"/>
      <w:bookmarkEnd w:id="150"/>
      <w:bookmarkEnd w:id="151"/>
      <w:r>
        <w:rPr>
          <w:rFonts w:hAnsi="宋体" w:hint="eastAsia"/>
        </w:rPr>
        <w:t xml:space="preserve"> </w:t>
      </w:r>
    </w:p>
    <w:p w:rsidR="006933ED" w:rsidRDefault="006933ED">
      <w:pPr>
        <w:spacing w:line="360" w:lineRule="auto"/>
        <w:ind w:firstLineChars="200" w:firstLine="420"/>
        <w:jc w:val="left"/>
        <w:divId w:val="1469930420"/>
        <w:rPr>
          <w:rFonts w:hint="eastAsia"/>
        </w:rPr>
      </w:pPr>
      <w:r>
        <w:rPr>
          <w:rFonts w:ascii="宋体" w:hAnsi="宋体" w:hint="eastAsia"/>
          <w:color w:val="000000"/>
          <w:szCs w:val="21"/>
          <w:lang w:eastAsia="zh-Hans"/>
        </w:rPr>
        <w:t>本基金本报告期末未持有债券</w:t>
      </w:r>
      <w:r>
        <w:rPr>
          <w:rFonts w:ascii="宋体" w:hAnsi="宋体" w:hint="eastAsia"/>
          <w:color w:val="000000"/>
          <w:szCs w:val="21"/>
          <w:lang w:eastAsia="zh-Hans"/>
        </w:rPr>
        <w:t>。</w:t>
      </w:r>
    </w:p>
    <w:p w:rsidR="006933ED" w:rsidRDefault="006933ED">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r>
        <w:rPr>
          <w:rFonts w:hAnsi="宋体" w:hint="eastAsia"/>
        </w:rPr>
        <w:t>报告期末按公允价值占基金资产净值比例大小排序的前十名资产支持证券投资明</w:t>
      </w:r>
      <w:r>
        <w:rPr>
          <w:rFonts w:hAnsi="宋体" w:hint="eastAsia"/>
        </w:rPr>
        <w:t>细</w:t>
      </w:r>
      <w:bookmarkEnd w:id="153"/>
      <w:bookmarkEnd w:id="154"/>
      <w:bookmarkEnd w:id="155"/>
      <w:bookmarkEnd w:id="156"/>
      <w:bookmarkEnd w:id="157"/>
      <w:r>
        <w:rPr>
          <w:rFonts w:hAnsi="宋体" w:hint="eastAsia"/>
        </w:rPr>
        <w:t xml:space="preserve"> </w:t>
      </w:r>
    </w:p>
    <w:p w:rsidR="006933ED" w:rsidRDefault="006933ED">
      <w:pPr>
        <w:spacing w:line="360" w:lineRule="auto"/>
        <w:ind w:firstLineChars="200" w:firstLine="420"/>
        <w:jc w:val="left"/>
        <w:divId w:val="531497418"/>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6933ED" w:rsidRDefault="006933ED">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159"/>
      <w:bookmarkEnd w:id="160"/>
      <w:bookmarkEnd w:id="161"/>
      <w:bookmarkEnd w:id="162"/>
      <w:bookmarkEnd w:id="163"/>
      <w:r>
        <w:rPr>
          <w:rFonts w:hAnsi="宋体" w:hint="eastAsia"/>
        </w:rPr>
        <w:t xml:space="preserve"> </w:t>
      </w:r>
    </w:p>
    <w:p w:rsidR="006933ED" w:rsidRDefault="006933ED">
      <w:pPr>
        <w:spacing w:line="360" w:lineRule="auto"/>
        <w:ind w:firstLineChars="200" w:firstLine="420"/>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6933ED" w:rsidRDefault="006933ED">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r>
        <w:rPr>
          <w:rFonts w:hAnsi="宋体" w:hint="eastAsia"/>
        </w:rPr>
        <w:t>报告期末按公允价值占基金资产净值比例大小排序的前五名权证投资明</w:t>
      </w:r>
      <w:r>
        <w:rPr>
          <w:rFonts w:hAnsi="宋体" w:hint="eastAsia"/>
        </w:rPr>
        <w:t>细</w:t>
      </w:r>
      <w:bookmarkEnd w:id="165"/>
      <w:bookmarkEnd w:id="166"/>
      <w:bookmarkEnd w:id="167"/>
      <w:bookmarkEnd w:id="168"/>
      <w:bookmarkEnd w:id="169"/>
      <w:r>
        <w:rPr>
          <w:rFonts w:hAnsi="宋体" w:hint="eastAsia"/>
        </w:rPr>
        <w:t xml:space="preserve"> </w:t>
      </w:r>
    </w:p>
    <w:p w:rsidR="006933ED" w:rsidRDefault="006933ED">
      <w:pPr>
        <w:spacing w:line="360" w:lineRule="auto"/>
        <w:ind w:firstLineChars="200" w:firstLine="420"/>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6933ED" w:rsidRDefault="006933ED">
      <w:pPr>
        <w:pStyle w:val="XBRLTitle2"/>
        <w:spacing w:before="156" w:line="360" w:lineRule="auto"/>
        <w:ind w:left="454"/>
      </w:pPr>
      <w:bookmarkStart w:id="171" w:name="_Toc513386612"/>
      <w:bookmarkStart w:id="172" w:name="_Toc490050028"/>
      <w:bookmarkStart w:id="173" w:name="_Toc481075075"/>
      <w:bookmarkStart w:id="174" w:name="_Toc512519507"/>
      <w:r>
        <w:rPr>
          <w:rFonts w:hAnsi="宋体" w:hint="eastAsia"/>
        </w:rPr>
        <w:t>报告期末本基金投资的股指期货交易情况说</w:t>
      </w:r>
      <w:r>
        <w:rPr>
          <w:rFonts w:hAnsi="宋体" w:hint="eastAsia"/>
        </w:rPr>
        <w:t>明</w:t>
      </w:r>
      <w:bookmarkEnd w:id="171"/>
      <w:bookmarkEnd w:id="172"/>
      <w:bookmarkEnd w:id="173"/>
      <w:bookmarkEnd w:id="174"/>
      <w:r>
        <w:rPr>
          <w:rFonts w:hAnsi="宋体" w:hint="eastAsia"/>
        </w:rPr>
        <w:t xml:space="preserve"> </w:t>
      </w:r>
      <w:bookmarkEnd w:id="170"/>
    </w:p>
    <w:p w:rsidR="006933ED" w:rsidRDefault="006933ED">
      <w:pPr>
        <w:spacing w:line="360" w:lineRule="auto"/>
        <w:ind w:firstLineChars="200" w:firstLine="420"/>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6933ED" w:rsidRDefault="006933ED">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r>
        <w:rPr>
          <w:rFonts w:hAnsi="宋体" w:hint="eastAsia"/>
        </w:rPr>
        <w:t>报告期末本基金投资的国债期货交易情况说</w:t>
      </w:r>
      <w:r>
        <w:rPr>
          <w:rFonts w:hAnsi="宋体" w:hint="eastAsia"/>
        </w:rPr>
        <w:t>明</w:t>
      </w:r>
      <w:bookmarkEnd w:id="175"/>
      <w:bookmarkEnd w:id="176"/>
      <w:bookmarkEnd w:id="177"/>
      <w:bookmarkEnd w:id="178"/>
      <w:bookmarkEnd w:id="179"/>
      <w:r>
        <w:rPr>
          <w:rFonts w:hAnsi="宋体" w:hint="eastAsia"/>
        </w:rPr>
        <w:t xml:space="preserve"> </w:t>
      </w:r>
    </w:p>
    <w:p w:rsidR="006933ED" w:rsidRDefault="006933ED">
      <w:pPr>
        <w:spacing w:line="360" w:lineRule="auto"/>
        <w:ind w:firstLineChars="200" w:firstLine="420"/>
        <w:rPr>
          <w:rFonts w:hint="eastAsia"/>
        </w:rPr>
      </w:pPr>
      <w:bookmarkStart w:id="180" w:name="m510_01_1597"/>
      <w:bookmarkStart w:id="181" w:name="m510_01_1598"/>
      <w:bookmarkEnd w:id="180"/>
      <w:r>
        <w:rPr>
          <w:rFonts w:ascii="宋体" w:hAnsi="宋体" w:hint="eastAsia"/>
          <w:szCs w:val="21"/>
          <w:lang w:eastAsia="zh-Hans"/>
        </w:rPr>
        <w:t>本基金本报告期末未持有国债期货</w:t>
      </w:r>
      <w:r>
        <w:rPr>
          <w:rFonts w:ascii="宋体" w:hAnsi="宋体" w:hint="eastAsia"/>
          <w:szCs w:val="21"/>
          <w:lang w:eastAsia="zh-Hans"/>
        </w:rPr>
        <w:t>。</w:t>
      </w:r>
    </w:p>
    <w:p w:rsidR="006933ED" w:rsidRDefault="006933ED">
      <w:pPr>
        <w:pStyle w:val="XBRLTitle2"/>
        <w:spacing w:before="156" w:line="360" w:lineRule="auto"/>
        <w:ind w:left="454"/>
      </w:pPr>
      <w:bookmarkStart w:id="182" w:name="_Toc513386619"/>
      <w:bookmarkStart w:id="183" w:name="_Toc490050035"/>
      <w:bookmarkStart w:id="184" w:name="_Toc481075082"/>
      <w:bookmarkStart w:id="185" w:name="_Toc512519514"/>
      <w:r>
        <w:rPr>
          <w:rFonts w:hAnsi="宋体" w:hint="eastAsia"/>
        </w:rPr>
        <w:t>投资组合报告附</w:t>
      </w:r>
      <w:r>
        <w:rPr>
          <w:rFonts w:hAnsi="宋体" w:hint="eastAsia"/>
        </w:rPr>
        <w:t>注</w:t>
      </w:r>
      <w:bookmarkEnd w:id="182"/>
      <w:bookmarkEnd w:id="183"/>
      <w:bookmarkEnd w:id="184"/>
      <w:bookmarkEnd w:id="185"/>
      <w:r>
        <w:rPr>
          <w:rFonts w:hAnsi="宋体" w:hint="eastAsia"/>
        </w:rPr>
        <w:t xml:space="preserve"> </w:t>
      </w:r>
    </w:p>
    <w:p w:rsidR="006933ED" w:rsidRDefault="006933ED">
      <w:pPr>
        <w:pStyle w:val="XBRLTitle3"/>
        <w:spacing w:before="156"/>
        <w:ind w:left="0"/>
        <w:rPr>
          <w:rFonts w:hint="eastAsia"/>
        </w:rPr>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bookmarkEnd w:id="190"/>
    </w:p>
    <w:p w:rsidR="006933ED" w:rsidRDefault="006933ED">
      <w:pPr>
        <w:spacing w:line="360" w:lineRule="auto"/>
        <w:ind w:firstLineChars="200" w:firstLine="420"/>
        <w:rPr>
          <w:rFonts w:hint="eastAsia"/>
        </w:rPr>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r>
        <w:rPr>
          <w:rFonts w:ascii="宋体" w:hAnsi="宋体" w:hint="eastAsia"/>
        </w:rPr>
        <w:t>。</w:t>
      </w:r>
    </w:p>
    <w:p w:rsidR="006933ED" w:rsidRDefault="006933ED">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bookmarkEnd w:id="195"/>
    </w:p>
    <w:p w:rsidR="006933ED" w:rsidRDefault="006933ED">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6933ED" w:rsidRDefault="006933ED">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r>
        <w:rPr>
          <w:rFonts w:hint="eastAsia"/>
        </w:rPr>
        <w:t>其他资产构</w:t>
      </w:r>
      <w:r>
        <w:rPr>
          <w:rFonts w:hint="eastAsia"/>
        </w:rPr>
        <w:t>成</w:t>
      </w:r>
      <w:bookmarkEnd w:id="196"/>
      <w:bookmarkEnd w:id="197"/>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204270209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33ED" w:rsidRDefault="006933ED">
            <w:pPr>
              <w:jc w:val="center"/>
            </w:pPr>
            <w:r>
              <w:rPr>
                <w:rFonts w:ascii="宋体" w:hAnsi="宋体" w:hint="eastAsia"/>
              </w:rPr>
              <w:t>金额（元</w:t>
            </w:r>
            <w:r>
              <w:rPr>
                <w:rFonts w:ascii="宋体" w:hAnsi="宋体" w:hint="eastAsia"/>
              </w:rPr>
              <w:t>）</w:t>
            </w:r>
            <w:r>
              <w:t xml:space="preserve"> </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1,657,820.6</w:t>
            </w:r>
            <w:r>
              <w:rPr>
                <w:rFonts w:ascii="宋体" w:hAnsi="宋体" w:hint="eastAsia"/>
              </w:rPr>
              <w:t>2</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485,746.0</w:t>
            </w:r>
            <w:r>
              <w:rPr>
                <w:rFonts w:ascii="宋体" w:hAnsi="宋体" w:hint="eastAsia"/>
              </w:rPr>
              <w:t>1</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w:t>
            </w:r>
          </w:p>
        </w:tc>
      </w:tr>
      <w:tr w:rsidR="00000000">
        <w:trPr>
          <w:divId w:val="20427020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933ED" w:rsidRDefault="006933ED">
            <w:pPr>
              <w:jc w:val="right"/>
            </w:pPr>
            <w:r>
              <w:rPr>
                <w:rFonts w:ascii="宋体" w:hAnsi="宋体" w:hint="eastAsia"/>
              </w:rPr>
              <w:t>2,143,566.6</w:t>
            </w:r>
            <w:r>
              <w:rPr>
                <w:rFonts w:ascii="宋体" w:hAnsi="宋体" w:hint="eastAsia"/>
              </w:rPr>
              <w:t>3</w:t>
            </w:r>
          </w:p>
        </w:tc>
      </w:tr>
    </w:tbl>
    <w:p w:rsidR="006933ED" w:rsidRDefault="006933ED">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r>
        <w:rPr>
          <w:rFonts w:hint="eastAsia"/>
        </w:rPr>
        <w:t>报告期末持有的处于转股期的可转换债券明</w:t>
      </w:r>
      <w:r>
        <w:rPr>
          <w:rFonts w:hint="eastAsia"/>
        </w:rPr>
        <w:t>细</w:t>
      </w:r>
      <w:bookmarkEnd w:id="201"/>
      <w:bookmarkEnd w:id="202"/>
      <w:bookmarkEnd w:id="203"/>
      <w:bookmarkEnd w:id="204"/>
    </w:p>
    <w:p w:rsidR="006933ED" w:rsidRDefault="006933ED">
      <w:pPr>
        <w:spacing w:line="360" w:lineRule="auto"/>
        <w:ind w:firstLineChars="200" w:firstLine="420"/>
        <w:jc w:val="left"/>
        <w:divId w:val="1892108905"/>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6933ED" w:rsidRDefault="006933ED">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r>
        <w:rPr>
          <w:rFonts w:hint="eastAsia"/>
        </w:rPr>
        <w:t>报告期末前十名股票中存在流通受限情况的说</w:t>
      </w:r>
      <w:r>
        <w:rPr>
          <w:rFonts w:hint="eastAsia"/>
        </w:rPr>
        <w:t>明</w:t>
      </w:r>
      <w:bookmarkEnd w:id="206"/>
      <w:bookmarkEnd w:id="207"/>
      <w:bookmarkEnd w:id="208"/>
      <w:bookmarkEnd w:id="209"/>
    </w:p>
    <w:p w:rsidR="006933ED" w:rsidRDefault="006933ED">
      <w:pPr>
        <w:pStyle w:val="XBRLTitle4"/>
        <w:spacing w:before="156"/>
        <w:ind w:left="794"/>
        <w:rPr>
          <w:rFonts w:hint="eastAsia"/>
        </w:rPr>
      </w:pPr>
      <w:bookmarkStart w:id="211" w:name="_Toc513386625"/>
      <w:r>
        <w:rPr>
          <w:rFonts w:hAnsi="宋体" w:hint="eastAsia"/>
          <w:lang w:eastAsia="zh-CN"/>
        </w:rPr>
        <w:t>报告期末指数投资前十名股票中存在流通受限情况的说</w:t>
      </w:r>
      <w:r>
        <w:rPr>
          <w:rFonts w:hAnsi="宋体" w:hint="eastAsia"/>
          <w:lang w:eastAsia="zh-CN"/>
        </w:rPr>
        <w:t>明</w:t>
      </w:r>
      <w:bookmarkEnd w:id="211"/>
      <w:r>
        <w:rPr>
          <w:rFonts w:hAnsi="宋体" w:hint="eastAsia"/>
          <w:lang w:eastAsia="zh-CN"/>
        </w:rPr>
        <w:t xml:space="preserve"> </w:t>
      </w:r>
    </w:p>
    <w:p w:rsidR="006933ED" w:rsidRDefault="006933ED">
      <w:pPr>
        <w:spacing w:line="360" w:lineRule="auto"/>
        <w:ind w:firstLineChars="200" w:firstLine="420"/>
        <w:jc w:val="left"/>
        <w:rPr>
          <w:rFonts w:hint="eastAsia"/>
        </w:rPr>
      </w:pPr>
      <w:r>
        <w:rPr>
          <w:rFonts w:ascii="宋体" w:hAnsi="宋体" w:hint="eastAsia"/>
        </w:rPr>
        <w:t>本基金本报告期末前十名股票中不存在流通受限情况</w:t>
      </w:r>
      <w:r>
        <w:rPr>
          <w:rFonts w:ascii="宋体" w:hAnsi="宋体" w:hint="eastAsia"/>
        </w:rPr>
        <w:t>。</w:t>
      </w:r>
    </w:p>
    <w:p w:rsidR="006933ED" w:rsidRDefault="006933ED">
      <w:pPr>
        <w:pStyle w:val="XBRLTitle4"/>
        <w:spacing w:before="156"/>
        <w:ind w:left="794"/>
      </w:pPr>
      <w:bookmarkStart w:id="212" w:name="_Toc513386626"/>
      <w:r>
        <w:rPr>
          <w:rFonts w:hAnsi="宋体" w:hint="eastAsia"/>
          <w:lang w:eastAsia="zh-CN"/>
        </w:rPr>
        <w:t>报告期末积极投资前五名股票中存在流通受限情况的说</w:t>
      </w:r>
      <w:r>
        <w:rPr>
          <w:rFonts w:hAnsi="宋体" w:hint="eastAsia"/>
          <w:lang w:eastAsia="zh-CN"/>
        </w:rPr>
        <w:t>明</w:t>
      </w:r>
      <w:bookmarkEnd w:id="212"/>
      <w:r>
        <w:rPr>
          <w:rFonts w:hAnsi="宋体" w:hint="eastAsia"/>
          <w:lang w:eastAsia="zh-CN"/>
        </w:rPr>
        <w:t xml:space="preserve"> </w:t>
      </w:r>
    </w:p>
    <w:p w:rsidR="006933ED" w:rsidRDefault="006933ED">
      <w:pPr>
        <w:spacing w:line="360" w:lineRule="auto"/>
        <w:ind w:firstLineChars="200" w:firstLine="420"/>
        <w:jc w:val="left"/>
        <w:rPr>
          <w:rFonts w:hint="eastAsia"/>
        </w:rPr>
      </w:pPr>
      <w:r>
        <w:rPr>
          <w:rFonts w:ascii="宋体" w:hAnsi="宋体" w:hint="eastAsia"/>
        </w:rPr>
        <w:t>本基金本报告期末前五名积极投资中不存在流通受限情况</w:t>
      </w:r>
      <w:r>
        <w:rPr>
          <w:rFonts w:ascii="宋体" w:hAnsi="宋体" w:hint="eastAsia"/>
        </w:rPr>
        <w:t>。</w:t>
      </w:r>
      <w:bookmarkEnd w:id="13"/>
      <w:bookmarkEnd w:id="14"/>
      <w:bookmarkEnd w:id="15"/>
      <w:bookmarkEnd w:id="16"/>
      <w:bookmarkEnd w:id="17"/>
    </w:p>
    <w:p w:rsidR="006933ED" w:rsidRDefault="006933ED">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r>
        <w:rPr>
          <w:rFonts w:hint="eastAsia"/>
        </w:rPr>
        <w:t>投资组合报告附注的其他文字描述部</w:t>
      </w:r>
      <w:r>
        <w:rPr>
          <w:rFonts w:hint="eastAsia"/>
        </w:rPr>
        <w:t>分</w:t>
      </w:r>
      <w:bookmarkEnd w:id="213"/>
      <w:bookmarkEnd w:id="214"/>
      <w:bookmarkEnd w:id="215"/>
      <w:bookmarkEnd w:id="216"/>
      <w:r>
        <w:rPr>
          <w:rFonts w:hint="eastAsia"/>
          <w:sz w:val="21"/>
        </w:rPr>
        <w:t xml:space="preserve"> </w:t>
      </w:r>
    </w:p>
    <w:p w:rsidR="006933ED" w:rsidRDefault="006933ED">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p>
    <w:p w:rsidR="006933ED" w:rsidRDefault="006933ED">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30"/>
      <w:bookmarkEnd w:id="217"/>
      <w:r>
        <w:rPr>
          <w:rFonts w:hAnsi="宋体" w:hint="eastAsia"/>
        </w:rPr>
        <w:t>开放式基金份额变</w:t>
      </w:r>
      <w:r>
        <w:rPr>
          <w:rFonts w:hAnsi="宋体" w:hint="eastAsia"/>
        </w:rPr>
        <w:t>动</w:t>
      </w:r>
      <w:bookmarkStart w:id="224" w:name="m601_tab"/>
      <w:bookmarkEnd w:id="218"/>
      <w:bookmarkEnd w:id="219"/>
      <w:bookmarkEnd w:id="220"/>
      <w:bookmarkEnd w:id="221"/>
      <w:bookmarkEnd w:id="222"/>
    </w:p>
    <w:p w:rsidR="006933ED" w:rsidRDefault="006933ED">
      <w:pPr>
        <w:wordWrap w:val="0"/>
        <w:spacing w:line="360" w:lineRule="auto"/>
        <w:jc w:val="right"/>
        <w:rPr>
          <w:rFonts w:hint="eastAsia"/>
        </w:rPr>
      </w:pPr>
      <w:bookmarkStart w:id="225" w:name="m10_01_tab"/>
      <w:bookmarkEnd w:id="12"/>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000000">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rsidR="006933ED" w:rsidRDefault="006933E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Fonts w:ascii="宋体" w:hAnsi="宋体" w:hint="eastAsia"/>
                <w:kern w:val="2"/>
                <w:sz w:val="21"/>
              </w:rPr>
              <w:t>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pPr>
            <w:r>
              <w:rPr>
                <w:rFonts w:ascii="宋体" w:hAnsi="宋体" w:hint="eastAsia"/>
                <w:kern w:val="0"/>
                <w:szCs w:val="24"/>
                <w:lang w:eastAsia="zh-Hans"/>
              </w:rPr>
              <w:t>363,466,000.0</w:t>
            </w:r>
            <w:r>
              <w:rPr>
                <w:rFonts w:ascii="宋体" w:hAnsi="宋体" w:hint="eastAsia"/>
                <w:kern w:val="0"/>
                <w:szCs w:val="24"/>
                <w:lang w:eastAsia="zh-Hans"/>
              </w:rPr>
              <w:t>0</w:t>
            </w:r>
          </w:p>
        </w:tc>
      </w:tr>
      <w:tr w:rsidR="00000000">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pPr>
            <w:r>
              <w:rPr>
                <w:rFonts w:ascii="宋体" w:hAnsi="宋体" w:hint="eastAsia"/>
                <w:lang w:eastAsia="zh-Hans"/>
              </w:rPr>
              <w:t>30,000,000.0</w:t>
            </w:r>
            <w:r>
              <w:rPr>
                <w:rFonts w:ascii="宋体" w:hAnsi="宋体" w:hint="eastAsia"/>
                <w:lang w:eastAsia="zh-Hans"/>
              </w:rPr>
              <w:t>0</w:t>
            </w:r>
          </w:p>
        </w:tc>
      </w:tr>
      <w:tr w:rsidR="00000000">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pPr>
            <w:r>
              <w:rPr>
                <w:rFonts w:ascii="宋体" w:hAnsi="宋体" w:hint="eastAsia"/>
                <w:lang w:eastAsia="zh-Hans"/>
              </w:rPr>
              <w:t>188,000,000.0</w:t>
            </w:r>
            <w:r>
              <w:rPr>
                <w:rFonts w:ascii="宋体" w:hAnsi="宋体" w:hint="eastAsia"/>
                <w:lang w:eastAsia="zh-Hans"/>
              </w:rPr>
              <w:t>0</w:t>
            </w:r>
          </w:p>
        </w:tc>
      </w:tr>
      <w:tr w:rsidR="00000000">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pPr>
            <w:r>
              <w:rPr>
                <w:rFonts w:ascii="宋体" w:hAnsi="宋体" w:hint="eastAsia"/>
                <w:lang w:eastAsia="zh-Hans"/>
              </w:rPr>
              <w:t>-</w:t>
            </w:r>
          </w:p>
        </w:tc>
      </w:tr>
      <w:tr w:rsidR="00000000">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933ED" w:rsidRDefault="006933ED">
            <w:pPr>
              <w:jc w:val="right"/>
            </w:pPr>
            <w:r>
              <w:rPr>
                <w:rFonts w:ascii="宋体" w:hAnsi="宋体" w:hint="eastAsia"/>
                <w:szCs w:val="24"/>
                <w:lang w:eastAsia="zh-Hans"/>
              </w:rPr>
              <w:t>205,466,000.0</w:t>
            </w:r>
            <w:r>
              <w:rPr>
                <w:rFonts w:ascii="宋体" w:hAnsi="宋体" w:hint="eastAsia"/>
                <w:szCs w:val="24"/>
                <w:lang w:eastAsia="zh-Hans"/>
              </w:rPr>
              <w:t>0</w:t>
            </w:r>
            <w:r>
              <w:rPr>
                <w:rFonts w:ascii="宋体" w:hAnsi="宋体" w:hint="eastAsia"/>
                <w:lang w:eastAsia="zh-Hans"/>
              </w:rPr>
              <w:t xml:space="preserve"> </w:t>
            </w:r>
          </w:p>
        </w:tc>
      </w:tr>
    </w:tbl>
    <w:p w:rsidR="006933ED" w:rsidRDefault="006933ED">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r>
        <w:rPr>
          <w:rFonts w:hAnsi="宋体" w:hint="eastAsia"/>
        </w:rPr>
        <w:t>基金管理人运用固有资金投资本基金情</w:t>
      </w:r>
      <w:r>
        <w:rPr>
          <w:rFonts w:hAnsi="宋体" w:hint="eastAsia"/>
        </w:rPr>
        <w:t>况</w:t>
      </w:r>
      <w:bookmarkEnd w:id="226"/>
      <w:bookmarkEnd w:id="227"/>
      <w:bookmarkEnd w:id="228"/>
      <w:bookmarkEnd w:id="229"/>
      <w:bookmarkEnd w:id="230"/>
      <w:bookmarkEnd w:id="231"/>
      <w:r>
        <w:rPr>
          <w:rFonts w:hAnsi="宋体" w:hint="eastAsia"/>
        </w:rPr>
        <w:t xml:space="preserve"> </w:t>
      </w:r>
    </w:p>
    <w:p w:rsidR="006933ED" w:rsidRDefault="006933ED">
      <w:pPr>
        <w:pStyle w:val="XBRLTitle2"/>
        <w:spacing w:before="156" w:line="360" w:lineRule="auto"/>
        <w:ind w:left="454"/>
        <w:rPr>
          <w:rFonts w:hint="eastAsia"/>
        </w:rPr>
      </w:pPr>
      <w:bookmarkStart w:id="232" w:name="_Toc513386630"/>
      <w:bookmarkStart w:id="233" w:name="_Toc490050044"/>
      <w:bookmarkStart w:id="234" w:name="_Toc458599606"/>
      <w:bookmarkStart w:id="235" w:name="_Toc481075091"/>
      <w:bookmarkStart w:id="236" w:name="_Toc512519523"/>
      <w:r>
        <w:rPr>
          <w:rFonts w:hAnsi="宋体" w:hint="eastAsia"/>
        </w:rPr>
        <w:t>基金管理人持有本基金份额变动情</w:t>
      </w:r>
      <w:r>
        <w:rPr>
          <w:rFonts w:hAnsi="宋体" w:hint="eastAsia"/>
        </w:rPr>
        <w:t>况</w:t>
      </w:r>
      <w:bookmarkEnd w:id="232"/>
      <w:bookmarkEnd w:id="233"/>
      <w:bookmarkEnd w:id="234"/>
      <w:bookmarkEnd w:id="235"/>
      <w:bookmarkEnd w:id="236"/>
      <w:r>
        <w:rPr>
          <w:rFonts w:hAnsi="宋体" w:hint="eastAsia"/>
          <w:lang w:eastAsia="zh-CN"/>
        </w:rPr>
        <w:t xml:space="preserve"> </w:t>
      </w:r>
    </w:p>
    <w:p w:rsidR="006933ED" w:rsidRDefault="006933ED">
      <w:pPr>
        <w:spacing w:line="360" w:lineRule="auto"/>
        <w:ind w:firstLineChars="200" w:firstLine="420"/>
        <w:jc w:val="left"/>
        <w:rPr>
          <w:rFonts w:hint="eastAsia"/>
        </w:rPr>
      </w:pPr>
      <w:r>
        <w:rPr>
          <w:rFonts w:ascii="宋体" w:hAnsi="宋体" w:hint="eastAsia"/>
          <w:szCs w:val="21"/>
          <w:lang w:eastAsia="zh-Hans"/>
        </w:rPr>
        <w:t>无</w:t>
      </w:r>
      <w:r>
        <w:rPr>
          <w:rFonts w:ascii="宋体" w:hAnsi="宋体" w:hint="eastAsia"/>
          <w:szCs w:val="21"/>
          <w:lang w:eastAsia="zh-Hans"/>
        </w:rPr>
        <w:t>。</w:t>
      </w:r>
      <w:r>
        <w:rPr>
          <w:rFonts w:ascii="宋体" w:hAnsi="宋体" w:hint="eastAsia"/>
        </w:rPr>
        <w:t xml:space="preserve"> </w:t>
      </w:r>
    </w:p>
    <w:p w:rsidR="006933ED" w:rsidRDefault="006933ED">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r>
        <w:rPr>
          <w:rFonts w:hAnsi="宋体" w:hint="eastAsia"/>
        </w:rPr>
        <w:t>基金管理人运用固有资金投资本基金交易明</w:t>
      </w:r>
      <w:r>
        <w:rPr>
          <w:rFonts w:hAnsi="宋体" w:hint="eastAsia"/>
        </w:rPr>
        <w:t>细</w:t>
      </w:r>
      <w:bookmarkEnd w:id="237"/>
      <w:bookmarkEnd w:id="238"/>
      <w:bookmarkEnd w:id="239"/>
      <w:bookmarkEnd w:id="240"/>
      <w:bookmarkEnd w:id="241"/>
      <w:r>
        <w:rPr>
          <w:rFonts w:hAnsi="宋体" w:hint="eastAsia"/>
          <w:lang w:eastAsia="zh-CN"/>
        </w:rPr>
        <w:t xml:space="preserve"> </w:t>
      </w:r>
    </w:p>
    <w:p w:rsidR="006933ED" w:rsidRDefault="006933ED">
      <w:pPr>
        <w:spacing w:line="360" w:lineRule="auto"/>
        <w:ind w:firstLineChars="200" w:firstLine="420"/>
        <w:jc w:val="left"/>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rPr>
        <w:t xml:space="preserve"> </w:t>
      </w:r>
    </w:p>
    <w:p w:rsidR="006933ED" w:rsidRDefault="006933ED">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r>
        <w:rPr>
          <w:rFonts w:hAnsi="宋体" w:hint="eastAsia"/>
        </w:rPr>
        <w:t>影响投资者决策的其他重要信</w:t>
      </w:r>
      <w:r>
        <w:rPr>
          <w:rFonts w:hAnsi="宋体" w:hint="eastAsia"/>
        </w:rPr>
        <w:t>息</w:t>
      </w:r>
      <w:bookmarkEnd w:id="242"/>
      <w:bookmarkEnd w:id="243"/>
      <w:bookmarkEnd w:id="244"/>
      <w:bookmarkEnd w:id="245"/>
      <w:bookmarkEnd w:id="246"/>
      <w:r>
        <w:rPr>
          <w:rFonts w:hAnsi="宋体" w:hint="eastAsia"/>
          <w:lang w:eastAsia="zh-CN"/>
        </w:rPr>
        <w:t xml:space="preserve"> </w:t>
      </w:r>
    </w:p>
    <w:p w:rsidR="006933ED" w:rsidRDefault="006933ED">
      <w:pPr>
        <w:pStyle w:val="XBRLTitle2"/>
        <w:spacing w:before="156" w:line="360" w:lineRule="auto"/>
        <w:ind w:left="454"/>
        <w:rPr>
          <w:rFonts w:hint="eastAsia"/>
        </w:rPr>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248"/>
      <w:bookmarkEnd w:id="249"/>
      <w:bookmarkEnd w:id="250"/>
      <w:bookmarkEnd w:id="251"/>
      <w:r>
        <w:rPr>
          <w:rFonts w:hAnsi="宋体" w:hint="eastAsia"/>
          <w:kern w:val="0"/>
          <w:lang w:eastAsia="zh-CN"/>
        </w:rPr>
        <w:t xml:space="preserve"> </w:t>
      </w:r>
    </w:p>
    <w:bookmarkEnd w:id="18"/>
    <w:bookmarkEnd w:id="31"/>
    <w:bookmarkEnd w:id="32"/>
    <w:p w:rsidR="006933ED" w:rsidRDefault="006933ED">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rsidR="006933ED" w:rsidRDefault="006933ED">
      <w:pPr>
        <w:pStyle w:val="XBRLTitle1"/>
        <w:spacing w:before="156" w:line="360" w:lineRule="auto"/>
        <w:ind w:left="425"/>
        <w:rPr>
          <w:rFonts w:hint="eastAsia"/>
        </w:rPr>
      </w:pPr>
      <w:bookmarkStart w:id="252" w:name="_Toc513386635"/>
      <w:bookmarkStart w:id="253" w:name="_Toc438646481"/>
      <w:bookmarkStart w:id="254" w:name="_Toc481075097"/>
      <w:bookmarkStart w:id="255" w:name="_Toc490050049"/>
      <w:bookmarkStart w:id="256" w:name="_Toc512519529"/>
      <w:bookmarkEnd w:id="247"/>
      <w:r>
        <w:rPr>
          <w:rFonts w:hAnsi="宋体" w:hint="eastAsia"/>
        </w:rPr>
        <w:t>备查文件目</w:t>
      </w:r>
      <w:r>
        <w:rPr>
          <w:rFonts w:hAnsi="宋体" w:hint="eastAsia"/>
        </w:rPr>
        <w:t>录</w:t>
      </w:r>
      <w:bookmarkEnd w:id="252"/>
      <w:bookmarkEnd w:id="253"/>
      <w:bookmarkEnd w:id="254"/>
      <w:bookmarkEnd w:id="255"/>
      <w:bookmarkEnd w:id="256"/>
      <w:r>
        <w:rPr>
          <w:rFonts w:hAnsi="宋体" w:hint="eastAsia"/>
        </w:rPr>
        <w:t xml:space="preserve"> </w:t>
      </w:r>
    </w:p>
    <w:p w:rsidR="006933ED" w:rsidRDefault="006933ED">
      <w:pPr>
        <w:pStyle w:val="XBRLTitle2"/>
        <w:spacing w:before="156" w:line="360" w:lineRule="auto"/>
        <w:ind w:left="454"/>
        <w:rPr>
          <w:rFonts w:hint="eastAsia"/>
        </w:rPr>
      </w:pPr>
      <w:bookmarkStart w:id="257" w:name="_Toc438646482"/>
      <w:bookmarkStart w:id="258" w:name="_Toc513386636"/>
      <w:bookmarkStart w:id="259" w:name="_Toc490050050"/>
      <w:bookmarkStart w:id="260" w:name="_Toc481075098"/>
      <w:bookmarkStart w:id="261" w:name="_Toc512519530"/>
      <w:bookmarkStart w:id="262" w:name="m801_01_1733"/>
      <w:r>
        <w:rPr>
          <w:rFonts w:hAnsi="宋体" w:hint="eastAsia"/>
        </w:rPr>
        <w:t>备查文件目</w:t>
      </w:r>
      <w:r>
        <w:rPr>
          <w:rFonts w:hAnsi="宋体" w:hint="eastAsia"/>
        </w:rPr>
        <w:t>录</w:t>
      </w:r>
      <w:bookmarkEnd w:id="257"/>
      <w:bookmarkEnd w:id="258"/>
      <w:bookmarkEnd w:id="259"/>
      <w:bookmarkEnd w:id="260"/>
      <w:bookmarkEnd w:id="261"/>
      <w:r>
        <w:rPr>
          <w:rFonts w:hAnsi="宋体" w:hint="eastAsia"/>
        </w:rPr>
        <w:t xml:space="preserve"> </w:t>
      </w:r>
    </w:p>
    <w:p w:rsidR="006933ED" w:rsidRDefault="006933ED">
      <w:pPr>
        <w:spacing w:line="360" w:lineRule="auto"/>
        <w:ind w:firstLineChars="200" w:firstLine="420"/>
        <w:jc w:val="left"/>
        <w:rPr>
          <w:rFonts w:hint="eastAsia"/>
        </w:rPr>
      </w:pPr>
      <w:r>
        <w:rPr>
          <w:rFonts w:ascii="宋体" w:hAnsi="宋体" w:cs="宋体" w:hint="eastAsia"/>
          <w:color w:val="000000"/>
          <w:kern w:val="0"/>
        </w:rPr>
        <w:t>（一）中国证监会准予摩根恒生生物科技交易型开放式指数证券投资基金募集注册的文件</w:t>
      </w:r>
      <w:r>
        <w:rPr>
          <w:rFonts w:ascii="宋体" w:hAnsi="宋体" w:cs="宋体" w:hint="eastAsia"/>
          <w:color w:val="000000"/>
          <w:kern w:val="0"/>
        </w:rPr>
        <w:br/>
      </w:r>
      <w:r>
        <w:rPr>
          <w:rFonts w:ascii="宋体" w:hAnsi="宋体" w:cs="宋体" w:hint="eastAsia"/>
          <w:color w:val="000000"/>
          <w:kern w:val="0"/>
        </w:rPr>
        <w:t xml:space="preserve">　　（二）摩根恒生生物科技交易型开放式指数证券投资基金基金合同</w:t>
      </w:r>
      <w:r>
        <w:rPr>
          <w:rFonts w:ascii="宋体" w:hAnsi="宋体" w:cs="宋体" w:hint="eastAsia"/>
          <w:color w:val="000000"/>
          <w:kern w:val="0"/>
        </w:rPr>
        <w:br/>
      </w:r>
      <w:r>
        <w:rPr>
          <w:rFonts w:ascii="宋体" w:hAnsi="宋体" w:cs="宋体" w:hint="eastAsia"/>
          <w:color w:val="000000"/>
          <w:kern w:val="0"/>
        </w:rPr>
        <w:t xml:space="preserve">　　（三）摩根恒生生物科技交易型开放式指数证券投资基金托管协议</w:t>
      </w:r>
      <w:r>
        <w:rPr>
          <w:rFonts w:ascii="宋体" w:hAnsi="宋体" w:cs="宋体" w:hint="eastAsia"/>
          <w:color w:val="000000"/>
          <w:kern w:val="0"/>
        </w:rPr>
        <w:br/>
      </w:r>
      <w:r>
        <w:rPr>
          <w:rFonts w:ascii="宋体" w:hAnsi="宋体" w:cs="宋体" w:hint="eastAsia"/>
          <w:color w:val="000000"/>
          <w:kern w:val="0"/>
        </w:rPr>
        <w:t xml:space="preserve">　　（四）法律意见书</w:t>
      </w:r>
      <w:r>
        <w:rPr>
          <w:rFonts w:ascii="宋体" w:hAnsi="宋体" w:cs="宋体" w:hint="eastAsia"/>
          <w:color w:val="000000"/>
          <w:kern w:val="0"/>
        </w:rPr>
        <w:br/>
      </w:r>
      <w:r>
        <w:rPr>
          <w:rFonts w:ascii="宋体" w:hAnsi="宋体" w:cs="宋体" w:hint="eastAsia"/>
          <w:color w:val="000000"/>
          <w:kern w:val="0"/>
        </w:rP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t xml:space="preserve">　　（八）中国证监会要求的其他文</w:t>
      </w:r>
      <w:r>
        <w:rPr>
          <w:rFonts w:ascii="宋体" w:hAnsi="宋体" w:cs="宋体" w:hint="eastAsia"/>
          <w:color w:val="000000"/>
          <w:kern w:val="0"/>
        </w:rPr>
        <w:t>件</w:t>
      </w:r>
    </w:p>
    <w:p w:rsidR="006933ED" w:rsidRDefault="006933ED">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r>
        <w:rPr>
          <w:rFonts w:hAnsi="宋体" w:hint="eastAsia"/>
        </w:rPr>
        <w:t>存放地</w:t>
      </w:r>
      <w:r>
        <w:rPr>
          <w:rFonts w:hAnsi="宋体" w:hint="eastAsia"/>
        </w:rPr>
        <w:t>点</w:t>
      </w:r>
      <w:bookmarkEnd w:id="263"/>
      <w:bookmarkEnd w:id="264"/>
      <w:bookmarkEnd w:id="265"/>
      <w:bookmarkEnd w:id="266"/>
      <w:bookmarkEnd w:id="267"/>
      <w:r>
        <w:rPr>
          <w:rFonts w:hAnsi="宋体" w:hint="eastAsia"/>
        </w:rPr>
        <w:t xml:space="preserve"> </w:t>
      </w:r>
    </w:p>
    <w:p w:rsidR="006933ED" w:rsidRDefault="006933ED">
      <w:pPr>
        <w:spacing w:line="360" w:lineRule="auto"/>
        <w:ind w:firstLineChars="200" w:firstLine="420"/>
        <w:jc w:val="left"/>
        <w:rPr>
          <w:rFonts w:hint="eastAsia"/>
        </w:rPr>
      </w:pPr>
      <w:r>
        <w:rPr>
          <w:rFonts w:ascii="宋体" w:hAnsi="宋体" w:cs="宋体" w:hint="eastAsia"/>
          <w:color w:val="000000"/>
          <w:kern w:val="0"/>
        </w:rPr>
        <w:t>基金管理人或基金托管人住所</w:t>
      </w:r>
      <w:r>
        <w:rPr>
          <w:rFonts w:ascii="宋体" w:hAnsi="宋体" w:cs="宋体" w:hint="eastAsia"/>
          <w:color w:val="000000"/>
          <w:kern w:val="0"/>
        </w:rPr>
        <w:t>。</w:t>
      </w:r>
    </w:p>
    <w:p w:rsidR="006933ED" w:rsidRDefault="006933ED">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r>
        <w:rPr>
          <w:rFonts w:hAnsi="宋体" w:hint="eastAsia"/>
        </w:rPr>
        <w:t>查阅方</w:t>
      </w:r>
      <w:r>
        <w:rPr>
          <w:rFonts w:hAnsi="宋体" w:hint="eastAsia"/>
        </w:rPr>
        <w:t>式</w:t>
      </w:r>
      <w:bookmarkEnd w:id="269"/>
      <w:bookmarkEnd w:id="270"/>
      <w:bookmarkEnd w:id="271"/>
      <w:bookmarkEnd w:id="272"/>
      <w:bookmarkEnd w:id="273"/>
      <w:r>
        <w:rPr>
          <w:rFonts w:hAnsi="宋体" w:hint="eastAsia"/>
        </w:rPr>
        <w:t xml:space="preserve"> </w:t>
      </w:r>
    </w:p>
    <w:p w:rsidR="006933ED" w:rsidRDefault="006933ED">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274"/>
    <w:p w:rsidR="006933ED" w:rsidRDefault="006933E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6933ED" w:rsidRDefault="006933E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6933ED" w:rsidRDefault="006933ED">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6933ED" w:rsidRDefault="006933ED">
      <w:pPr>
        <w:spacing w:line="360" w:lineRule="auto"/>
        <w:ind w:firstLineChars="600" w:firstLine="1446"/>
        <w:jc w:val="right"/>
      </w:pPr>
      <w:r>
        <w:rPr>
          <w:rFonts w:ascii="宋体" w:hAnsi="宋体" w:hint="eastAsia"/>
          <w:b/>
          <w:bCs/>
          <w:sz w:val="24"/>
          <w:szCs w:val="24"/>
        </w:rPr>
        <w:t>2026</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19"/>
    </w:p>
    <w:sectPr w:rsidR="006933ED">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3ED" w:rsidRDefault="006933ED">
      <w:pPr>
        <w:rPr>
          <w:szCs w:val="21"/>
        </w:rPr>
      </w:pPr>
      <w:r>
        <w:rPr>
          <w:szCs w:val="21"/>
        </w:rPr>
        <w:separator/>
      </w:r>
      <w:r>
        <w:rPr>
          <w:szCs w:val="21"/>
        </w:rPr>
        <w:t xml:space="preserve"> </w:t>
      </w:r>
    </w:p>
  </w:endnote>
  <w:endnote w:type="continuationSeparator" w:id="0">
    <w:p w:rsidR="006933ED" w:rsidRDefault="006933E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ED" w:rsidRDefault="006933E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3ED" w:rsidRDefault="006933ED">
      <w:pPr>
        <w:rPr>
          <w:szCs w:val="21"/>
        </w:rPr>
      </w:pPr>
      <w:r>
        <w:rPr>
          <w:szCs w:val="21"/>
        </w:rPr>
        <w:separator/>
      </w:r>
      <w:r>
        <w:rPr>
          <w:szCs w:val="21"/>
        </w:rPr>
        <w:t xml:space="preserve"> </w:t>
      </w:r>
    </w:p>
  </w:footnote>
  <w:footnote w:type="continuationSeparator" w:id="0">
    <w:p w:rsidR="006933ED" w:rsidRDefault="006933E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ED" w:rsidRDefault="006933ED">
    <w:pPr>
      <w:pStyle w:val="a8"/>
      <w:jc w:val="right"/>
    </w:pPr>
    <w:r>
      <w:rPr>
        <w:rFonts w:ascii="宋体" w:hAnsi="宋体" w:hint="eastAsia"/>
      </w:rPr>
      <w:t>摩根恒生生物科技交易型开放式指数证券投资基金</w:t>
    </w:r>
    <w:r>
      <w:rPr>
        <w:rFonts w:ascii="宋体" w:hAnsi="宋体" w:hint="eastAsia"/>
      </w:rPr>
      <w:t>2026</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1078" w:hanging="794"/>
      </w:pPr>
      <w:rPr>
        <w:sz w:val="24"/>
        <w:szCs w:val="24"/>
      </w:r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02276897">
    <w:abstractNumId w:val="0"/>
  </w:num>
  <w:num w:numId="2" w16cid:durableId="1832522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0DEB"/>
    <w:rsid w:val="006933ED"/>
    <w:rsid w:val="00870DEB"/>
    <w:rsid w:val="00C8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chartTrackingRefBased/>
  <w15:docId w15:val="{F0B0CD70-92E1-4A9F-BB22-F83FBAC1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145">
      <w:marLeft w:val="0"/>
      <w:marRight w:val="0"/>
      <w:marTop w:val="0"/>
      <w:marBottom w:val="0"/>
      <w:divBdr>
        <w:top w:val="none" w:sz="0" w:space="0" w:color="auto"/>
        <w:left w:val="none" w:sz="0" w:space="0" w:color="auto"/>
        <w:bottom w:val="none" w:sz="0" w:space="0" w:color="auto"/>
        <w:right w:val="none" w:sz="0" w:space="0" w:color="auto"/>
      </w:divBdr>
    </w:div>
    <w:div w:id="119735306">
      <w:marLeft w:val="0"/>
      <w:marRight w:val="0"/>
      <w:marTop w:val="0"/>
      <w:marBottom w:val="0"/>
      <w:divBdr>
        <w:top w:val="none" w:sz="0" w:space="0" w:color="auto"/>
        <w:left w:val="none" w:sz="0" w:space="0" w:color="auto"/>
        <w:bottom w:val="none" w:sz="0" w:space="0" w:color="auto"/>
        <w:right w:val="none" w:sz="0" w:space="0" w:color="auto"/>
      </w:divBdr>
    </w:div>
    <w:div w:id="144786460">
      <w:marLeft w:val="0"/>
      <w:marRight w:val="0"/>
      <w:marTop w:val="0"/>
      <w:marBottom w:val="0"/>
      <w:divBdr>
        <w:top w:val="none" w:sz="0" w:space="0" w:color="auto"/>
        <w:left w:val="none" w:sz="0" w:space="0" w:color="auto"/>
        <w:bottom w:val="none" w:sz="0" w:space="0" w:color="auto"/>
        <w:right w:val="none" w:sz="0" w:space="0" w:color="auto"/>
      </w:divBdr>
    </w:div>
    <w:div w:id="268512523">
      <w:marLeft w:val="0"/>
      <w:marRight w:val="0"/>
      <w:marTop w:val="0"/>
      <w:marBottom w:val="0"/>
      <w:divBdr>
        <w:top w:val="none" w:sz="0" w:space="0" w:color="auto"/>
        <w:left w:val="none" w:sz="0" w:space="0" w:color="auto"/>
        <w:bottom w:val="none" w:sz="0" w:space="0" w:color="auto"/>
        <w:right w:val="none" w:sz="0" w:space="0" w:color="auto"/>
      </w:divBdr>
      <w:divsChild>
        <w:div w:id="581179057">
          <w:marLeft w:val="0"/>
          <w:marRight w:val="0"/>
          <w:marTop w:val="0"/>
          <w:marBottom w:val="0"/>
          <w:divBdr>
            <w:top w:val="none" w:sz="0" w:space="0" w:color="auto"/>
            <w:left w:val="none" w:sz="0" w:space="0" w:color="auto"/>
            <w:bottom w:val="none" w:sz="0" w:space="0" w:color="auto"/>
            <w:right w:val="none" w:sz="0" w:space="0" w:color="auto"/>
          </w:divBdr>
        </w:div>
      </w:divsChild>
    </w:div>
    <w:div w:id="531497418">
      <w:marLeft w:val="0"/>
      <w:marRight w:val="0"/>
      <w:marTop w:val="0"/>
      <w:marBottom w:val="0"/>
      <w:divBdr>
        <w:top w:val="none" w:sz="0" w:space="0" w:color="auto"/>
        <w:left w:val="none" w:sz="0" w:space="0" w:color="auto"/>
        <w:bottom w:val="none" w:sz="0" w:space="0" w:color="auto"/>
        <w:right w:val="none" w:sz="0" w:space="0" w:color="auto"/>
      </w:divBdr>
    </w:div>
    <w:div w:id="745111172">
      <w:marLeft w:val="0"/>
      <w:marRight w:val="0"/>
      <w:marTop w:val="0"/>
      <w:marBottom w:val="0"/>
      <w:divBdr>
        <w:top w:val="none" w:sz="0" w:space="0" w:color="auto"/>
        <w:left w:val="none" w:sz="0" w:space="0" w:color="auto"/>
        <w:bottom w:val="none" w:sz="0" w:space="0" w:color="auto"/>
        <w:right w:val="none" w:sz="0" w:space="0" w:color="auto"/>
      </w:divBdr>
    </w:div>
    <w:div w:id="960722565">
      <w:marLeft w:val="0"/>
      <w:marRight w:val="0"/>
      <w:marTop w:val="0"/>
      <w:marBottom w:val="0"/>
      <w:divBdr>
        <w:top w:val="none" w:sz="0" w:space="0" w:color="auto"/>
        <w:left w:val="none" w:sz="0" w:space="0" w:color="auto"/>
        <w:bottom w:val="none" w:sz="0" w:space="0" w:color="auto"/>
        <w:right w:val="none" w:sz="0" w:space="0" w:color="auto"/>
      </w:divBdr>
    </w:div>
    <w:div w:id="1080642370">
      <w:marLeft w:val="0"/>
      <w:marRight w:val="0"/>
      <w:marTop w:val="0"/>
      <w:marBottom w:val="0"/>
      <w:divBdr>
        <w:top w:val="none" w:sz="0" w:space="0" w:color="auto"/>
        <w:left w:val="none" w:sz="0" w:space="0" w:color="auto"/>
        <w:bottom w:val="none" w:sz="0" w:space="0" w:color="auto"/>
        <w:right w:val="none" w:sz="0" w:space="0" w:color="auto"/>
      </w:divBdr>
    </w:div>
    <w:div w:id="1185823771">
      <w:marLeft w:val="0"/>
      <w:marRight w:val="0"/>
      <w:marTop w:val="0"/>
      <w:marBottom w:val="0"/>
      <w:divBdr>
        <w:top w:val="none" w:sz="0" w:space="0" w:color="auto"/>
        <w:left w:val="none" w:sz="0" w:space="0" w:color="auto"/>
        <w:bottom w:val="none" w:sz="0" w:space="0" w:color="auto"/>
        <w:right w:val="none" w:sz="0" w:space="0" w:color="auto"/>
      </w:divBdr>
    </w:div>
    <w:div w:id="1373114934">
      <w:marLeft w:val="0"/>
      <w:marRight w:val="0"/>
      <w:marTop w:val="0"/>
      <w:marBottom w:val="0"/>
      <w:divBdr>
        <w:top w:val="none" w:sz="0" w:space="0" w:color="auto"/>
        <w:left w:val="none" w:sz="0" w:space="0" w:color="auto"/>
        <w:bottom w:val="none" w:sz="0" w:space="0" w:color="auto"/>
        <w:right w:val="none" w:sz="0" w:space="0" w:color="auto"/>
      </w:divBdr>
      <w:divsChild>
        <w:div w:id="1854109580">
          <w:marLeft w:val="0"/>
          <w:marRight w:val="0"/>
          <w:marTop w:val="0"/>
          <w:marBottom w:val="0"/>
          <w:divBdr>
            <w:top w:val="none" w:sz="0" w:space="0" w:color="auto"/>
            <w:left w:val="none" w:sz="0" w:space="0" w:color="auto"/>
            <w:bottom w:val="none" w:sz="0" w:space="0" w:color="auto"/>
            <w:right w:val="none" w:sz="0" w:space="0" w:color="auto"/>
          </w:divBdr>
        </w:div>
      </w:divsChild>
    </w:div>
    <w:div w:id="1469930420">
      <w:marLeft w:val="0"/>
      <w:marRight w:val="0"/>
      <w:marTop w:val="0"/>
      <w:marBottom w:val="0"/>
      <w:divBdr>
        <w:top w:val="none" w:sz="0" w:space="0" w:color="auto"/>
        <w:left w:val="none" w:sz="0" w:space="0" w:color="auto"/>
        <w:bottom w:val="none" w:sz="0" w:space="0" w:color="auto"/>
        <w:right w:val="none" w:sz="0" w:space="0" w:color="auto"/>
      </w:divBdr>
    </w:div>
    <w:div w:id="1632244042">
      <w:marLeft w:val="0"/>
      <w:marRight w:val="0"/>
      <w:marTop w:val="0"/>
      <w:marBottom w:val="0"/>
      <w:divBdr>
        <w:top w:val="none" w:sz="0" w:space="0" w:color="auto"/>
        <w:left w:val="none" w:sz="0" w:space="0" w:color="auto"/>
        <w:bottom w:val="none" w:sz="0" w:space="0" w:color="auto"/>
        <w:right w:val="none" w:sz="0" w:space="0" w:color="auto"/>
      </w:divBdr>
    </w:div>
    <w:div w:id="1711762952">
      <w:marLeft w:val="0"/>
      <w:marRight w:val="0"/>
      <w:marTop w:val="0"/>
      <w:marBottom w:val="0"/>
      <w:divBdr>
        <w:top w:val="none" w:sz="0" w:space="0" w:color="auto"/>
        <w:left w:val="none" w:sz="0" w:space="0" w:color="auto"/>
        <w:bottom w:val="none" w:sz="0" w:space="0" w:color="auto"/>
        <w:right w:val="none" w:sz="0" w:space="0" w:color="auto"/>
      </w:divBdr>
    </w:div>
    <w:div w:id="1833989658">
      <w:marLeft w:val="0"/>
      <w:marRight w:val="0"/>
      <w:marTop w:val="0"/>
      <w:marBottom w:val="0"/>
      <w:divBdr>
        <w:top w:val="none" w:sz="0" w:space="0" w:color="auto"/>
        <w:left w:val="none" w:sz="0" w:space="0" w:color="auto"/>
        <w:bottom w:val="none" w:sz="0" w:space="0" w:color="auto"/>
        <w:right w:val="none" w:sz="0" w:space="0" w:color="auto"/>
      </w:divBdr>
    </w:div>
    <w:div w:id="1892108905">
      <w:marLeft w:val="0"/>
      <w:marRight w:val="0"/>
      <w:marTop w:val="0"/>
      <w:marBottom w:val="0"/>
      <w:divBdr>
        <w:top w:val="none" w:sz="0" w:space="0" w:color="auto"/>
        <w:left w:val="none" w:sz="0" w:space="0" w:color="auto"/>
        <w:bottom w:val="none" w:sz="0" w:space="0" w:color="auto"/>
        <w:right w:val="none" w:sz="0" w:space="0" w:color="auto"/>
      </w:divBdr>
    </w:div>
    <w:div w:id="20427020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3231</Words>
  <Characters>3750</Characters>
  <Application>Microsoft Office Word</Application>
  <DocSecurity>4</DocSecurity>
  <Lines>312</Lines>
  <Paragraphs>387</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2</cp:revision>
  <dcterms:created xsi:type="dcterms:W3CDTF">2026-07-14T09:20:00Z</dcterms:created>
  <dcterms:modified xsi:type="dcterms:W3CDTF">2026-07-14T09:20:00Z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