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w:t>
      </w:r>
      <w:r w:rsidRPr="00473486">
        <w:rPr>
          <w:rFonts w:eastAsiaTheme="minorEastAsia"/>
          <w:b/>
          <w:color w:val="000000" w:themeColor="text1"/>
          <w:sz w:val="36"/>
          <w:szCs w:val="36"/>
        </w:rPr>
        <w:t>A50</w:t>
      </w:r>
      <w:r w:rsidRPr="00473486">
        <w:rPr>
          <w:rFonts w:eastAsiaTheme="minorEastAsia"/>
          <w:b/>
          <w:color w:val="000000" w:themeColor="text1"/>
          <w:sz w:val="36"/>
          <w:szCs w:val="36"/>
        </w:rPr>
        <w:t>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基金托管人：招商证券股份有限公司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报告送出日期：二〇二四年十月二十五日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w:t>
            </w:r>
            <w:r w:rsidRPr="00473486">
              <w:rPr>
                <w:rFonts w:eastAsiaTheme="minorEastAsia"/>
                <w:color w:val="000000" w:themeColor="text1"/>
                <w:kern w:val="0"/>
                <w:szCs w:val="21"/>
              </w:rPr>
              <w:t>A50ETF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560350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560350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5</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4,785,532,144.00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本基金主要采用复制策略、替代策略及其他适当的策略以更好地跟踪标的指数，实现基金投资目标。本基金力争日均跟踪偏离度的绝对值不超过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、复制策略</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本基金主要采用完全复制法，按照标的指数成份股构成及其权重构建股票资产组合，并根据标的指数成份股及其权重的变化对股票组合进行动态调整。</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）定期调整</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w:t>
            </w:r>
            <w:r>
              <w:rPr>
                <w:rFonts w:eastAsiaTheme="minorEastAsia"/>
                <w:color w:val="000000" w:themeColor="text1"/>
                <w:kern w:val="0"/>
                <w:szCs w:val="21"/>
              </w:rPr>
              <w:t>产生较大影响，将采用逐步调整的方式。</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）不定期调整</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）本基金将根据申购和赎回情况对股票投资组合进行调整，保证基金正常运行，从而有效跟踪标的指数。</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、替代策略</w:t>
            </w:r>
          </w:p>
          <w:p w:rsidR="005A30E4" w:rsidRDefault="00296EF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w:t>
            </w:r>
            <w:r w:rsidRPr="00473486">
              <w:rPr>
                <w:rFonts w:eastAsiaTheme="minorEastAsia"/>
                <w:color w:val="000000" w:themeColor="text1"/>
                <w:kern w:val="0"/>
                <w:szCs w:val="21"/>
              </w:rPr>
              <w:t>A50</w:t>
            </w:r>
            <w:r w:rsidRPr="00473486">
              <w:rPr>
                <w:rFonts w:eastAsiaTheme="minorEastAsia"/>
                <w:color w:val="000000" w:themeColor="text1"/>
                <w:kern w:val="0"/>
                <w:szCs w:val="21"/>
              </w:rPr>
              <w:t>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本基金为股票型指数基金，其预期风险和预期收益高于货币市场基金、债券型基金和混合型基金。本基金主要采用完全复制法跟踪标的指数的表现，具有与标的指数相似的风险收益特征。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招商证券股份有限公司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96EF9" w:rsidRPr="00473486" w:rsidTr="00296EF9">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296EF9" w:rsidRPr="00473486" w:rsidTr="00296EF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14,630,260.57</w:t>
            </w:r>
          </w:p>
        </w:tc>
      </w:tr>
      <w:tr w:rsidR="00296EF9" w:rsidRPr="00473486" w:rsidTr="00296EF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958,258,759.98</w:t>
            </w:r>
          </w:p>
        </w:tc>
      </w:tr>
      <w:tr w:rsidR="00296EF9" w:rsidRPr="00473486" w:rsidTr="00296EF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0.2280</w:t>
            </w:r>
          </w:p>
        </w:tc>
      </w:tr>
      <w:tr w:rsidR="00296EF9" w:rsidRPr="00473486" w:rsidTr="00296EF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5,599,554,857.50</w:t>
            </w:r>
          </w:p>
        </w:tc>
      </w:tr>
      <w:tr w:rsidR="00296EF9" w:rsidRPr="00473486" w:rsidTr="00296EF9">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1.1701</w:t>
            </w:r>
          </w:p>
        </w:tc>
      </w:tr>
    </w:tbl>
    <w:p w:rsidR="005A30E4" w:rsidRDefault="00296EF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5A30E4">
        <w:tc>
          <w:tcPr>
            <w:tcW w:w="1395" w:type="dxa"/>
            <w:vAlign w:val="center"/>
          </w:tcPr>
          <w:p w:rsidR="005A30E4" w:rsidRDefault="00296EF9">
            <w:pPr>
              <w:jc w:val="left"/>
            </w:pPr>
            <w:r>
              <w:rPr>
                <w:rFonts w:eastAsiaTheme="minorEastAsia"/>
                <w:color w:val="000000" w:themeColor="text1"/>
                <w:szCs w:val="21"/>
              </w:rPr>
              <w:t>过去三个月</w:t>
            </w:r>
          </w:p>
        </w:tc>
        <w:tc>
          <w:tcPr>
            <w:tcW w:w="1092" w:type="dxa"/>
            <w:vAlign w:val="center"/>
          </w:tcPr>
          <w:p w:rsidR="005A30E4" w:rsidRDefault="00296EF9">
            <w:pPr>
              <w:jc w:val="center"/>
            </w:pPr>
            <w:r>
              <w:rPr>
                <w:rFonts w:eastAsiaTheme="minorEastAsia"/>
                <w:color w:val="000000" w:themeColor="text1"/>
                <w:szCs w:val="21"/>
              </w:rPr>
              <w:t>20.07%</w:t>
            </w:r>
          </w:p>
        </w:tc>
        <w:tc>
          <w:tcPr>
            <w:tcW w:w="1161" w:type="dxa"/>
            <w:vAlign w:val="center"/>
          </w:tcPr>
          <w:p w:rsidR="005A30E4" w:rsidRDefault="00296EF9">
            <w:pPr>
              <w:jc w:val="center"/>
            </w:pPr>
            <w:r>
              <w:rPr>
                <w:rFonts w:eastAsiaTheme="minorEastAsia"/>
                <w:color w:val="000000" w:themeColor="text1"/>
                <w:szCs w:val="21"/>
              </w:rPr>
              <w:t>1.58%</w:t>
            </w:r>
          </w:p>
        </w:tc>
        <w:tc>
          <w:tcPr>
            <w:tcW w:w="1181" w:type="dxa"/>
            <w:vAlign w:val="center"/>
          </w:tcPr>
          <w:p w:rsidR="005A30E4" w:rsidRDefault="00296EF9">
            <w:pPr>
              <w:jc w:val="center"/>
            </w:pPr>
            <w:r>
              <w:rPr>
                <w:rFonts w:eastAsiaTheme="minorEastAsia"/>
                <w:color w:val="000000" w:themeColor="text1"/>
                <w:szCs w:val="21"/>
              </w:rPr>
              <w:t>18.66%</w:t>
            </w:r>
          </w:p>
        </w:tc>
        <w:tc>
          <w:tcPr>
            <w:tcW w:w="1188" w:type="dxa"/>
            <w:vAlign w:val="center"/>
          </w:tcPr>
          <w:p w:rsidR="005A30E4" w:rsidRDefault="00296EF9">
            <w:pPr>
              <w:jc w:val="center"/>
            </w:pPr>
            <w:r>
              <w:rPr>
                <w:rFonts w:eastAsiaTheme="minorEastAsia"/>
                <w:color w:val="000000" w:themeColor="text1"/>
                <w:szCs w:val="21"/>
              </w:rPr>
              <w:t>1.58%</w:t>
            </w:r>
          </w:p>
        </w:tc>
        <w:tc>
          <w:tcPr>
            <w:tcW w:w="1199" w:type="dxa"/>
            <w:vAlign w:val="center"/>
          </w:tcPr>
          <w:p w:rsidR="005A30E4" w:rsidRDefault="00296EF9">
            <w:pPr>
              <w:jc w:val="center"/>
            </w:pPr>
            <w:r>
              <w:rPr>
                <w:rFonts w:eastAsiaTheme="minorEastAsia"/>
                <w:color w:val="000000" w:themeColor="text1"/>
                <w:szCs w:val="21"/>
              </w:rPr>
              <w:t>1.41%</w:t>
            </w:r>
          </w:p>
        </w:tc>
        <w:tc>
          <w:tcPr>
            <w:tcW w:w="1204" w:type="dxa"/>
            <w:vAlign w:val="center"/>
          </w:tcPr>
          <w:p w:rsidR="005A30E4" w:rsidRDefault="00296EF9">
            <w:pPr>
              <w:jc w:val="center"/>
            </w:pPr>
            <w:r>
              <w:rPr>
                <w:rFonts w:eastAsiaTheme="minorEastAsia"/>
                <w:color w:val="000000" w:themeColor="text1"/>
                <w:szCs w:val="21"/>
              </w:rPr>
              <w:t>0.00%</w:t>
            </w:r>
          </w:p>
        </w:tc>
      </w:tr>
      <w:tr w:rsidR="005A30E4">
        <w:tc>
          <w:tcPr>
            <w:tcW w:w="1395" w:type="dxa"/>
            <w:vAlign w:val="center"/>
          </w:tcPr>
          <w:p w:rsidR="005A30E4" w:rsidRDefault="00296EF9">
            <w:pPr>
              <w:jc w:val="left"/>
            </w:pPr>
            <w:r>
              <w:rPr>
                <w:rFonts w:eastAsiaTheme="minorEastAsia"/>
                <w:color w:val="000000" w:themeColor="text1"/>
                <w:szCs w:val="21"/>
              </w:rPr>
              <w:t>过去六个月</w:t>
            </w:r>
          </w:p>
        </w:tc>
        <w:tc>
          <w:tcPr>
            <w:tcW w:w="1092" w:type="dxa"/>
            <w:vAlign w:val="center"/>
          </w:tcPr>
          <w:p w:rsidR="005A30E4" w:rsidRDefault="00296EF9">
            <w:pPr>
              <w:jc w:val="center"/>
            </w:pPr>
            <w:r>
              <w:rPr>
                <w:rFonts w:eastAsiaTheme="minorEastAsia"/>
                <w:color w:val="000000" w:themeColor="text1"/>
                <w:szCs w:val="21"/>
              </w:rPr>
              <w:t>18.52%</w:t>
            </w:r>
          </w:p>
        </w:tc>
        <w:tc>
          <w:tcPr>
            <w:tcW w:w="1161" w:type="dxa"/>
            <w:vAlign w:val="center"/>
          </w:tcPr>
          <w:p w:rsidR="005A30E4" w:rsidRDefault="00296EF9">
            <w:pPr>
              <w:jc w:val="center"/>
            </w:pPr>
            <w:r>
              <w:rPr>
                <w:rFonts w:eastAsiaTheme="minorEastAsia"/>
                <w:color w:val="000000" w:themeColor="text1"/>
                <w:szCs w:val="21"/>
              </w:rPr>
              <w:t>1.26%</w:t>
            </w:r>
          </w:p>
        </w:tc>
        <w:tc>
          <w:tcPr>
            <w:tcW w:w="1181" w:type="dxa"/>
            <w:vAlign w:val="center"/>
          </w:tcPr>
          <w:p w:rsidR="005A30E4" w:rsidRDefault="00296EF9">
            <w:pPr>
              <w:jc w:val="center"/>
            </w:pPr>
            <w:r>
              <w:rPr>
                <w:rFonts w:eastAsiaTheme="minorEastAsia"/>
                <w:color w:val="000000" w:themeColor="text1"/>
                <w:szCs w:val="21"/>
              </w:rPr>
              <w:t>15.69%</w:t>
            </w:r>
          </w:p>
        </w:tc>
        <w:tc>
          <w:tcPr>
            <w:tcW w:w="1188" w:type="dxa"/>
            <w:vAlign w:val="center"/>
          </w:tcPr>
          <w:p w:rsidR="005A30E4" w:rsidRDefault="00296EF9">
            <w:pPr>
              <w:jc w:val="center"/>
            </w:pPr>
            <w:r>
              <w:rPr>
                <w:rFonts w:eastAsiaTheme="minorEastAsia"/>
                <w:color w:val="000000" w:themeColor="text1"/>
                <w:szCs w:val="21"/>
              </w:rPr>
              <w:t>1.27%</w:t>
            </w:r>
          </w:p>
        </w:tc>
        <w:tc>
          <w:tcPr>
            <w:tcW w:w="1199" w:type="dxa"/>
            <w:vAlign w:val="center"/>
          </w:tcPr>
          <w:p w:rsidR="005A30E4" w:rsidRDefault="00296EF9">
            <w:pPr>
              <w:jc w:val="center"/>
            </w:pPr>
            <w:r>
              <w:rPr>
                <w:rFonts w:eastAsiaTheme="minorEastAsia"/>
                <w:color w:val="000000" w:themeColor="text1"/>
                <w:szCs w:val="21"/>
              </w:rPr>
              <w:t>2.83%</w:t>
            </w:r>
          </w:p>
        </w:tc>
        <w:tc>
          <w:tcPr>
            <w:tcW w:w="1204" w:type="dxa"/>
            <w:vAlign w:val="center"/>
          </w:tcPr>
          <w:p w:rsidR="005A30E4" w:rsidRDefault="00296EF9">
            <w:pPr>
              <w:jc w:val="center"/>
            </w:pPr>
            <w:r>
              <w:rPr>
                <w:rFonts w:eastAsiaTheme="minorEastAsia"/>
                <w:color w:val="000000" w:themeColor="text1"/>
                <w:szCs w:val="21"/>
              </w:rPr>
              <w:t>-0.01%</w:t>
            </w:r>
          </w:p>
        </w:tc>
      </w:tr>
      <w:tr w:rsidR="005A30E4">
        <w:tc>
          <w:tcPr>
            <w:tcW w:w="1395" w:type="dxa"/>
            <w:vAlign w:val="center"/>
          </w:tcPr>
          <w:p w:rsidR="005A30E4" w:rsidRDefault="00296EF9">
            <w:pPr>
              <w:jc w:val="left"/>
            </w:pPr>
            <w:r>
              <w:rPr>
                <w:rFonts w:eastAsiaTheme="minorEastAsia"/>
                <w:color w:val="000000" w:themeColor="text1"/>
                <w:szCs w:val="21"/>
              </w:rPr>
              <w:t>过去一年</w:t>
            </w:r>
          </w:p>
        </w:tc>
        <w:tc>
          <w:tcPr>
            <w:tcW w:w="1092" w:type="dxa"/>
            <w:vAlign w:val="center"/>
          </w:tcPr>
          <w:p w:rsidR="005A30E4" w:rsidRDefault="00296EF9">
            <w:pPr>
              <w:jc w:val="center"/>
            </w:pPr>
            <w:r>
              <w:rPr>
                <w:rFonts w:eastAsiaTheme="minorEastAsia"/>
                <w:color w:val="000000" w:themeColor="text1"/>
                <w:szCs w:val="21"/>
              </w:rPr>
              <w:t>-</w:t>
            </w:r>
          </w:p>
        </w:tc>
        <w:tc>
          <w:tcPr>
            <w:tcW w:w="1161" w:type="dxa"/>
            <w:vAlign w:val="center"/>
          </w:tcPr>
          <w:p w:rsidR="005A30E4" w:rsidRDefault="00296EF9">
            <w:pPr>
              <w:jc w:val="center"/>
            </w:pPr>
            <w:r>
              <w:rPr>
                <w:rFonts w:eastAsiaTheme="minorEastAsia"/>
                <w:color w:val="000000" w:themeColor="text1"/>
                <w:szCs w:val="21"/>
              </w:rPr>
              <w:t>-</w:t>
            </w:r>
          </w:p>
        </w:tc>
        <w:tc>
          <w:tcPr>
            <w:tcW w:w="1181" w:type="dxa"/>
            <w:vAlign w:val="center"/>
          </w:tcPr>
          <w:p w:rsidR="005A30E4" w:rsidRDefault="00296EF9">
            <w:pPr>
              <w:jc w:val="center"/>
            </w:pPr>
            <w:r>
              <w:rPr>
                <w:rFonts w:eastAsiaTheme="minorEastAsia"/>
                <w:color w:val="000000" w:themeColor="text1"/>
                <w:szCs w:val="21"/>
              </w:rPr>
              <w:t>-</w:t>
            </w:r>
          </w:p>
        </w:tc>
        <w:tc>
          <w:tcPr>
            <w:tcW w:w="1188" w:type="dxa"/>
            <w:vAlign w:val="center"/>
          </w:tcPr>
          <w:p w:rsidR="005A30E4" w:rsidRDefault="00296EF9">
            <w:pPr>
              <w:jc w:val="center"/>
            </w:pPr>
            <w:r>
              <w:rPr>
                <w:rFonts w:eastAsiaTheme="minorEastAsia"/>
                <w:color w:val="000000" w:themeColor="text1"/>
                <w:szCs w:val="21"/>
              </w:rPr>
              <w:t>-</w:t>
            </w:r>
          </w:p>
        </w:tc>
        <w:tc>
          <w:tcPr>
            <w:tcW w:w="1199" w:type="dxa"/>
            <w:vAlign w:val="center"/>
          </w:tcPr>
          <w:p w:rsidR="005A30E4" w:rsidRDefault="00296EF9">
            <w:pPr>
              <w:jc w:val="center"/>
            </w:pPr>
            <w:r>
              <w:rPr>
                <w:rFonts w:eastAsiaTheme="minorEastAsia"/>
                <w:color w:val="000000" w:themeColor="text1"/>
                <w:szCs w:val="21"/>
              </w:rPr>
              <w:t>-</w:t>
            </w:r>
          </w:p>
        </w:tc>
        <w:tc>
          <w:tcPr>
            <w:tcW w:w="1204" w:type="dxa"/>
            <w:vAlign w:val="center"/>
          </w:tcPr>
          <w:p w:rsidR="005A30E4" w:rsidRDefault="00296EF9">
            <w:pPr>
              <w:jc w:val="center"/>
            </w:pPr>
            <w:r>
              <w:rPr>
                <w:rFonts w:eastAsiaTheme="minorEastAsia"/>
                <w:color w:val="000000" w:themeColor="text1"/>
                <w:szCs w:val="21"/>
              </w:rPr>
              <w:t>-</w:t>
            </w:r>
          </w:p>
        </w:tc>
      </w:tr>
      <w:tr w:rsidR="005A30E4">
        <w:tc>
          <w:tcPr>
            <w:tcW w:w="1395" w:type="dxa"/>
            <w:vAlign w:val="center"/>
          </w:tcPr>
          <w:p w:rsidR="005A30E4" w:rsidRDefault="00296EF9">
            <w:pPr>
              <w:jc w:val="left"/>
            </w:pPr>
            <w:r>
              <w:rPr>
                <w:rFonts w:eastAsiaTheme="minorEastAsia"/>
                <w:color w:val="000000" w:themeColor="text1"/>
                <w:szCs w:val="21"/>
              </w:rPr>
              <w:t>过去三年</w:t>
            </w:r>
          </w:p>
        </w:tc>
        <w:tc>
          <w:tcPr>
            <w:tcW w:w="1092" w:type="dxa"/>
            <w:vAlign w:val="center"/>
          </w:tcPr>
          <w:p w:rsidR="005A30E4" w:rsidRDefault="00296EF9">
            <w:pPr>
              <w:jc w:val="center"/>
            </w:pPr>
            <w:r>
              <w:rPr>
                <w:rFonts w:eastAsiaTheme="minorEastAsia"/>
                <w:color w:val="000000" w:themeColor="text1"/>
                <w:szCs w:val="21"/>
              </w:rPr>
              <w:t>-</w:t>
            </w:r>
          </w:p>
        </w:tc>
        <w:tc>
          <w:tcPr>
            <w:tcW w:w="1161" w:type="dxa"/>
            <w:vAlign w:val="center"/>
          </w:tcPr>
          <w:p w:rsidR="005A30E4" w:rsidRDefault="00296EF9">
            <w:pPr>
              <w:jc w:val="center"/>
            </w:pPr>
            <w:r>
              <w:rPr>
                <w:rFonts w:eastAsiaTheme="minorEastAsia"/>
                <w:color w:val="000000" w:themeColor="text1"/>
                <w:szCs w:val="21"/>
              </w:rPr>
              <w:t>-</w:t>
            </w:r>
          </w:p>
        </w:tc>
        <w:tc>
          <w:tcPr>
            <w:tcW w:w="1181" w:type="dxa"/>
            <w:vAlign w:val="center"/>
          </w:tcPr>
          <w:p w:rsidR="005A30E4" w:rsidRDefault="00296EF9">
            <w:pPr>
              <w:jc w:val="center"/>
            </w:pPr>
            <w:r>
              <w:rPr>
                <w:rFonts w:eastAsiaTheme="minorEastAsia"/>
                <w:color w:val="000000" w:themeColor="text1"/>
                <w:szCs w:val="21"/>
              </w:rPr>
              <w:t>-</w:t>
            </w:r>
          </w:p>
        </w:tc>
        <w:tc>
          <w:tcPr>
            <w:tcW w:w="1188" w:type="dxa"/>
            <w:vAlign w:val="center"/>
          </w:tcPr>
          <w:p w:rsidR="005A30E4" w:rsidRDefault="00296EF9">
            <w:pPr>
              <w:jc w:val="center"/>
            </w:pPr>
            <w:r>
              <w:rPr>
                <w:rFonts w:eastAsiaTheme="minorEastAsia"/>
                <w:color w:val="000000" w:themeColor="text1"/>
                <w:szCs w:val="21"/>
              </w:rPr>
              <w:t>-</w:t>
            </w:r>
          </w:p>
        </w:tc>
        <w:tc>
          <w:tcPr>
            <w:tcW w:w="1199" w:type="dxa"/>
            <w:vAlign w:val="center"/>
          </w:tcPr>
          <w:p w:rsidR="005A30E4" w:rsidRDefault="00296EF9">
            <w:pPr>
              <w:jc w:val="center"/>
            </w:pPr>
            <w:r>
              <w:rPr>
                <w:rFonts w:eastAsiaTheme="minorEastAsia"/>
                <w:color w:val="000000" w:themeColor="text1"/>
                <w:szCs w:val="21"/>
              </w:rPr>
              <w:t>-</w:t>
            </w:r>
          </w:p>
        </w:tc>
        <w:tc>
          <w:tcPr>
            <w:tcW w:w="1204" w:type="dxa"/>
            <w:vAlign w:val="center"/>
          </w:tcPr>
          <w:p w:rsidR="005A30E4" w:rsidRDefault="00296EF9">
            <w:pPr>
              <w:jc w:val="center"/>
            </w:pPr>
            <w:r>
              <w:rPr>
                <w:rFonts w:eastAsiaTheme="minorEastAsia"/>
                <w:color w:val="000000" w:themeColor="text1"/>
                <w:szCs w:val="21"/>
              </w:rPr>
              <w:t>-</w:t>
            </w:r>
          </w:p>
        </w:tc>
      </w:tr>
      <w:tr w:rsidR="005A30E4">
        <w:tc>
          <w:tcPr>
            <w:tcW w:w="1395" w:type="dxa"/>
            <w:vAlign w:val="center"/>
          </w:tcPr>
          <w:p w:rsidR="005A30E4" w:rsidRDefault="00296EF9">
            <w:pPr>
              <w:jc w:val="left"/>
            </w:pPr>
            <w:r>
              <w:rPr>
                <w:rFonts w:eastAsiaTheme="minorEastAsia"/>
                <w:color w:val="000000" w:themeColor="text1"/>
                <w:szCs w:val="21"/>
              </w:rPr>
              <w:t>过去五年</w:t>
            </w:r>
          </w:p>
        </w:tc>
        <w:tc>
          <w:tcPr>
            <w:tcW w:w="1092" w:type="dxa"/>
            <w:vAlign w:val="center"/>
          </w:tcPr>
          <w:p w:rsidR="005A30E4" w:rsidRDefault="00296EF9">
            <w:pPr>
              <w:jc w:val="center"/>
            </w:pPr>
            <w:r>
              <w:rPr>
                <w:rFonts w:eastAsiaTheme="minorEastAsia"/>
                <w:color w:val="000000" w:themeColor="text1"/>
                <w:szCs w:val="21"/>
              </w:rPr>
              <w:t>-</w:t>
            </w:r>
          </w:p>
        </w:tc>
        <w:tc>
          <w:tcPr>
            <w:tcW w:w="1161" w:type="dxa"/>
            <w:vAlign w:val="center"/>
          </w:tcPr>
          <w:p w:rsidR="005A30E4" w:rsidRDefault="00296EF9">
            <w:pPr>
              <w:jc w:val="center"/>
            </w:pPr>
            <w:r>
              <w:rPr>
                <w:rFonts w:eastAsiaTheme="minorEastAsia"/>
                <w:color w:val="000000" w:themeColor="text1"/>
                <w:szCs w:val="21"/>
              </w:rPr>
              <w:t>-</w:t>
            </w:r>
          </w:p>
        </w:tc>
        <w:tc>
          <w:tcPr>
            <w:tcW w:w="1181" w:type="dxa"/>
            <w:vAlign w:val="center"/>
          </w:tcPr>
          <w:p w:rsidR="005A30E4" w:rsidRDefault="00296EF9">
            <w:pPr>
              <w:jc w:val="center"/>
            </w:pPr>
            <w:r>
              <w:rPr>
                <w:rFonts w:eastAsiaTheme="minorEastAsia"/>
                <w:color w:val="000000" w:themeColor="text1"/>
                <w:szCs w:val="21"/>
              </w:rPr>
              <w:t>-</w:t>
            </w:r>
          </w:p>
        </w:tc>
        <w:tc>
          <w:tcPr>
            <w:tcW w:w="1188" w:type="dxa"/>
            <w:vAlign w:val="center"/>
          </w:tcPr>
          <w:p w:rsidR="005A30E4" w:rsidRDefault="00296EF9">
            <w:pPr>
              <w:jc w:val="center"/>
            </w:pPr>
            <w:r>
              <w:rPr>
                <w:rFonts w:eastAsiaTheme="minorEastAsia"/>
                <w:color w:val="000000" w:themeColor="text1"/>
                <w:szCs w:val="21"/>
              </w:rPr>
              <w:t>-</w:t>
            </w:r>
          </w:p>
        </w:tc>
        <w:tc>
          <w:tcPr>
            <w:tcW w:w="1199" w:type="dxa"/>
            <w:vAlign w:val="center"/>
          </w:tcPr>
          <w:p w:rsidR="005A30E4" w:rsidRDefault="00296EF9">
            <w:pPr>
              <w:jc w:val="center"/>
            </w:pPr>
            <w:r>
              <w:rPr>
                <w:rFonts w:eastAsiaTheme="minorEastAsia"/>
                <w:color w:val="000000" w:themeColor="text1"/>
                <w:szCs w:val="21"/>
              </w:rPr>
              <w:t>-</w:t>
            </w:r>
          </w:p>
        </w:tc>
        <w:tc>
          <w:tcPr>
            <w:tcW w:w="1204" w:type="dxa"/>
            <w:vAlign w:val="center"/>
          </w:tcPr>
          <w:p w:rsidR="005A30E4" w:rsidRDefault="00296EF9">
            <w:pPr>
              <w:jc w:val="center"/>
            </w:pPr>
            <w:r>
              <w:rPr>
                <w:rFonts w:eastAsiaTheme="minorEastAsia"/>
                <w:color w:val="000000" w:themeColor="text1"/>
                <w:szCs w:val="21"/>
              </w:rPr>
              <w:t>-</w:t>
            </w:r>
          </w:p>
        </w:tc>
      </w:tr>
      <w:tr w:rsidR="005A30E4">
        <w:tc>
          <w:tcPr>
            <w:tcW w:w="1395" w:type="dxa"/>
            <w:vAlign w:val="center"/>
          </w:tcPr>
          <w:p w:rsidR="005A30E4" w:rsidRDefault="00296EF9">
            <w:pPr>
              <w:jc w:val="left"/>
            </w:pPr>
            <w:r>
              <w:rPr>
                <w:rFonts w:eastAsiaTheme="minorEastAsia"/>
                <w:color w:val="000000" w:themeColor="text1"/>
                <w:szCs w:val="21"/>
              </w:rPr>
              <w:t>自基金合同生效起至今</w:t>
            </w:r>
          </w:p>
        </w:tc>
        <w:tc>
          <w:tcPr>
            <w:tcW w:w="1092" w:type="dxa"/>
            <w:vAlign w:val="center"/>
          </w:tcPr>
          <w:p w:rsidR="005A30E4" w:rsidRDefault="00296EF9">
            <w:pPr>
              <w:jc w:val="center"/>
            </w:pPr>
            <w:r>
              <w:rPr>
                <w:rFonts w:eastAsiaTheme="minorEastAsia"/>
                <w:color w:val="000000" w:themeColor="text1"/>
                <w:szCs w:val="21"/>
              </w:rPr>
              <w:t>18.14%</w:t>
            </w:r>
          </w:p>
        </w:tc>
        <w:tc>
          <w:tcPr>
            <w:tcW w:w="1161" w:type="dxa"/>
            <w:vAlign w:val="center"/>
          </w:tcPr>
          <w:p w:rsidR="005A30E4" w:rsidRDefault="00296EF9">
            <w:pPr>
              <w:jc w:val="center"/>
            </w:pPr>
            <w:r>
              <w:rPr>
                <w:rFonts w:eastAsiaTheme="minorEastAsia"/>
                <w:color w:val="000000" w:themeColor="text1"/>
                <w:szCs w:val="21"/>
              </w:rPr>
              <w:t>1.20%</w:t>
            </w:r>
          </w:p>
        </w:tc>
        <w:tc>
          <w:tcPr>
            <w:tcW w:w="1181" w:type="dxa"/>
            <w:vAlign w:val="center"/>
          </w:tcPr>
          <w:p w:rsidR="005A30E4" w:rsidRDefault="00296EF9">
            <w:pPr>
              <w:jc w:val="center"/>
            </w:pPr>
            <w:r>
              <w:rPr>
                <w:rFonts w:eastAsiaTheme="minorEastAsia"/>
                <w:color w:val="000000" w:themeColor="text1"/>
                <w:szCs w:val="21"/>
              </w:rPr>
              <w:t>16.02%</w:t>
            </w:r>
          </w:p>
        </w:tc>
        <w:tc>
          <w:tcPr>
            <w:tcW w:w="1188" w:type="dxa"/>
            <w:vAlign w:val="center"/>
          </w:tcPr>
          <w:p w:rsidR="005A30E4" w:rsidRDefault="00296EF9">
            <w:pPr>
              <w:jc w:val="center"/>
            </w:pPr>
            <w:r>
              <w:rPr>
                <w:rFonts w:eastAsiaTheme="minorEastAsia"/>
                <w:color w:val="000000" w:themeColor="text1"/>
                <w:szCs w:val="21"/>
              </w:rPr>
              <w:t>1.21%</w:t>
            </w:r>
          </w:p>
        </w:tc>
        <w:tc>
          <w:tcPr>
            <w:tcW w:w="1199" w:type="dxa"/>
            <w:vAlign w:val="center"/>
          </w:tcPr>
          <w:p w:rsidR="005A30E4" w:rsidRDefault="00296EF9">
            <w:pPr>
              <w:jc w:val="center"/>
            </w:pPr>
            <w:r>
              <w:rPr>
                <w:rFonts w:eastAsiaTheme="minorEastAsia"/>
                <w:color w:val="000000" w:themeColor="text1"/>
                <w:szCs w:val="21"/>
              </w:rPr>
              <w:t>2.12%</w:t>
            </w:r>
          </w:p>
        </w:tc>
        <w:tc>
          <w:tcPr>
            <w:tcW w:w="1204" w:type="dxa"/>
            <w:vAlign w:val="center"/>
          </w:tcPr>
          <w:p w:rsidR="005A30E4" w:rsidRDefault="00296EF9">
            <w:pPr>
              <w:jc w:val="center"/>
            </w:pPr>
            <w:r>
              <w:rPr>
                <w:rFonts w:eastAsiaTheme="minorEastAsia"/>
                <w:color w:val="000000" w:themeColor="text1"/>
                <w:szCs w:val="21"/>
              </w:rPr>
              <w:t>-0.01%</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w:t>
      </w:r>
      <w:r w:rsidRPr="00473486">
        <w:rPr>
          <w:rFonts w:eastAsiaTheme="minorEastAsia"/>
          <w:color w:val="000000" w:themeColor="text1"/>
          <w:szCs w:val="21"/>
        </w:rPr>
        <w:t>A50</w:t>
      </w:r>
      <w:r w:rsidRPr="00473486">
        <w:rPr>
          <w:rFonts w:eastAsiaTheme="minorEastAsia"/>
          <w:color w:val="000000" w:themeColor="text1"/>
          <w:szCs w:val="21"/>
        </w:rPr>
        <w:t>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5</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5A30E4" w:rsidRDefault="00296EF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日，截至本报告期末本基金合同生效未满一年。</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5A30E4">
        <w:tc>
          <w:tcPr>
            <w:tcW w:w="851" w:type="dxa"/>
            <w:vAlign w:val="center"/>
          </w:tcPr>
          <w:p w:rsidR="005A30E4" w:rsidRDefault="00296EF9">
            <w:pPr>
              <w:jc w:val="center"/>
            </w:pPr>
            <w:r>
              <w:rPr>
                <w:rFonts w:eastAsiaTheme="minorEastAsia"/>
                <w:color w:val="000000" w:themeColor="text1"/>
                <w:szCs w:val="21"/>
              </w:rPr>
              <w:t>韩秀一</w:t>
            </w:r>
          </w:p>
        </w:tc>
        <w:tc>
          <w:tcPr>
            <w:tcW w:w="850" w:type="dxa"/>
            <w:vAlign w:val="center"/>
          </w:tcPr>
          <w:p w:rsidR="005A30E4" w:rsidRDefault="00296EF9">
            <w:pPr>
              <w:jc w:val="center"/>
            </w:pPr>
            <w:r>
              <w:rPr>
                <w:rFonts w:eastAsiaTheme="minorEastAsia"/>
                <w:color w:val="000000" w:themeColor="text1"/>
                <w:szCs w:val="21"/>
              </w:rPr>
              <w:t>本基金基金经理</w:t>
            </w:r>
          </w:p>
        </w:tc>
        <w:tc>
          <w:tcPr>
            <w:tcW w:w="1560" w:type="dxa"/>
            <w:vAlign w:val="center"/>
          </w:tcPr>
          <w:p w:rsidR="005A30E4" w:rsidRDefault="00296EF9">
            <w:pPr>
              <w:jc w:val="center"/>
            </w:pPr>
            <w:r>
              <w:rPr>
                <w:rFonts w:eastAsiaTheme="minorEastAsia"/>
                <w:color w:val="000000" w:themeColor="text1"/>
                <w:szCs w:val="21"/>
              </w:rPr>
              <w:t>2024-03-05</w:t>
            </w:r>
          </w:p>
        </w:tc>
        <w:tc>
          <w:tcPr>
            <w:tcW w:w="1559" w:type="dxa"/>
            <w:vAlign w:val="center"/>
          </w:tcPr>
          <w:p w:rsidR="005A30E4" w:rsidRDefault="00296EF9">
            <w:pPr>
              <w:jc w:val="center"/>
            </w:pPr>
            <w:r>
              <w:rPr>
                <w:rFonts w:eastAsiaTheme="minorEastAsia"/>
                <w:color w:val="000000" w:themeColor="text1"/>
                <w:szCs w:val="21"/>
              </w:rPr>
              <w:t>-</w:t>
            </w:r>
          </w:p>
        </w:tc>
        <w:tc>
          <w:tcPr>
            <w:tcW w:w="1417" w:type="dxa"/>
            <w:vAlign w:val="center"/>
          </w:tcPr>
          <w:p w:rsidR="005A30E4" w:rsidRDefault="00296EF9">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rsidR="005A30E4" w:rsidRDefault="00296EF9">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5A30E4" w:rsidRDefault="00296EF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A30E4" w:rsidRDefault="00296EF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韩秀一先生为本基金首任基金经理，其任职日期指本基金基金合同生效之日。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rFonts w:eastAsiaTheme="minorEastAsia"/>
          <w:color w:val="000000" w:themeColor="text1"/>
          <w:szCs w:val="21"/>
        </w:rPr>
        <w:t>投资组合在授权、研究分析、投资决策、交易执行、业绩评估等投资管理活动相关的环节均得到公平对待。</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w:t>
      </w:r>
      <w:r>
        <w:rPr>
          <w:rFonts w:eastAsiaTheme="minorEastAsia"/>
          <w:color w:val="000000" w:themeColor="text1"/>
          <w:szCs w:val="21"/>
        </w:rPr>
        <w:lastRenderedPageBreak/>
        <w:t>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本产品截至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日，最新净值</w:t>
      </w:r>
      <w:r>
        <w:rPr>
          <w:rFonts w:eastAsiaTheme="minorEastAsia"/>
          <w:color w:val="000000" w:themeColor="text1"/>
          <w:szCs w:val="21"/>
        </w:rPr>
        <w:t>1.1701</w:t>
      </w:r>
      <w:r>
        <w:rPr>
          <w:rFonts w:eastAsiaTheme="minorEastAsia"/>
          <w:color w:val="000000" w:themeColor="text1"/>
          <w:szCs w:val="21"/>
        </w:rPr>
        <w:t>，成立以来累计回报</w:t>
      </w:r>
      <w:r>
        <w:rPr>
          <w:rFonts w:eastAsiaTheme="minorEastAsia"/>
          <w:color w:val="000000" w:themeColor="text1"/>
          <w:szCs w:val="21"/>
        </w:rPr>
        <w:t>18.14%</w:t>
      </w:r>
      <w:r>
        <w:rPr>
          <w:rFonts w:eastAsiaTheme="minorEastAsia"/>
          <w:color w:val="000000" w:themeColor="text1"/>
          <w:szCs w:val="21"/>
        </w:rPr>
        <w:t>，三季度期间收益</w:t>
      </w:r>
      <w:r>
        <w:rPr>
          <w:rFonts w:eastAsiaTheme="minorEastAsia"/>
          <w:color w:val="000000" w:themeColor="text1"/>
          <w:szCs w:val="21"/>
        </w:rPr>
        <w:t>20.07%</w:t>
      </w:r>
      <w:r>
        <w:rPr>
          <w:rFonts w:eastAsiaTheme="minorEastAsia"/>
          <w:color w:val="000000" w:themeColor="text1"/>
          <w:szCs w:val="21"/>
        </w:rPr>
        <w:t>，跑赢基准</w:t>
      </w:r>
      <w:r>
        <w:rPr>
          <w:rFonts w:eastAsiaTheme="minorEastAsia"/>
          <w:color w:val="000000" w:themeColor="text1"/>
          <w:szCs w:val="21"/>
        </w:rPr>
        <w:t>1.408%</w:t>
      </w:r>
      <w:r>
        <w:rPr>
          <w:rFonts w:eastAsiaTheme="minorEastAsia"/>
          <w:color w:val="000000" w:themeColor="text1"/>
          <w:szCs w:val="21"/>
        </w:rPr>
        <w:t>。</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今年以来，中证</w:t>
      </w:r>
      <w:r>
        <w:rPr>
          <w:rFonts w:eastAsiaTheme="minorEastAsia"/>
          <w:color w:val="000000" w:themeColor="text1"/>
          <w:szCs w:val="21"/>
        </w:rPr>
        <w:t>A50</w:t>
      </w:r>
      <w:r>
        <w:rPr>
          <w:rFonts w:eastAsiaTheme="minorEastAsia"/>
          <w:color w:val="000000" w:themeColor="text1"/>
          <w:szCs w:val="21"/>
        </w:rPr>
        <w:t>指数先稳健上涨，后近几个月受到经济弱复苏，企业盈利疲弱的负面因素压制，导致中证</w:t>
      </w:r>
      <w:r>
        <w:rPr>
          <w:rFonts w:eastAsiaTheme="minorEastAsia"/>
          <w:color w:val="000000" w:themeColor="text1"/>
          <w:szCs w:val="21"/>
        </w:rPr>
        <w:t>A50</w:t>
      </w:r>
      <w:r>
        <w:rPr>
          <w:rFonts w:eastAsiaTheme="minorEastAsia"/>
          <w:color w:val="000000" w:themeColor="text1"/>
          <w:szCs w:val="21"/>
        </w:rPr>
        <w:t>指数出现回落。同时外部环境不确定性也在加剧，</w:t>
      </w:r>
      <w:r>
        <w:rPr>
          <w:rFonts w:eastAsiaTheme="minorEastAsia"/>
          <w:color w:val="000000" w:themeColor="text1"/>
          <w:szCs w:val="21"/>
        </w:rPr>
        <w:t>8</w:t>
      </w:r>
      <w:r>
        <w:rPr>
          <w:rFonts w:eastAsiaTheme="minorEastAsia"/>
          <w:color w:val="000000" w:themeColor="text1"/>
          <w:szCs w:val="21"/>
        </w:rPr>
        <w:t>月初因为日本央行加息预期，全球市场出现巨震。</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密集落地之下，市场风险偏好快速修复。市场从悲观情绪中扭转主要有三大因素，一是资本市场政策红利超预期，二是政策以需求侧为发力重点，三是宏观政策逆周期调</w:t>
      </w:r>
      <w:r>
        <w:rPr>
          <w:rFonts w:eastAsiaTheme="minorEastAsia"/>
          <w:color w:val="000000" w:themeColor="text1"/>
          <w:szCs w:val="21"/>
        </w:rPr>
        <w:t>节力度超预期。</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截至三季度末，中证</w:t>
      </w:r>
      <w:r>
        <w:rPr>
          <w:rFonts w:eastAsiaTheme="minorEastAsia"/>
          <w:color w:val="000000" w:themeColor="text1"/>
          <w:szCs w:val="21"/>
        </w:rPr>
        <w:t>A50</w:t>
      </w:r>
      <w:r>
        <w:rPr>
          <w:rFonts w:eastAsiaTheme="minorEastAsia"/>
          <w:color w:val="000000" w:themeColor="text1"/>
          <w:szCs w:val="21"/>
        </w:rPr>
        <w:t>指数最新估值</w:t>
      </w:r>
      <w:r>
        <w:rPr>
          <w:rFonts w:eastAsiaTheme="minorEastAsia"/>
          <w:color w:val="000000" w:themeColor="text1"/>
          <w:szCs w:val="21"/>
        </w:rPr>
        <w:t>18</w:t>
      </w:r>
      <w:r>
        <w:rPr>
          <w:rFonts w:eastAsiaTheme="minorEastAsia"/>
          <w:color w:val="000000" w:themeColor="text1"/>
          <w:szCs w:val="21"/>
        </w:rPr>
        <w:t>倍左右，仍然处于合理区间。从估值层面来看，当前主要宽基指数仍仅修复至历史中位数附近。从</w:t>
      </w:r>
      <w:r>
        <w:rPr>
          <w:rFonts w:eastAsiaTheme="minorEastAsia"/>
          <w:color w:val="000000" w:themeColor="text1"/>
          <w:szCs w:val="21"/>
        </w:rPr>
        <w:t>PE</w:t>
      </w:r>
      <w:r>
        <w:rPr>
          <w:rFonts w:eastAsiaTheme="minorEastAsia"/>
          <w:color w:val="000000" w:themeColor="text1"/>
          <w:szCs w:val="21"/>
        </w:rPr>
        <w:t>估值看，创业板指、中证</w:t>
      </w:r>
      <w:r>
        <w:rPr>
          <w:rFonts w:eastAsiaTheme="minorEastAsia"/>
          <w:color w:val="000000" w:themeColor="text1"/>
          <w:szCs w:val="21"/>
        </w:rPr>
        <w:t>500</w:t>
      </w:r>
      <w:r>
        <w:rPr>
          <w:rFonts w:eastAsiaTheme="minorEastAsia"/>
          <w:color w:val="000000" w:themeColor="text1"/>
          <w:szCs w:val="21"/>
        </w:rPr>
        <w:t>、中证</w:t>
      </w:r>
      <w:r>
        <w:rPr>
          <w:rFonts w:eastAsiaTheme="minorEastAsia"/>
          <w:color w:val="000000" w:themeColor="text1"/>
          <w:szCs w:val="21"/>
        </w:rPr>
        <w:t>1000</w:t>
      </w:r>
      <w:r>
        <w:rPr>
          <w:rFonts w:eastAsiaTheme="minorEastAsia"/>
          <w:color w:val="000000" w:themeColor="text1"/>
          <w:szCs w:val="21"/>
        </w:rPr>
        <w:t>、深证成指仍低于历史中位数。</w:t>
      </w:r>
      <w:r>
        <w:rPr>
          <w:rFonts w:eastAsiaTheme="minorEastAsia"/>
          <w:color w:val="000000" w:themeColor="text1"/>
          <w:szCs w:val="21"/>
        </w:rPr>
        <w:t>PB</w:t>
      </w:r>
      <w:r>
        <w:rPr>
          <w:rFonts w:eastAsiaTheme="minorEastAsia"/>
          <w:color w:val="000000" w:themeColor="text1"/>
          <w:szCs w:val="21"/>
        </w:rPr>
        <w:t>估值看，上述指数均低于历史中位数。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展望未来，随着经济复苏和企业盈利预期转暖，叠加美联储降息周期开启外部环境改善，我们认为</w:t>
      </w:r>
      <w:r w:rsidRPr="00473486">
        <w:rPr>
          <w:rFonts w:eastAsiaTheme="minorEastAsia"/>
          <w:color w:val="000000" w:themeColor="text1"/>
          <w:szCs w:val="21"/>
        </w:rPr>
        <w:t>A</w:t>
      </w:r>
      <w:r w:rsidRPr="00473486">
        <w:rPr>
          <w:rFonts w:eastAsiaTheme="minorEastAsia"/>
          <w:color w:val="000000" w:themeColor="text1"/>
          <w:szCs w:val="21"/>
        </w:rPr>
        <w:t>股修复行情有望延续。一方面，政策密集落地或将对国内经济和市场预期带来支撑，宽货币配合宽财政政策或将助力经济复苏和企业盈利回暖；另一方面，美联储降息周期启动，随着海外流动性压力的缓解，外资仓位的回补或将驱动资金持续回流中国。</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w:t>
      </w:r>
      <w:r w:rsidRPr="00473486">
        <w:rPr>
          <w:rFonts w:eastAsiaTheme="minorEastAsia"/>
          <w:color w:val="000000" w:themeColor="text1"/>
          <w:szCs w:val="21"/>
        </w:rPr>
        <w:t>A50ETF</w:t>
      </w:r>
      <w:r w:rsidRPr="00473486">
        <w:rPr>
          <w:rFonts w:eastAsiaTheme="minorEastAsia"/>
          <w:color w:val="000000" w:themeColor="text1"/>
          <w:szCs w:val="21"/>
        </w:rPr>
        <w:t>份额净值增长率为</w:t>
      </w:r>
      <w:r w:rsidRPr="00473486">
        <w:rPr>
          <w:rFonts w:eastAsiaTheme="minorEastAsia"/>
          <w:color w:val="000000" w:themeColor="text1"/>
          <w:szCs w:val="21"/>
        </w:rPr>
        <w:t>:20.07%</w:t>
      </w:r>
      <w:r w:rsidRPr="00473486">
        <w:rPr>
          <w:rFonts w:eastAsiaTheme="minorEastAsia"/>
          <w:color w:val="000000" w:themeColor="text1"/>
          <w:szCs w:val="21"/>
        </w:rPr>
        <w:t>，同期业绩比较基准收益率</w:t>
      </w:r>
      <w:r w:rsidRPr="00473486">
        <w:rPr>
          <w:rFonts w:eastAsiaTheme="minorEastAsia"/>
          <w:color w:val="000000" w:themeColor="text1"/>
          <w:szCs w:val="21"/>
        </w:rPr>
        <w:lastRenderedPageBreak/>
        <w:t>为</w:t>
      </w:r>
      <w:r w:rsidRPr="00473486">
        <w:rPr>
          <w:rFonts w:eastAsiaTheme="minorEastAsia"/>
          <w:color w:val="000000" w:themeColor="text1"/>
          <w:szCs w:val="21"/>
        </w:rPr>
        <w:t>:18.66%</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5,584,018,581.32</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99.61</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5,584,018,581.32</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99.61</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11,668,787.12</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0.21</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10,239,827.46</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0.18</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5,605,927,195.90</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w:t>
            </w:r>
            <w:r w:rsidRPr="00473486">
              <w:rPr>
                <w:rFonts w:eastAsiaTheme="minorEastAsia"/>
                <w:color w:val="000000" w:themeColor="text1"/>
                <w:szCs w:val="21"/>
              </w:rPr>
              <w:lastRenderedPageBreak/>
              <w:t>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87,917,451.05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1.57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377,980,051.60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6.75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3,235,913,381.97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57.79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255,322,830.00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4.56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89,294,820.00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109,768,456.00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205,234,708.09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3.67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932,102,288.61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16.65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45,711,216.00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101,818,235.00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91,420,560.00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51,524,535.00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5,584,008,533.32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99.72</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5A30E4">
        <w:tc>
          <w:tcPr>
            <w:tcW w:w="817" w:type="dxa"/>
            <w:vAlign w:val="center"/>
          </w:tcPr>
          <w:p w:rsidR="005A30E4" w:rsidRDefault="00296EF9">
            <w:pPr>
              <w:jc w:val="center"/>
            </w:pPr>
            <w:r>
              <w:rPr>
                <w:rFonts w:eastAsiaTheme="minorEastAsia"/>
                <w:color w:val="000000" w:themeColor="text1"/>
                <w:szCs w:val="21"/>
              </w:rPr>
              <w:t>1</w:t>
            </w:r>
          </w:p>
        </w:tc>
        <w:tc>
          <w:tcPr>
            <w:tcW w:w="1276" w:type="dxa"/>
            <w:vAlign w:val="center"/>
          </w:tcPr>
          <w:p w:rsidR="005A30E4" w:rsidRDefault="00296EF9">
            <w:pPr>
              <w:jc w:val="center"/>
            </w:pPr>
            <w:r>
              <w:rPr>
                <w:rFonts w:eastAsiaTheme="minorEastAsia"/>
                <w:color w:val="000000" w:themeColor="text1"/>
                <w:szCs w:val="21"/>
              </w:rPr>
              <w:t>600519</w:t>
            </w:r>
          </w:p>
        </w:tc>
        <w:tc>
          <w:tcPr>
            <w:tcW w:w="1701" w:type="dxa"/>
            <w:vAlign w:val="center"/>
          </w:tcPr>
          <w:p w:rsidR="005A30E4" w:rsidRDefault="00296EF9">
            <w:pPr>
              <w:jc w:val="center"/>
            </w:pPr>
            <w:r>
              <w:rPr>
                <w:rFonts w:eastAsiaTheme="minorEastAsia"/>
                <w:color w:val="000000" w:themeColor="text1"/>
                <w:szCs w:val="21"/>
              </w:rPr>
              <w:t>贵州茅台</w:t>
            </w:r>
          </w:p>
        </w:tc>
        <w:tc>
          <w:tcPr>
            <w:tcW w:w="1276" w:type="dxa"/>
            <w:vAlign w:val="center"/>
          </w:tcPr>
          <w:p w:rsidR="005A30E4" w:rsidRDefault="00296EF9">
            <w:pPr>
              <w:jc w:val="right"/>
            </w:pPr>
            <w:r>
              <w:rPr>
                <w:rFonts w:eastAsiaTheme="minorEastAsia"/>
                <w:color w:val="000000" w:themeColor="text1"/>
                <w:szCs w:val="21"/>
              </w:rPr>
              <w:t>300,609.00</w:t>
            </w:r>
          </w:p>
        </w:tc>
        <w:tc>
          <w:tcPr>
            <w:tcW w:w="1842" w:type="dxa"/>
            <w:vAlign w:val="center"/>
          </w:tcPr>
          <w:p w:rsidR="005A30E4" w:rsidRDefault="00296EF9">
            <w:pPr>
              <w:jc w:val="right"/>
            </w:pPr>
            <w:r>
              <w:rPr>
                <w:rFonts w:eastAsiaTheme="minorEastAsia"/>
                <w:color w:val="000000" w:themeColor="text1"/>
                <w:szCs w:val="21"/>
              </w:rPr>
              <w:t>525,464,532.00</w:t>
            </w:r>
          </w:p>
        </w:tc>
        <w:tc>
          <w:tcPr>
            <w:tcW w:w="1616" w:type="dxa"/>
            <w:vAlign w:val="center"/>
          </w:tcPr>
          <w:p w:rsidR="005A30E4" w:rsidRDefault="00296EF9">
            <w:pPr>
              <w:jc w:val="right"/>
            </w:pPr>
            <w:r>
              <w:rPr>
                <w:rFonts w:eastAsiaTheme="minorEastAsia"/>
                <w:color w:val="000000" w:themeColor="text1"/>
                <w:szCs w:val="21"/>
              </w:rPr>
              <w:t>9.38</w:t>
            </w:r>
          </w:p>
        </w:tc>
      </w:tr>
      <w:tr w:rsidR="005A30E4">
        <w:tc>
          <w:tcPr>
            <w:tcW w:w="817" w:type="dxa"/>
            <w:vAlign w:val="center"/>
          </w:tcPr>
          <w:p w:rsidR="005A30E4" w:rsidRDefault="00296EF9">
            <w:pPr>
              <w:jc w:val="center"/>
            </w:pPr>
            <w:r>
              <w:rPr>
                <w:rFonts w:eastAsiaTheme="minorEastAsia"/>
                <w:color w:val="000000" w:themeColor="text1"/>
                <w:szCs w:val="21"/>
              </w:rPr>
              <w:t>2</w:t>
            </w:r>
          </w:p>
        </w:tc>
        <w:tc>
          <w:tcPr>
            <w:tcW w:w="1276" w:type="dxa"/>
            <w:vAlign w:val="center"/>
          </w:tcPr>
          <w:p w:rsidR="005A30E4" w:rsidRDefault="00296EF9">
            <w:pPr>
              <w:jc w:val="center"/>
            </w:pPr>
            <w:r>
              <w:rPr>
                <w:rFonts w:eastAsiaTheme="minorEastAsia"/>
                <w:color w:val="000000" w:themeColor="text1"/>
                <w:szCs w:val="21"/>
              </w:rPr>
              <w:t>300750</w:t>
            </w:r>
          </w:p>
        </w:tc>
        <w:tc>
          <w:tcPr>
            <w:tcW w:w="1701" w:type="dxa"/>
            <w:vAlign w:val="center"/>
          </w:tcPr>
          <w:p w:rsidR="005A30E4" w:rsidRDefault="00296EF9">
            <w:pPr>
              <w:jc w:val="center"/>
            </w:pPr>
            <w:r>
              <w:rPr>
                <w:rFonts w:eastAsiaTheme="minorEastAsia"/>
                <w:color w:val="000000" w:themeColor="text1"/>
                <w:szCs w:val="21"/>
              </w:rPr>
              <w:t>宁德时代</w:t>
            </w:r>
          </w:p>
        </w:tc>
        <w:tc>
          <w:tcPr>
            <w:tcW w:w="1276" w:type="dxa"/>
            <w:vAlign w:val="center"/>
          </w:tcPr>
          <w:p w:rsidR="005A30E4" w:rsidRDefault="00296EF9">
            <w:pPr>
              <w:jc w:val="right"/>
            </w:pPr>
            <w:r>
              <w:rPr>
                <w:rFonts w:eastAsiaTheme="minorEastAsia"/>
                <w:color w:val="000000" w:themeColor="text1"/>
                <w:szCs w:val="21"/>
              </w:rPr>
              <w:t>1,834,668.00</w:t>
            </w:r>
          </w:p>
        </w:tc>
        <w:tc>
          <w:tcPr>
            <w:tcW w:w="1842" w:type="dxa"/>
            <w:vAlign w:val="center"/>
          </w:tcPr>
          <w:p w:rsidR="005A30E4" w:rsidRDefault="00296EF9">
            <w:pPr>
              <w:jc w:val="right"/>
            </w:pPr>
            <w:r>
              <w:rPr>
                <w:rFonts w:eastAsiaTheme="minorEastAsia"/>
                <w:color w:val="000000" w:themeColor="text1"/>
                <w:szCs w:val="21"/>
              </w:rPr>
              <w:t>462,134,522.52</w:t>
            </w:r>
          </w:p>
        </w:tc>
        <w:tc>
          <w:tcPr>
            <w:tcW w:w="1616" w:type="dxa"/>
            <w:vAlign w:val="center"/>
          </w:tcPr>
          <w:p w:rsidR="005A30E4" w:rsidRDefault="00296EF9">
            <w:pPr>
              <w:jc w:val="right"/>
            </w:pPr>
            <w:r>
              <w:rPr>
                <w:rFonts w:eastAsiaTheme="minorEastAsia"/>
                <w:color w:val="000000" w:themeColor="text1"/>
                <w:szCs w:val="21"/>
              </w:rPr>
              <w:t>8.25</w:t>
            </w:r>
          </w:p>
        </w:tc>
      </w:tr>
      <w:tr w:rsidR="005A30E4">
        <w:tc>
          <w:tcPr>
            <w:tcW w:w="817" w:type="dxa"/>
            <w:vAlign w:val="center"/>
          </w:tcPr>
          <w:p w:rsidR="005A30E4" w:rsidRDefault="00296EF9">
            <w:pPr>
              <w:jc w:val="center"/>
            </w:pPr>
            <w:r>
              <w:rPr>
                <w:rFonts w:eastAsiaTheme="minorEastAsia"/>
                <w:color w:val="000000" w:themeColor="text1"/>
                <w:szCs w:val="21"/>
              </w:rPr>
              <w:t>3</w:t>
            </w:r>
          </w:p>
        </w:tc>
        <w:tc>
          <w:tcPr>
            <w:tcW w:w="1276" w:type="dxa"/>
            <w:vAlign w:val="center"/>
          </w:tcPr>
          <w:p w:rsidR="005A30E4" w:rsidRDefault="00296EF9">
            <w:pPr>
              <w:jc w:val="center"/>
            </w:pPr>
            <w:r>
              <w:rPr>
                <w:rFonts w:eastAsiaTheme="minorEastAsia"/>
                <w:color w:val="000000" w:themeColor="text1"/>
                <w:szCs w:val="21"/>
              </w:rPr>
              <w:t>601318</w:t>
            </w:r>
          </w:p>
        </w:tc>
        <w:tc>
          <w:tcPr>
            <w:tcW w:w="1701" w:type="dxa"/>
            <w:vAlign w:val="center"/>
          </w:tcPr>
          <w:p w:rsidR="005A30E4" w:rsidRDefault="00296EF9">
            <w:pPr>
              <w:jc w:val="center"/>
            </w:pPr>
            <w:r>
              <w:rPr>
                <w:rFonts w:eastAsiaTheme="minorEastAsia"/>
                <w:color w:val="000000" w:themeColor="text1"/>
                <w:szCs w:val="21"/>
              </w:rPr>
              <w:t>中国平安</w:t>
            </w:r>
          </w:p>
        </w:tc>
        <w:tc>
          <w:tcPr>
            <w:tcW w:w="1276" w:type="dxa"/>
            <w:vAlign w:val="center"/>
          </w:tcPr>
          <w:p w:rsidR="005A30E4" w:rsidRDefault="00296EF9">
            <w:pPr>
              <w:jc w:val="right"/>
            </w:pPr>
            <w:r>
              <w:rPr>
                <w:rFonts w:eastAsiaTheme="minorEastAsia"/>
                <w:color w:val="000000" w:themeColor="text1"/>
                <w:szCs w:val="21"/>
              </w:rPr>
              <w:t>7,452,800.00</w:t>
            </w:r>
          </w:p>
        </w:tc>
        <w:tc>
          <w:tcPr>
            <w:tcW w:w="1842" w:type="dxa"/>
            <w:vAlign w:val="center"/>
          </w:tcPr>
          <w:p w:rsidR="005A30E4" w:rsidRDefault="00296EF9">
            <w:pPr>
              <w:jc w:val="right"/>
            </w:pPr>
            <w:r>
              <w:rPr>
                <w:rFonts w:eastAsiaTheme="minorEastAsia"/>
                <w:color w:val="000000" w:themeColor="text1"/>
                <w:szCs w:val="21"/>
              </w:rPr>
              <w:t>425,480,352.00</w:t>
            </w:r>
          </w:p>
        </w:tc>
        <w:tc>
          <w:tcPr>
            <w:tcW w:w="1616" w:type="dxa"/>
            <w:vAlign w:val="center"/>
          </w:tcPr>
          <w:p w:rsidR="005A30E4" w:rsidRDefault="00296EF9">
            <w:pPr>
              <w:jc w:val="right"/>
            </w:pPr>
            <w:r>
              <w:rPr>
                <w:rFonts w:eastAsiaTheme="minorEastAsia"/>
                <w:color w:val="000000" w:themeColor="text1"/>
                <w:szCs w:val="21"/>
              </w:rPr>
              <w:t>7.60</w:t>
            </w:r>
          </w:p>
        </w:tc>
      </w:tr>
      <w:tr w:rsidR="005A30E4">
        <w:tc>
          <w:tcPr>
            <w:tcW w:w="817" w:type="dxa"/>
            <w:vAlign w:val="center"/>
          </w:tcPr>
          <w:p w:rsidR="005A30E4" w:rsidRDefault="00296EF9">
            <w:pPr>
              <w:jc w:val="center"/>
            </w:pPr>
            <w:r>
              <w:rPr>
                <w:rFonts w:eastAsiaTheme="minorEastAsia"/>
                <w:color w:val="000000" w:themeColor="text1"/>
                <w:szCs w:val="21"/>
              </w:rPr>
              <w:t>4</w:t>
            </w:r>
          </w:p>
        </w:tc>
        <w:tc>
          <w:tcPr>
            <w:tcW w:w="1276" w:type="dxa"/>
            <w:vAlign w:val="center"/>
          </w:tcPr>
          <w:p w:rsidR="005A30E4" w:rsidRDefault="00296EF9">
            <w:pPr>
              <w:jc w:val="center"/>
            </w:pPr>
            <w:r>
              <w:rPr>
                <w:rFonts w:eastAsiaTheme="minorEastAsia"/>
                <w:color w:val="000000" w:themeColor="text1"/>
                <w:szCs w:val="21"/>
              </w:rPr>
              <w:t>600036</w:t>
            </w:r>
          </w:p>
        </w:tc>
        <w:tc>
          <w:tcPr>
            <w:tcW w:w="1701" w:type="dxa"/>
            <w:vAlign w:val="center"/>
          </w:tcPr>
          <w:p w:rsidR="005A30E4" w:rsidRDefault="00296EF9">
            <w:pPr>
              <w:jc w:val="center"/>
            </w:pPr>
            <w:r>
              <w:rPr>
                <w:rFonts w:eastAsiaTheme="minorEastAsia"/>
                <w:color w:val="000000" w:themeColor="text1"/>
                <w:szCs w:val="21"/>
              </w:rPr>
              <w:t>招商银行</w:t>
            </w:r>
          </w:p>
        </w:tc>
        <w:tc>
          <w:tcPr>
            <w:tcW w:w="1276" w:type="dxa"/>
            <w:vAlign w:val="center"/>
          </w:tcPr>
          <w:p w:rsidR="005A30E4" w:rsidRDefault="00296EF9">
            <w:pPr>
              <w:jc w:val="right"/>
            </w:pPr>
            <w:r>
              <w:rPr>
                <w:rFonts w:eastAsiaTheme="minorEastAsia"/>
                <w:color w:val="000000" w:themeColor="text1"/>
                <w:szCs w:val="21"/>
              </w:rPr>
              <w:t>8,592,301.0</w:t>
            </w:r>
            <w:r>
              <w:rPr>
                <w:rFonts w:eastAsiaTheme="minorEastAsia"/>
                <w:color w:val="000000" w:themeColor="text1"/>
                <w:szCs w:val="21"/>
              </w:rPr>
              <w:lastRenderedPageBreak/>
              <w:t>0</w:t>
            </w:r>
          </w:p>
        </w:tc>
        <w:tc>
          <w:tcPr>
            <w:tcW w:w="1842" w:type="dxa"/>
            <w:vAlign w:val="center"/>
          </w:tcPr>
          <w:p w:rsidR="005A30E4" w:rsidRDefault="00296EF9">
            <w:pPr>
              <w:jc w:val="right"/>
            </w:pPr>
            <w:r>
              <w:rPr>
                <w:rFonts w:eastAsiaTheme="minorEastAsia"/>
                <w:color w:val="000000" w:themeColor="text1"/>
                <w:szCs w:val="21"/>
              </w:rPr>
              <w:lastRenderedPageBreak/>
              <w:t>323,156,440.61</w:t>
            </w:r>
          </w:p>
        </w:tc>
        <w:tc>
          <w:tcPr>
            <w:tcW w:w="1616" w:type="dxa"/>
            <w:vAlign w:val="center"/>
          </w:tcPr>
          <w:p w:rsidR="005A30E4" w:rsidRDefault="00296EF9">
            <w:pPr>
              <w:jc w:val="right"/>
            </w:pPr>
            <w:r>
              <w:rPr>
                <w:rFonts w:eastAsiaTheme="minorEastAsia"/>
                <w:color w:val="000000" w:themeColor="text1"/>
                <w:szCs w:val="21"/>
              </w:rPr>
              <w:t>5.77</w:t>
            </w:r>
          </w:p>
        </w:tc>
      </w:tr>
      <w:tr w:rsidR="005A30E4">
        <w:tc>
          <w:tcPr>
            <w:tcW w:w="817" w:type="dxa"/>
            <w:vAlign w:val="center"/>
          </w:tcPr>
          <w:p w:rsidR="005A30E4" w:rsidRDefault="00296EF9">
            <w:pPr>
              <w:jc w:val="center"/>
            </w:pPr>
            <w:r>
              <w:rPr>
                <w:rFonts w:eastAsiaTheme="minorEastAsia"/>
                <w:color w:val="000000" w:themeColor="text1"/>
                <w:szCs w:val="21"/>
              </w:rPr>
              <w:t>5</w:t>
            </w:r>
          </w:p>
        </w:tc>
        <w:tc>
          <w:tcPr>
            <w:tcW w:w="1276" w:type="dxa"/>
            <w:vAlign w:val="center"/>
          </w:tcPr>
          <w:p w:rsidR="005A30E4" w:rsidRDefault="00296EF9">
            <w:pPr>
              <w:jc w:val="center"/>
            </w:pPr>
            <w:r>
              <w:rPr>
                <w:rFonts w:eastAsiaTheme="minorEastAsia"/>
                <w:color w:val="000000" w:themeColor="text1"/>
                <w:szCs w:val="21"/>
              </w:rPr>
              <w:t>000333</w:t>
            </w:r>
          </w:p>
        </w:tc>
        <w:tc>
          <w:tcPr>
            <w:tcW w:w="1701" w:type="dxa"/>
            <w:vAlign w:val="center"/>
          </w:tcPr>
          <w:p w:rsidR="005A30E4" w:rsidRDefault="00296EF9">
            <w:pPr>
              <w:jc w:val="center"/>
            </w:pPr>
            <w:r>
              <w:rPr>
                <w:rFonts w:eastAsiaTheme="minorEastAsia"/>
                <w:color w:val="000000" w:themeColor="text1"/>
                <w:szCs w:val="21"/>
              </w:rPr>
              <w:t>美的集团</w:t>
            </w:r>
          </w:p>
        </w:tc>
        <w:tc>
          <w:tcPr>
            <w:tcW w:w="1276" w:type="dxa"/>
            <w:vAlign w:val="center"/>
          </w:tcPr>
          <w:p w:rsidR="005A30E4" w:rsidRDefault="00296EF9">
            <w:pPr>
              <w:jc w:val="right"/>
            </w:pPr>
            <w:r>
              <w:rPr>
                <w:rFonts w:eastAsiaTheme="minorEastAsia"/>
                <w:color w:val="000000" w:themeColor="text1"/>
                <w:szCs w:val="21"/>
              </w:rPr>
              <w:t>3,392,177.00</w:t>
            </w:r>
          </w:p>
        </w:tc>
        <w:tc>
          <w:tcPr>
            <w:tcW w:w="1842" w:type="dxa"/>
            <w:vAlign w:val="center"/>
          </w:tcPr>
          <w:p w:rsidR="005A30E4" w:rsidRDefault="00296EF9">
            <w:pPr>
              <w:jc w:val="right"/>
            </w:pPr>
            <w:r>
              <w:rPr>
                <w:rFonts w:eastAsiaTheme="minorEastAsia"/>
                <w:color w:val="000000" w:themeColor="text1"/>
                <w:szCs w:val="21"/>
              </w:rPr>
              <w:t>258,008,982.62</w:t>
            </w:r>
          </w:p>
        </w:tc>
        <w:tc>
          <w:tcPr>
            <w:tcW w:w="1616" w:type="dxa"/>
            <w:vAlign w:val="center"/>
          </w:tcPr>
          <w:p w:rsidR="005A30E4" w:rsidRDefault="00296EF9">
            <w:pPr>
              <w:jc w:val="right"/>
            </w:pPr>
            <w:r>
              <w:rPr>
                <w:rFonts w:eastAsiaTheme="minorEastAsia"/>
                <w:color w:val="000000" w:themeColor="text1"/>
                <w:szCs w:val="21"/>
              </w:rPr>
              <w:t>4.61</w:t>
            </w:r>
          </w:p>
        </w:tc>
      </w:tr>
      <w:tr w:rsidR="005A30E4">
        <w:tc>
          <w:tcPr>
            <w:tcW w:w="817" w:type="dxa"/>
            <w:vAlign w:val="center"/>
          </w:tcPr>
          <w:p w:rsidR="005A30E4" w:rsidRDefault="00296EF9">
            <w:pPr>
              <w:jc w:val="center"/>
            </w:pPr>
            <w:r>
              <w:rPr>
                <w:rFonts w:eastAsiaTheme="minorEastAsia"/>
                <w:color w:val="000000" w:themeColor="text1"/>
                <w:szCs w:val="21"/>
              </w:rPr>
              <w:t>6</w:t>
            </w:r>
          </w:p>
        </w:tc>
        <w:tc>
          <w:tcPr>
            <w:tcW w:w="1276" w:type="dxa"/>
            <w:vAlign w:val="center"/>
          </w:tcPr>
          <w:p w:rsidR="005A30E4" w:rsidRDefault="00296EF9">
            <w:pPr>
              <w:jc w:val="center"/>
            </w:pPr>
            <w:r>
              <w:rPr>
                <w:rFonts w:eastAsiaTheme="minorEastAsia"/>
                <w:color w:val="000000" w:themeColor="text1"/>
                <w:szCs w:val="21"/>
              </w:rPr>
              <w:t>600900</w:t>
            </w:r>
          </w:p>
        </w:tc>
        <w:tc>
          <w:tcPr>
            <w:tcW w:w="1701" w:type="dxa"/>
            <w:vAlign w:val="center"/>
          </w:tcPr>
          <w:p w:rsidR="005A30E4" w:rsidRDefault="00296EF9">
            <w:pPr>
              <w:jc w:val="center"/>
            </w:pPr>
            <w:r>
              <w:rPr>
                <w:rFonts w:eastAsiaTheme="minorEastAsia"/>
                <w:color w:val="000000" w:themeColor="text1"/>
                <w:szCs w:val="21"/>
              </w:rPr>
              <w:t>长江电力</w:t>
            </w:r>
          </w:p>
        </w:tc>
        <w:tc>
          <w:tcPr>
            <w:tcW w:w="1276" w:type="dxa"/>
            <w:vAlign w:val="center"/>
          </w:tcPr>
          <w:p w:rsidR="005A30E4" w:rsidRDefault="00296EF9">
            <w:pPr>
              <w:jc w:val="right"/>
            </w:pPr>
            <w:r>
              <w:rPr>
                <w:rFonts w:eastAsiaTheme="minorEastAsia"/>
                <w:color w:val="000000" w:themeColor="text1"/>
                <w:szCs w:val="21"/>
              </w:rPr>
              <w:t>8,496,600.00</w:t>
            </w:r>
          </w:p>
        </w:tc>
        <w:tc>
          <w:tcPr>
            <w:tcW w:w="1842" w:type="dxa"/>
            <w:vAlign w:val="center"/>
          </w:tcPr>
          <w:p w:rsidR="005A30E4" w:rsidRDefault="00296EF9">
            <w:pPr>
              <w:jc w:val="right"/>
            </w:pPr>
            <w:r>
              <w:rPr>
                <w:rFonts w:eastAsiaTheme="minorEastAsia"/>
                <w:color w:val="000000" w:themeColor="text1"/>
                <w:szCs w:val="21"/>
              </w:rPr>
              <w:t>255,322,830.00</w:t>
            </w:r>
          </w:p>
        </w:tc>
        <w:tc>
          <w:tcPr>
            <w:tcW w:w="1616" w:type="dxa"/>
            <w:vAlign w:val="center"/>
          </w:tcPr>
          <w:p w:rsidR="005A30E4" w:rsidRDefault="00296EF9">
            <w:pPr>
              <w:jc w:val="right"/>
            </w:pPr>
            <w:r>
              <w:rPr>
                <w:rFonts w:eastAsiaTheme="minorEastAsia"/>
                <w:color w:val="000000" w:themeColor="text1"/>
                <w:szCs w:val="21"/>
              </w:rPr>
              <w:t>4.56</w:t>
            </w:r>
          </w:p>
        </w:tc>
      </w:tr>
      <w:tr w:rsidR="005A30E4">
        <w:tc>
          <w:tcPr>
            <w:tcW w:w="817" w:type="dxa"/>
            <w:vAlign w:val="center"/>
          </w:tcPr>
          <w:p w:rsidR="005A30E4" w:rsidRDefault="00296EF9">
            <w:pPr>
              <w:jc w:val="center"/>
            </w:pPr>
            <w:r>
              <w:rPr>
                <w:rFonts w:eastAsiaTheme="minorEastAsia"/>
                <w:color w:val="000000" w:themeColor="text1"/>
                <w:szCs w:val="21"/>
              </w:rPr>
              <w:t>7</w:t>
            </w:r>
          </w:p>
        </w:tc>
        <w:tc>
          <w:tcPr>
            <w:tcW w:w="1276" w:type="dxa"/>
            <w:vAlign w:val="center"/>
          </w:tcPr>
          <w:p w:rsidR="005A30E4" w:rsidRDefault="00296EF9">
            <w:pPr>
              <w:jc w:val="center"/>
            </w:pPr>
            <w:r>
              <w:rPr>
                <w:rFonts w:eastAsiaTheme="minorEastAsia"/>
                <w:color w:val="000000" w:themeColor="text1"/>
                <w:szCs w:val="21"/>
              </w:rPr>
              <w:t>601899</w:t>
            </w:r>
          </w:p>
        </w:tc>
        <w:tc>
          <w:tcPr>
            <w:tcW w:w="1701" w:type="dxa"/>
            <w:vAlign w:val="center"/>
          </w:tcPr>
          <w:p w:rsidR="005A30E4" w:rsidRDefault="00296EF9">
            <w:pPr>
              <w:jc w:val="center"/>
            </w:pPr>
            <w:r>
              <w:rPr>
                <w:rFonts w:eastAsiaTheme="minorEastAsia"/>
                <w:color w:val="000000" w:themeColor="text1"/>
                <w:szCs w:val="21"/>
              </w:rPr>
              <w:t>紫金矿业</w:t>
            </w:r>
          </w:p>
        </w:tc>
        <w:tc>
          <w:tcPr>
            <w:tcW w:w="1276" w:type="dxa"/>
            <w:vAlign w:val="center"/>
          </w:tcPr>
          <w:p w:rsidR="005A30E4" w:rsidRDefault="00296EF9">
            <w:pPr>
              <w:jc w:val="right"/>
            </w:pPr>
            <w:r>
              <w:rPr>
                <w:rFonts w:eastAsiaTheme="minorEastAsia"/>
                <w:color w:val="000000" w:themeColor="text1"/>
                <w:szCs w:val="21"/>
              </w:rPr>
              <w:t>11,438,400.00</w:t>
            </w:r>
          </w:p>
        </w:tc>
        <w:tc>
          <w:tcPr>
            <w:tcW w:w="1842" w:type="dxa"/>
            <w:vAlign w:val="center"/>
          </w:tcPr>
          <w:p w:rsidR="005A30E4" w:rsidRDefault="00296EF9">
            <w:pPr>
              <w:jc w:val="right"/>
            </w:pPr>
            <w:r>
              <w:rPr>
                <w:rFonts w:eastAsiaTheme="minorEastAsia"/>
                <w:color w:val="000000" w:themeColor="text1"/>
                <w:szCs w:val="21"/>
              </w:rPr>
              <w:t>207,492,576.00</w:t>
            </w:r>
          </w:p>
        </w:tc>
        <w:tc>
          <w:tcPr>
            <w:tcW w:w="1616" w:type="dxa"/>
            <w:vAlign w:val="center"/>
          </w:tcPr>
          <w:p w:rsidR="005A30E4" w:rsidRDefault="00296EF9">
            <w:pPr>
              <w:jc w:val="right"/>
            </w:pPr>
            <w:r>
              <w:rPr>
                <w:rFonts w:eastAsiaTheme="minorEastAsia"/>
                <w:color w:val="000000" w:themeColor="text1"/>
                <w:szCs w:val="21"/>
              </w:rPr>
              <w:t>3.71</w:t>
            </w:r>
          </w:p>
        </w:tc>
      </w:tr>
      <w:tr w:rsidR="005A30E4">
        <w:tc>
          <w:tcPr>
            <w:tcW w:w="817" w:type="dxa"/>
            <w:vAlign w:val="center"/>
          </w:tcPr>
          <w:p w:rsidR="005A30E4" w:rsidRDefault="00296EF9">
            <w:pPr>
              <w:jc w:val="center"/>
            </w:pPr>
            <w:r>
              <w:rPr>
                <w:rFonts w:eastAsiaTheme="minorEastAsia"/>
                <w:color w:val="000000" w:themeColor="text1"/>
                <w:szCs w:val="21"/>
              </w:rPr>
              <w:t>8</w:t>
            </w:r>
          </w:p>
        </w:tc>
        <w:tc>
          <w:tcPr>
            <w:tcW w:w="1276" w:type="dxa"/>
            <w:vAlign w:val="center"/>
          </w:tcPr>
          <w:p w:rsidR="005A30E4" w:rsidRDefault="00296EF9">
            <w:pPr>
              <w:jc w:val="center"/>
            </w:pPr>
            <w:r>
              <w:rPr>
                <w:rFonts w:eastAsiaTheme="minorEastAsia"/>
                <w:color w:val="000000" w:themeColor="text1"/>
                <w:szCs w:val="21"/>
              </w:rPr>
              <w:t>002594</w:t>
            </w:r>
          </w:p>
        </w:tc>
        <w:tc>
          <w:tcPr>
            <w:tcW w:w="1701" w:type="dxa"/>
            <w:vAlign w:val="center"/>
          </w:tcPr>
          <w:p w:rsidR="005A30E4" w:rsidRDefault="00296EF9">
            <w:pPr>
              <w:jc w:val="center"/>
            </w:pPr>
            <w:r>
              <w:rPr>
                <w:rFonts w:eastAsiaTheme="minorEastAsia"/>
                <w:color w:val="000000" w:themeColor="text1"/>
                <w:szCs w:val="21"/>
              </w:rPr>
              <w:t>比亚迪</w:t>
            </w:r>
          </w:p>
        </w:tc>
        <w:tc>
          <w:tcPr>
            <w:tcW w:w="1276" w:type="dxa"/>
            <w:vAlign w:val="center"/>
          </w:tcPr>
          <w:p w:rsidR="005A30E4" w:rsidRDefault="00296EF9">
            <w:pPr>
              <w:jc w:val="right"/>
            </w:pPr>
            <w:r>
              <w:rPr>
                <w:rFonts w:eastAsiaTheme="minorEastAsia"/>
                <w:color w:val="000000" w:themeColor="text1"/>
                <w:szCs w:val="21"/>
              </w:rPr>
              <w:t>632,000.00</w:t>
            </w:r>
          </w:p>
        </w:tc>
        <w:tc>
          <w:tcPr>
            <w:tcW w:w="1842" w:type="dxa"/>
            <w:vAlign w:val="center"/>
          </w:tcPr>
          <w:p w:rsidR="005A30E4" w:rsidRDefault="00296EF9">
            <w:pPr>
              <w:jc w:val="right"/>
            </w:pPr>
            <w:r>
              <w:rPr>
                <w:rFonts w:eastAsiaTheme="minorEastAsia"/>
                <w:color w:val="000000" w:themeColor="text1"/>
                <w:szCs w:val="21"/>
              </w:rPr>
              <w:t>194,219,920.00</w:t>
            </w:r>
          </w:p>
        </w:tc>
        <w:tc>
          <w:tcPr>
            <w:tcW w:w="1616" w:type="dxa"/>
            <w:vAlign w:val="center"/>
          </w:tcPr>
          <w:p w:rsidR="005A30E4" w:rsidRDefault="00296EF9">
            <w:pPr>
              <w:jc w:val="right"/>
            </w:pPr>
            <w:r>
              <w:rPr>
                <w:rFonts w:eastAsiaTheme="minorEastAsia"/>
                <w:color w:val="000000" w:themeColor="text1"/>
                <w:szCs w:val="21"/>
              </w:rPr>
              <w:t>3.47</w:t>
            </w:r>
          </w:p>
        </w:tc>
      </w:tr>
      <w:tr w:rsidR="005A30E4">
        <w:tc>
          <w:tcPr>
            <w:tcW w:w="817" w:type="dxa"/>
            <w:vAlign w:val="center"/>
          </w:tcPr>
          <w:p w:rsidR="005A30E4" w:rsidRDefault="00296EF9">
            <w:pPr>
              <w:jc w:val="center"/>
            </w:pPr>
            <w:r>
              <w:rPr>
                <w:rFonts w:eastAsiaTheme="minorEastAsia"/>
                <w:color w:val="000000" w:themeColor="text1"/>
                <w:szCs w:val="21"/>
              </w:rPr>
              <w:t>9</w:t>
            </w:r>
          </w:p>
        </w:tc>
        <w:tc>
          <w:tcPr>
            <w:tcW w:w="1276" w:type="dxa"/>
            <w:vAlign w:val="center"/>
          </w:tcPr>
          <w:p w:rsidR="005A30E4" w:rsidRDefault="00296EF9">
            <w:pPr>
              <w:jc w:val="center"/>
            </w:pPr>
            <w:r>
              <w:rPr>
                <w:rFonts w:eastAsiaTheme="minorEastAsia"/>
                <w:color w:val="000000" w:themeColor="text1"/>
                <w:szCs w:val="21"/>
              </w:rPr>
              <w:t>600030</w:t>
            </w:r>
          </w:p>
        </w:tc>
        <w:tc>
          <w:tcPr>
            <w:tcW w:w="1701" w:type="dxa"/>
            <w:vAlign w:val="center"/>
          </w:tcPr>
          <w:p w:rsidR="005A30E4" w:rsidRDefault="00296EF9">
            <w:pPr>
              <w:jc w:val="center"/>
            </w:pPr>
            <w:r>
              <w:rPr>
                <w:rFonts w:eastAsiaTheme="minorEastAsia"/>
                <w:color w:val="000000" w:themeColor="text1"/>
                <w:szCs w:val="21"/>
              </w:rPr>
              <w:t>中信证券</w:t>
            </w:r>
          </w:p>
        </w:tc>
        <w:tc>
          <w:tcPr>
            <w:tcW w:w="1276" w:type="dxa"/>
            <w:vAlign w:val="center"/>
          </w:tcPr>
          <w:p w:rsidR="005A30E4" w:rsidRDefault="00296EF9">
            <w:pPr>
              <w:jc w:val="right"/>
            </w:pPr>
            <w:r>
              <w:rPr>
                <w:rFonts w:eastAsiaTheme="minorEastAsia"/>
                <w:color w:val="000000" w:themeColor="text1"/>
                <w:szCs w:val="21"/>
              </w:rPr>
              <w:t>6,745,055.00</w:t>
            </w:r>
          </w:p>
        </w:tc>
        <w:tc>
          <w:tcPr>
            <w:tcW w:w="1842" w:type="dxa"/>
            <w:vAlign w:val="center"/>
          </w:tcPr>
          <w:p w:rsidR="005A30E4" w:rsidRDefault="00296EF9">
            <w:pPr>
              <w:jc w:val="right"/>
            </w:pPr>
            <w:r>
              <w:rPr>
                <w:rFonts w:eastAsiaTheme="minorEastAsia"/>
                <w:color w:val="000000" w:themeColor="text1"/>
                <w:szCs w:val="21"/>
              </w:rPr>
              <w:t>183,465,496.00</w:t>
            </w:r>
          </w:p>
        </w:tc>
        <w:tc>
          <w:tcPr>
            <w:tcW w:w="1616" w:type="dxa"/>
            <w:vAlign w:val="center"/>
          </w:tcPr>
          <w:p w:rsidR="005A30E4" w:rsidRDefault="00296EF9">
            <w:pPr>
              <w:jc w:val="right"/>
            </w:pPr>
            <w:r>
              <w:rPr>
                <w:rFonts w:eastAsiaTheme="minorEastAsia"/>
                <w:color w:val="000000" w:themeColor="text1"/>
                <w:szCs w:val="21"/>
              </w:rPr>
              <w:t>3.28</w:t>
            </w:r>
          </w:p>
        </w:tc>
      </w:tr>
      <w:tr w:rsidR="005A30E4">
        <w:tc>
          <w:tcPr>
            <w:tcW w:w="817" w:type="dxa"/>
            <w:vAlign w:val="center"/>
          </w:tcPr>
          <w:p w:rsidR="005A30E4" w:rsidRDefault="00296EF9">
            <w:pPr>
              <w:jc w:val="center"/>
            </w:pPr>
            <w:r>
              <w:rPr>
                <w:rFonts w:eastAsiaTheme="minorEastAsia"/>
                <w:color w:val="000000" w:themeColor="text1"/>
                <w:szCs w:val="21"/>
              </w:rPr>
              <w:t>10</w:t>
            </w:r>
          </w:p>
        </w:tc>
        <w:tc>
          <w:tcPr>
            <w:tcW w:w="1276" w:type="dxa"/>
            <w:vAlign w:val="center"/>
          </w:tcPr>
          <w:p w:rsidR="005A30E4" w:rsidRDefault="00296EF9">
            <w:pPr>
              <w:jc w:val="center"/>
            </w:pPr>
            <w:r>
              <w:rPr>
                <w:rFonts w:eastAsiaTheme="minorEastAsia"/>
                <w:color w:val="000000" w:themeColor="text1"/>
                <w:szCs w:val="21"/>
              </w:rPr>
              <w:t>600276</w:t>
            </w:r>
          </w:p>
        </w:tc>
        <w:tc>
          <w:tcPr>
            <w:tcW w:w="1701" w:type="dxa"/>
            <w:vAlign w:val="center"/>
          </w:tcPr>
          <w:p w:rsidR="005A30E4" w:rsidRDefault="00296EF9">
            <w:pPr>
              <w:jc w:val="center"/>
            </w:pPr>
            <w:r>
              <w:rPr>
                <w:rFonts w:eastAsiaTheme="minorEastAsia"/>
                <w:color w:val="000000" w:themeColor="text1"/>
                <w:szCs w:val="21"/>
              </w:rPr>
              <w:t>恒瑞医药</w:t>
            </w:r>
          </w:p>
        </w:tc>
        <w:tc>
          <w:tcPr>
            <w:tcW w:w="1276" w:type="dxa"/>
            <w:vAlign w:val="center"/>
          </w:tcPr>
          <w:p w:rsidR="005A30E4" w:rsidRDefault="00296EF9">
            <w:pPr>
              <w:jc w:val="right"/>
            </w:pPr>
            <w:r>
              <w:rPr>
                <w:rFonts w:eastAsiaTheme="minorEastAsia"/>
                <w:color w:val="000000" w:themeColor="text1"/>
                <w:szCs w:val="21"/>
              </w:rPr>
              <w:t>3,100,580.00</w:t>
            </w:r>
          </w:p>
        </w:tc>
        <w:tc>
          <w:tcPr>
            <w:tcW w:w="1842" w:type="dxa"/>
            <w:vAlign w:val="center"/>
          </w:tcPr>
          <w:p w:rsidR="005A30E4" w:rsidRDefault="00296EF9">
            <w:pPr>
              <w:jc w:val="right"/>
            </w:pPr>
            <w:r>
              <w:rPr>
                <w:rFonts w:eastAsiaTheme="minorEastAsia"/>
                <w:color w:val="000000" w:themeColor="text1"/>
                <w:szCs w:val="21"/>
              </w:rPr>
              <w:t>162,160,334.00</w:t>
            </w:r>
          </w:p>
        </w:tc>
        <w:tc>
          <w:tcPr>
            <w:tcW w:w="1616" w:type="dxa"/>
            <w:vAlign w:val="center"/>
          </w:tcPr>
          <w:p w:rsidR="005A30E4" w:rsidRDefault="00296EF9">
            <w:pPr>
              <w:jc w:val="right"/>
            </w:pPr>
            <w:r>
              <w:rPr>
                <w:rFonts w:eastAsiaTheme="minorEastAsia"/>
                <w:color w:val="000000" w:themeColor="text1"/>
                <w:szCs w:val="21"/>
              </w:rPr>
              <w:t>2.90</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lastRenderedPageBreak/>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中信证券股份有限公司报告编制日前一年内曾受到中国证监会的处罚，招商银行股份有限公司报告编制日前一年内曾受到国家金融监督管理总局、国家金融监督管理总局深圳监管局、国家外汇管理局深圳市分局的处罚。</w:t>
      </w:r>
    </w:p>
    <w:p w:rsidR="005A30E4" w:rsidRDefault="00296EF9">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w:t>
      </w:r>
      <w:r>
        <w:rPr>
          <w:rFonts w:eastAsiaTheme="minorEastAsia"/>
          <w:color w:val="000000" w:themeColor="text1"/>
          <w:szCs w:val="21"/>
        </w:rPr>
        <w:t>主体本期没有出现被监管部门立案调查，或在报告编制日前一年内受到公开谴责、处罚的情形。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3,481,318.75</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6,758,508.71</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10,239,827.46</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lastRenderedPageBreak/>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4,137,532,144.00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1,758,000,000.00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1,110,000,000.00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4,785,532,144.00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§8</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中国证监会准予摩根中证</w:t>
      </w:r>
      <w:r>
        <w:rPr>
          <w:rFonts w:eastAsiaTheme="minorEastAsia"/>
          <w:color w:val="000000" w:themeColor="text1"/>
          <w:szCs w:val="21"/>
        </w:rPr>
        <w:t>A50</w:t>
      </w:r>
      <w:r>
        <w:rPr>
          <w:rFonts w:eastAsiaTheme="minorEastAsia"/>
          <w:color w:val="000000" w:themeColor="text1"/>
          <w:szCs w:val="21"/>
        </w:rPr>
        <w:t>交易型开放式指数证券投资基金募集注册的文件</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交易型开放式指数证券投资基金基金合同</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交易型开放式指数证券投资基金托管协议</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A30E4" w:rsidRDefault="00296EF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二〇二四年十月二十五日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6EF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6EF9">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96EF9">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摩根中证</w:t>
    </w:r>
    <w:r>
      <w:t>A50</w:t>
    </w:r>
    <w:r>
      <w:t>交易型开放式指数证券投资基金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96E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0E4"/>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1085</Words>
  <Characters>6185</Characters>
  <Application>Microsoft Office Word</Application>
  <DocSecurity>0</DocSecurity>
  <Lines>51</Lines>
  <Paragraphs>14</Paragraphs>
  <ScaleCrop>false</ScaleCrop>
  <Company>TRT. Ltd. Co.</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Heming.Huang@TA</cp:lastModifiedBy>
  <cp:revision>158</cp:revision>
  <cp:lastPrinted>2007-07-19T00:46:00Z</cp:lastPrinted>
  <dcterms:created xsi:type="dcterms:W3CDTF">2012-11-21T04:46:00Z</dcterms:created>
  <dcterms:modified xsi:type="dcterms:W3CDTF">2024-10-24T05:44:00Z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