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5B265" w14:textId="77777777" w:rsidR="00881A82" w:rsidRPr="00473486" w:rsidRDefault="00881A82">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14:paraId="4F79B06C"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A71F003"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0114F39" w14:textId="77777777"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14:paraId="43191706"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摩根中证</w:t>
      </w:r>
      <w:r w:rsidRPr="00473486">
        <w:rPr>
          <w:rFonts w:eastAsiaTheme="minorEastAsia"/>
          <w:b/>
          <w:color w:val="000000" w:themeColor="text1"/>
          <w:sz w:val="36"/>
          <w:szCs w:val="36"/>
        </w:rPr>
        <w:t>A500</w:t>
      </w:r>
      <w:r w:rsidRPr="00473486">
        <w:rPr>
          <w:rFonts w:eastAsiaTheme="minorEastAsia"/>
          <w:b/>
          <w:color w:val="000000" w:themeColor="text1"/>
          <w:sz w:val="36"/>
          <w:szCs w:val="36"/>
        </w:rPr>
        <w:t>交易型开放式指数证券投资基金</w:t>
      </w:r>
    </w:p>
    <w:p w14:paraId="34950870"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4</w:t>
      </w:r>
      <w:r w:rsidRPr="00473486">
        <w:rPr>
          <w:rFonts w:eastAsiaTheme="minorEastAsia"/>
          <w:b/>
          <w:color w:val="000000" w:themeColor="text1"/>
          <w:sz w:val="36"/>
          <w:szCs w:val="36"/>
        </w:rPr>
        <w:t>季度报告</w:t>
      </w:r>
    </w:p>
    <w:p w14:paraId="5471808F"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12</w:t>
      </w:r>
      <w:r w:rsidRPr="00473486">
        <w:rPr>
          <w:rFonts w:eastAsiaTheme="minorEastAsia"/>
          <w:b/>
          <w:color w:val="000000" w:themeColor="text1"/>
          <w:sz w:val="36"/>
          <w:szCs w:val="36"/>
        </w:rPr>
        <w:t>月</w:t>
      </w:r>
      <w:r w:rsidRPr="00473486">
        <w:rPr>
          <w:rFonts w:eastAsiaTheme="minorEastAsia"/>
          <w:b/>
          <w:color w:val="000000" w:themeColor="text1"/>
          <w:sz w:val="36"/>
          <w:szCs w:val="36"/>
        </w:rPr>
        <w:t>31</w:t>
      </w:r>
      <w:r w:rsidRPr="00473486">
        <w:rPr>
          <w:rFonts w:eastAsiaTheme="minorEastAsia"/>
          <w:b/>
          <w:color w:val="000000" w:themeColor="text1"/>
          <w:sz w:val="36"/>
          <w:szCs w:val="36"/>
        </w:rPr>
        <w:t>日</w:t>
      </w:r>
    </w:p>
    <w:p w14:paraId="215DDFEB" w14:textId="77777777" w:rsidR="00881A82" w:rsidRPr="00473486" w:rsidRDefault="00881A82">
      <w:pPr>
        <w:spacing w:line="360" w:lineRule="auto"/>
        <w:jc w:val="center"/>
        <w:rPr>
          <w:rFonts w:eastAsiaTheme="minorEastAsia"/>
          <w:b/>
          <w:color w:val="000000" w:themeColor="text1"/>
          <w:sz w:val="24"/>
        </w:rPr>
      </w:pPr>
    </w:p>
    <w:p w14:paraId="2963F86A" w14:textId="77777777" w:rsidR="00881A82" w:rsidRPr="00473486" w:rsidRDefault="00881A82">
      <w:pPr>
        <w:spacing w:line="360" w:lineRule="auto"/>
        <w:jc w:val="center"/>
        <w:rPr>
          <w:rFonts w:eastAsiaTheme="minorEastAsia"/>
          <w:b/>
          <w:color w:val="000000" w:themeColor="text1"/>
          <w:sz w:val="24"/>
        </w:rPr>
      </w:pPr>
    </w:p>
    <w:p w14:paraId="7B3DBD44" w14:textId="77777777" w:rsidR="00881A82" w:rsidRPr="00473486" w:rsidRDefault="00881A82">
      <w:pPr>
        <w:spacing w:line="360" w:lineRule="auto"/>
        <w:jc w:val="center"/>
        <w:rPr>
          <w:rFonts w:eastAsiaTheme="minorEastAsia"/>
          <w:b/>
          <w:color w:val="000000" w:themeColor="text1"/>
          <w:sz w:val="24"/>
        </w:rPr>
      </w:pPr>
    </w:p>
    <w:p w14:paraId="0A92D3D7" w14:textId="77777777" w:rsidR="00881A82" w:rsidRPr="00473486" w:rsidRDefault="00881A82">
      <w:pPr>
        <w:spacing w:line="360" w:lineRule="auto"/>
        <w:jc w:val="center"/>
        <w:rPr>
          <w:rFonts w:eastAsiaTheme="minorEastAsia"/>
          <w:b/>
          <w:color w:val="000000" w:themeColor="text1"/>
          <w:sz w:val="24"/>
        </w:rPr>
      </w:pPr>
    </w:p>
    <w:p w14:paraId="3DD59594" w14:textId="77777777" w:rsidR="00881A82" w:rsidRPr="00473486" w:rsidRDefault="00881A82">
      <w:pPr>
        <w:spacing w:line="360" w:lineRule="auto"/>
        <w:jc w:val="center"/>
        <w:rPr>
          <w:rFonts w:eastAsiaTheme="minorEastAsia"/>
          <w:b/>
          <w:color w:val="000000" w:themeColor="text1"/>
          <w:sz w:val="24"/>
        </w:rPr>
      </w:pPr>
    </w:p>
    <w:p w14:paraId="45D82AA1" w14:textId="77777777" w:rsidR="00881A82" w:rsidRPr="00473486" w:rsidRDefault="00881A82">
      <w:pPr>
        <w:spacing w:line="360" w:lineRule="auto"/>
        <w:jc w:val="center"/>
        <w:rPr>
          <w:rFonts w:eastAsiaTheme="minorEastAsia"/>
          <w:b/>
          <w:color w:val="000000" w:themeColor="text1"/>
          <w:sz w:val="24"/>
        </w:rPr>
      </w:pPr>
    </w:p>
    <w:p w14:paraId="10E8307E" w14:textId="77777777" w:rsidR="00881A82" w:rsidRPr="00473486" w:rsidRDefault="00881A82">
      <w:pPr>
        <w:spacing w:line="360" w:lineRule="auto"/>
        <w:jc w:val="center"/>
        <w:rPr>
          <w:rFonts w:eastAsiaTheme="minorEastAsia"/>
          <w:b/>
          <w:color w:val="000000" w:themeColor="text1"/>
          <w:sz w:val="24"/>
        </w:rPr>
      </w:pPr>
    </w:p>
    <w:p w14:paraId="3699089F" w14:textId="77777777" w:rsidR="00881A82" w:rsidRPr="00473486" w:rsidRDefault="00881A82">
      <w:pPr>
        <w:spacing w:line="360" w:lineRule="auto"/>
        <w:jc w:val="center"/>
        <w:rPr>
          <w:rFonts w:eastAsiaTheme="minorEastAsia"/>
          <w:b/>
          <w:color w:val="000000" w:themeColor="text1"/>
          <w:sz w:val="24"/>
        </w:rPr>
      </w:pPr>
    </w:p>
    <w:p w14:paraId="27EC941B" w14:textId="77777777" w:rsidR="00881A82" w:rsidRPr="00473486" w:rsidRDefault="00881A82">
      <w:pPr>
        <w:spacing w:line="360" w:lineRule="auto"/>
        <w:jc w:val="center"/>
        <w:rPr>
          <w:rFonts w:eastAsiaTheme="minorEastAsia"/>
          <w:b/>
          <w:color w:val="000000" w:themeColor="text1"/>
          <w:sz w:val="24"/>
        </w:rPr>
      </w:pPr>
    </w:p>
    <w:p w14:paraId="39FA8934" w14:textId="77777777" w:rsidR="00881A82" w:rsidRPr="00473486" w:rsidRDefault="00881A82">
      <w:pPr>
        <w:spacing w:line="360" w:lineRule="auto"/>
        <w:jc w:val="center"/>
        <w:rPr>
          <w:rFonts w:eastAsiaTheme="minorEastAsia"/>
          <w:b/>
          <w:color w:val="000000" w:themeColor="text1"/>
          <w:sz w:val="24"/>
        </w:rPr>
      </w:pPr>
    </w:p>
    <w:p w14:paraId="5B6E6EF9" w14:textId="77777777" w:rsidR="00881A82" w:rsidRPr="00473486" w:rsidRDefault="00881A82">
      <w:pPr>
        <w:spacing w:line="360" w:lineRule="auto"/>
        <w:jc w:val="center"/>
        <w:rPr>
          <w:rFonts w:eastAsiaTheme="minorEastAsia"/>
          <w:b/>
          <w:color w:val="000000" w:themeColor="text1"/>
          <w:sz w:val="24"/>
        </w:rPr>
      </w:pPr>
    </w:p>
    <w:p w14:paraId="36A4338E" w14:textId="77777777" w:rsidR="00881A82" w:rsidRPr="00473486" w:rsidRDefault="00881A82">
      <w:pPr>
        <w:spacing w:line="360" w:lineRule="auto"/>
        <w:jc w:val="center"/>
        <w:rPr>
          <w:rFonts w:eastAsiaTheme="minorEastAsia"/>
          <w:b/>
          <w:color w:val="000000" w:themeColor="text1"/>
          <w:sz w:val="24"/>
        </w:rPr>
      </w:pPr>
    </w:p>
    <w:p w14:paraId="545A940B" w14:textId="77777777" w:rsidR="00881A82" w:rsidRPr="00473486" w:rsidRDefault="00881A82">
      <w:pPr>
        <w:spacing w:line="360" w:lineRule="auto"/>
        <w:jc w:val="center"/>
        <w:rPr>
          <w:rFonts w:eastAsiaTheme="minorEastAsia"/>
          <w:b/>
          <w:color w:val="000000" w:themeColor="text1"/>
          <w:sz w:val="24"/>
        </w:rPr>
      </w:pPr>
    </w:p>
    <w:p w14:paraId="31EE5273" w14:textId="77777777" w:rsidR="00881A82" w:rsidRPr="00473486" w:rsidRDefault="00881A82">
      <w:pPr>
        <w:spacing w:line="360" w:lineRule="auto"/>
        <w:jc w:val="center"/>
        <w:rPr>
          <w:rFonts w:eastAsiaTheme="minorEastAsia"/>
          <w:b/>
          <w:color w:val="000000" w:themeColor="text1"/>
          <w:sz w:val="24"/>
        </w:rPr>
      </w:pPr>
    </w:p>
    <w:p w14:paraId="1EDDC133" w14:textId="77777777" w:rsidR="00881A82" w:rsidRPr="00473486" w:rsidRDefault="00881A82">
      <w:pPr>
        <w:spacing w:line="360" w:lineRule="auto"/>
        <w:rPr>
          <w:rFonts w:eastAsiaTheme="minorEastAsia"/>
          <w:b/>
          <w:color w:val="000000" w:themeColor="text1"/>
          <w:sz w:val="24"/>
        </w:rPr>
      </w:pPr>
    </w:p>
    <w:p w14:paraId="3C497694"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14:paraId="6956D651"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基金托管人：平安银行股份有限公司</w:t>
      </w:r>
    </w:p>
    <w:p w14:paraId="4368D75D" w14:textId="77777777"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报告送出日期：二〇二五年一月二十二日</w:t>
      </w:r>
    </w:p>
    <w:p w14:paraId="281AE0E1" w14:textId="77777777"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14:paraId="2A31E644"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575B7FF7"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6C490896"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8DB44DF"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1EEE0BE3"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2D4AB405"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10</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12</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日止。</w:t>
      </w:r>
    </w:p>
    <w:p w14:paraId="25E8F245"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14:paraId="160DD124" w14:textId="77777777">
        <w:tc>
          <w:tcPr>
            <w:tcW w:w="2835" w:type="dxa"/>
            <w:vAlign w:val="center"/>
          </w:tcPr>
          <w:p w14:paraId="74A2FB5C"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14:paraId="2B91DE67"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摩根中证</w:t>
            </w:r>
            <w:r w:rsidRPr="00473486">
              <w:rPr>
                <w:rFonts w:eastAsiaTheme="minorEastAsia"/>
                <w:color w:val="000000" w:themeColor="text1"/>
                <w:kern w:val="0"/>
                <w:szCs w:val="21"/>
              </w:rPr>
              <w:t>A500ETF</w:t>
            </w:r>
          </w:p>
        </w:tc>
      </w:tr>
      <w:tr w:rsidR="00881A82" w:rsidRPr="00473486" w14:paraId="44EE8661" w14:textId="77777777">
        <w:tc>
          <w:tcPr>
            <w:tcW w:w="2835" w:type="dxa"/>
            <w:vAlign w:val="center"/>
          </w:tcPr>
          <w:p w14:paraId="2B1CFCA4" w14:textId="77777777" w:rsidR="00881A82" w:rsidRPr="00473486" w:rsidRDefault="007D1E3A">
            <w:pPr>
              <w:rPr>
                <w:color w:val="000000" w:themeColor="text1"/>
                <w:sz w:val="24"/>
              </w:rPr>
            </w:pPr>
            <w:r w:rsidRPr="00473486">
              <w:rPr>
                <w:color w:val="000000" w:themeColor="text1"/>
                <w:sz w:val="24"/>
              </w:rPr>
              <w:t>场内简称</w:t>
            </w:r>
          </w:p>
        </w:tc>
        <w:tc>
          <w:tcPr>
            <w:tcW w:w="5479" w:type="dxa"/>
            <w:vAlign w:val="center"/>
          </w:tcPr>
          <w:p w14:paraId="1214D9A7" w14:textId="77777777" w:rsidR="00881A82" w:rsidRPr="00473486" w:rsidRDefault="007D1E3A">
            <w:pPr>
              <w:rPr>
                <w:color w:val="000000" w:themeColor="text1"/>
                <w:sz w:val="24"/>
              </w:rPr>
            </w:pPr>
            <w:r w:rsidRPr="00473486">
              <w:rPr>
                <w:color w:val="000000" w:themeColor="text1"/>
                <w:sz w:val="24"/>
              </w:rPr>
              <w:t>A500ETF</w:t>
            </w:r>
          </w:p>
        </w:tc>
      </w:tr>
      <w:tr w:rsidR="00881A82" w:rsidRPr="00473486" w14:paraId="44494799" w14:textId="77777777">
        <w:tc>
          <w:tcPr>
            <w:tcW w:w="2835" w:type="dxa"/>
            <w:tcBorders>
              <w:top w:val="single" w:sz="4" w:space="0" w:color="auto"/>
              <w:left w:val="single" w:sz="4" w:space="0" w:color="auto"/>
              <w:bottom w:val="single" w:sz="4" w:space="0" w:color="auto"/>
              <w:right w:val="single" w:sz="4" w:space="0" w:color="auto"/>
            </w:tcBorders>
            <w:vAlign w:val="center"/>
          </w:tcPr>
          <w:p w14:paraId="0DA5FF3F"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343DDCB8"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560530</w:t>
            </w:r>
          </w:p>
        </w:tc>
      </w:tr>
      <w:tr w:rsidR="00881A82" w:rsidRPr="00473486" w14:paraId="552A40C9" w14:textId="77777777">
        <w:tc>
          <w:tcPr>
            <w:tcW w:w="2835" w:type="dxa"/>
            <w:tcBorders>
              <w:top w:val="single" w:sz="4" w:space="0" w:color="auto"/>
              <w:left w:val="single" w:sz="4" w:space="0" w:color="auto"/>
              <w:bottom w:val="single" w:sz="4" w:space="0" w:color="auto"/>
              <w:right w:val="single" w:sz="4" w:space="0" w:color="auto"/>
            </w:tcBorders>
            <w:vAlign w:val="center"/>
          </w:tcPr>
          <w:p w14:paraId="4A4CA0BB"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78BF1234"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560530</w:t>
            </w:r>
          </w:p>
        </w:tc>
      </w:tr>
      <w:tr w:rsidR="00881A82" w:rsidRPr="00473486" w14:paraId="577ABE1E" w14:textId="77777777">
        <w:tc>
          <w:tcPr>
            <w:tcW w:w="2835" w:type="dxa"/>
            <w:vAlign w:val="center"/>
          </w:tcPr>
          <w:p w14:paraId="51044E70"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14:paraId="2D41FC5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14:paraId="6C996DBB" w14:textId="77777777">
        <w:tc>
          <w:tcPr>
            <w:tcW w:w="2835" w:type="dxa"/>
            <w:vAlign w:val="center"/>
          </w:tcPr>
          <w:p w14:paraId="1ADC724C"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14:paraId="16198895"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9</w:t>
            </w:r>
            <w:r w:rsidRPr="00473486">
              <w:rPr>
                <w:rFonts w:eastAsiaTheme="minorEastAsia"/>
                <w:color w:val="000000" w:themeColor="text1"/>
                <w:kern w:val="0"/>
                <w:szCs w:val="21"/>
              </w:rPr>
              <w:t>月</w:t>
            </w:r>
            <w:r w:rsidRPr="00473486">
              <w:rPr>
                <w:rFonts w:eastAsiaTheme="minorEastAsia"/>
                <w:color w:val="000000" w:themeColor="text1"/>
                <w:kern w:val="0"/>
                <w:szCs w:val="21"/>
              </w:rPr>
              <w:t>24</w:t>
            </w:r>
            <w:r w:rsidRPr="00473486">
              <w:rPr>
                <w:rFonts w:eastAsiaTheme="minorEastAsia"/>
                <w:color w:val="000000" w:themeColor="text1"/>
                <w:kern w:val="0"/>
                <w:szCs w:val="21"/>
              </w:rPr>
              <w:t>日</w:t>
            </w:r>
          </w:p>
        </w:tc>
      </w:tr>
      <w:tr w:rsidR="00881A82" w:rsidRPr="00473486" w14:paraId="42AD8C6E" w14:textId="77777777">
        <w:tc>
          <w:tcPr>
            <w:tcW w:w="2835" w:type="dxa"/>
            <w:vAlign w:val="center"/>
          </w:tcPr>
          <w:p w14:paraId="55138236"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14:paraId="68774561"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11,599,623,668.00</w:t>
            </w:r>
            <w:r w:rsidRPr="00473486">
              <w:rPr>
                <w:rFonts w:eastAsiaTheme="minorEastAsia"/>
                <w:color w:val="000000" w:themeColor="text1"/>
                <w:kern w:val="0"/>
                <w:szCs w:val="21"/>
              </w:rPr>
              <w:t>份</w:t>
            </w:r>
          </w:p>
        </w:tc>
      </w:tr>
      <w:tr w:rsidR="00881A82" w:rsidRPr="00473486" w14:paraId="729DF1E3" w14:textId="77777777">
        <w:tc>
          <w:tcPr>
            <w:tcW w:w="2835" w:type="dxa"/>
            <w:vAlign w:val="center"/>
          </w:tcPr>
          <w:p w14:paraId="16F12AE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14:paraId="3D07E30B"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本基金进行被动指数化投资，紧密跟踪标的指数，追求跟踪偏离度和跟踪误差最小化。</w:t>
            </w:r>
          </w:p>
        </w:tc>
      </w:tr>
      <w:tr w:rsidR="00881A82" w:rsidRPr="00473486" w14:paraId="5568D0FC" w14:textId="77777777">
        <w:tc>
          <w:tcPr>
            <w:tcW w:w="2835" w:type="dxa"/>
            <w:vAlign w:val="center"/>
          </w:tcPr>
          <w:p w14:paraId="305589F3"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14:paraId="5C9A0C1D" w14:textId="77777777" w:rsidR="0015585D" w:rsidRDefault="004E69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本基金主要采用复制策略、替代策略及其他适当的策略以更好地跟踪标的指数，实现基金投资目标。本基金力争日均跟踪偏离度的绝对值不超过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w:t>
            </w:r>
          </w:p>
          <w:p w14:paraId="1CCF9066" w14:textId="77777777" w:rsidR="0015585D" w:rsidRDefault="004E69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1</w:t>
            </w:r>
            <w:r>
              <w:rPr>
                <w:rFonts w:eastAsiaTheme="minorEastAsia"/>
                <w:color w:val="000000" w:themeColor="text1"/>
                <w:kern w:val="0"/>
                <w:szCs w:val="21"/>
              </w:rPr>
              <w:t>、复制策略</w:t>
            </w:r>
          </w:p>
          <w:p w14:paraId="61E3670E" w14:textId="77777777" w:rsidR="0015585D" w:rsidRDefault="004E69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本基金主要采用完全复制法，按照标的指数成份股构成及其权重构建股票资产组合，并根据标的指数成份股及其权重的变化对股票组合进行动态调整。</w:t>
            </w:r>
          </w:p>
          <w:p w14:paraId="6BF5614B" w14:textId="77777777" w:rsidR="0015585D" w:rsidRDefault="004E69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）定期调整</w:t>
            </w:r>
          </w:p>
          <w:p w14:paraId="3FA278F3" w14:textId="77777777" w:rsidR="0015585D" w:rsidRDefault="004E69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5706E21C" w14:textId="77777777" w:rsidR="0015585D" w:rsidRDefault="004E69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）不定期调整</w:t>
            </w:r>
          </w:p>
          <w:p w14:paraId="3E1D323A" w14:textId="77777777" w:rsidR="0015585D" w:rsidRDefault="004E69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14:paraId="011C9DB0" w14:textId="77777777" w:rsidR="0015585D" w:rsidRDefault="004E69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）当标的指数成份股因停牌、流动性不足等因素导致基金无法按照指数权重进行配置，基金管理人将综合考虑跟踪误差和投资者利益，选择相关股票进行适当的替代。</w:t>
            </w:r>
          </w:p>
          <w:p w14:paraId="41DA0868" w14:textId="77777777" w:rsidR="0015585D" w:rsidRDefault="004E69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）本基金将根据申购和赎回情况对股票投资组合进行调整，保证基金正常运行，从而有效跟踪标的指数。</w:t>
            </w:r>
          </w:p>
          <w:p w14:paraId="648162B5" w14:textId="77777777" w:rsidR="0015585D" w:rsidRDefault="004E69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、替代策略</w:t>
            </w:r>
          </w:p>
          <w:p w14:paraId="52B4B8C2" w14:textId="77777777" w:rsidR="0015585D" w:rsidRDefault="004E69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当预期成份股发生调整和成份股发生配股、增发、分红、长期停牌等行为时，或因基金的申购和赎回等对本基金跟踪标的指数的效果可能带来影响时，或因某些特殊情况导致流动性不足时，或法律法规的限制无法投资某只成份股，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w:t>
            </w:r>
            <w:r>
              <w:rPr>
                <w:rFonts w:eastAsiaTheme="minorEastAsia"/>
                <w:color w:val="000000" w:themeColor="text1"/>
                <w:kern w:val="0"/>
                <w:szCs w:val="21"/>
              </w:rPr>
              <w:lastRenderedPageBreak/>
              <w:t>因素挑选标的指数中其他成份股或备选成份股进行替代。</w:t>
            </w:r>
          </w:p>
          <w:p w14:paraId="7A20BFBE"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、其他投资策略：包括股指期货投资策略、股票期权投资策略、债券投资策略、融资及转融通证券出借策略、存托凭证投资策略。</w:t>
            </w:r>
          </w:p>
        </w:tc>
      </w:tr>
      <w:tr w:rsidR="00881A82" w:rsidRPr="00473486" w14:paraId="28A44436" w14:textId="77777777">
        <w:tc>
          <w:tcPr>
            <w:tcW w:w="2835" w:type="dxa"/>
            <w:vAlign w:val="center"/>
          </w:tcPr>
          <w:p w14:paraId="31264238"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14:paraId="23C71CB0"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本基金的业绩比较基准为标的指数，即中证</w:t>
            </w:r>
            <w:r w:rsidRPr="00473486">
              <w:rPr>
                <w:rFonts w:eastAsiaTheme="minorEastAsia"/>
                <w:color w:val="000000" w:themeColor="text1"/>
                <w:kern w:val="0"/>
                <w:szCs w:val="21"/>
              </w:rPr>
              <w:t>A500</w:t>
            </w:r>
            <w:r w:rsidRPr="00473486">
              <w:rPr>
                <w:rFonts w:eastAsiaTheme="minorEastAsia"/>
                <w:color w:val="000000" w:themeColor="text1"/>
                <w:kern w:val="0"/>
                <w:szCs w:val="21"/>
              </w:rPr>
              <w:t>指数收益率。</w:t>
            </w:r>
          </w:p>
        </w:tc>
      </w:tr>
      <w:tr w:rsidR="00881A82" w:rsidRPr="00473486" w14:paraId="025F55A7" w14:textId="77777777">
        <w:tc>
          <w:tcPr>
            <w:tcW w:w="2835" w:type="dxa"/>
            <w:vAlign w:val="center"/>
          </w:tcPr>
          <w:p w14:paraId="40D98EE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14:paraId="754C121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本基金为股票型指数基金，其预期风险和预期收益高于货币市场基金、债券型基金和混合型基金。本基金主要采用完全复制法跟踪标的指数的表现，具有与标的指数相似的风险收益特征。</w:t>
            </w:r>
          </w:p>
        </w:tc>
      </w:tr>
      <w:tr w:rsidR="00881A82" w:rsidRPr="00473486" w14:paraId="46A57A7C" w14:textId="77777777">
        <w:tc>
          <w:tcPr>
            <w:tcW w:w="2835" w:type="dxa"/>
            <w:vAlign w:val="center"/>
          </w:tcPr>
          <w:p w14:paraId="1E6591DB"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14:paraId="39993C2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14:paraId="5A7D881C" w14:textId="77777777">
        <w:tc>
          <w:tcPr>
            <w:tcW w:w="2835" w:type="dxa"/>
            <w:vAlign w:val="center"/>
          </w:tcPr>
          <w:p w14:paraId="5558CA7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14:paraId="4A5C8595"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平安银行股份有限公司</w:t>
            </w:r>
          </w:p>
        </w:tc>
      </w:tr>
    </w:tbl>
    <w:p w14:paraId="1CDB71FE"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14:paraId="29B0CC4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14:paraId="7E98AF2E"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4E6942" w:rsidRPr="00473486" w14:paraId="05E2B1EF" w14:textId="77777777" w:rsidTr="004E6942">
        <w:tc>
          <w:tcPr>
            <w:tcW w:w="3402" w:type="dxa"/>
            <w:vAlign w:val="center"/>
          </w:tcPr>
          <w:p w14:paraId="4285622F" w14:textId="77777777"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14:paraId="12148343"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14:paraId="37FC612E"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10</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12</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w:t>
            </w:r>
            <w:r w:rsidRPr="00473486">
              <w:rPr>
                <w:rFonts w:eastAsiaTheme="minorEastAsia"/>
                <w:color w:val="000000" w:themeColor="text1"/>
                <w:szCs w:val="21"/>
              </w:rPr>
              <w:t>)</w:t>
            </w:r>
          </w:p>
        </w:tc>
      </w:tr>
      <w:tr w:rsidR="004E6942" w:rsidRPr="00473486" w14:paraId="1955FA25" w14:textId="77777777" w:rsidTr="004E6942">
        <w:tc>
          <w:tcPr>
            <w:tcW w:w="3402" w:type="dxa"/>
            <w:vAlign w:val="center"/>
          </w:tcPr>
          <w:p w14:paraId="64D0DD23"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14:paraId="3BC07436"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28,936,818.19</w:t>
            </w:r>
          </w:p>
        </w:tc>
      </w:tr>
      <w:tr w:rsidR="004E6942" w:rsidRPr="00473486" w14:paraId="5ED4D592" w14:textId="77777777" w:rsidTr="004E6942">
        <w:tc>
          <w:tcPr>
            <w:tcW w:w="3402" w:type="dxa"/>
            <w:vAlign w:val="center"/>
          </w:tcPr>
          <w:p w14:paraId="126A15DE"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14:paraId="0AD59083"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-278,420,172.39</w:t>
            </w:r>
          </w:p>
        </w:tc>
      </w:tr>
      <w:tr w:rsidR="004E6942" w:rsidRPr="00473486" w14:paraId="0A66AA9D" w14:textId="77777777" w:rsidTr="004E6942">
        <w:tc>
          <w:tcPr>
            <w:tcW w:w="3402" w:type="dxa"/>
            <w:vAlign w:val="center"/>
          </w:tcPr>
          <w:p w14:paraId="261231E9"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14:paraId="23117264"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-0.0320</w:t>
            </w:r>
          </w:p>
        </w:tc>
      </w:tr>
      <w:tr w:rsidR="004E6942" w:rsidRPr="00473486" w14:paraId="44201DA9" w14:textId="77777777" w:rsidTr="004E6942">
        <w:tc>
          <w:tcPr>
            <w:tcW w:w="3402" w:type="dxa"/>
            <w:vAlign w:val="center"/>
          </w:tcPr>
          <w:p w14:paraId="1FABEF07"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14:paraId="21FD968B"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11,413,608,551.56</w:t>
            </w:r>
          </w:p>
        </w:tc>
      </w:tr>
      <w:tr w:rsidR="004E6942" w:rsidRPr="00473486" w14:paraId="7B72BB11" w14:textId="77777777" w:rsidTr="004E6942">
        <w:trPr>
          <w:trHeight w:val="158"/>
        </w:trPr>
        <w:tc>
          <w:tcPr>
            <w:tcW w:w="3402" w:type="dxa"/>
            <w:vAlign w:val="center"/>
          </w:tcPr>
          <w:p w14:paraId="1F1EBC3B"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14:paraId="7927E31F" w14:textId="6B7F7371"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0.9840</w:t>
            </w:r>
          </w:p>
        </w:tc>
      </w:tr>
    </w:tbl>
    <w:p w14:paraId="7B7F6712" w14:textId="77777777" w:rsidR="0015585D" w:rsidRDefault="004E694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61A20CF5" w14:textId="77777777" w:rsidR="0015585D" w:rsidRDefault="004E694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20D7F0BE"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2.</w:t>
      </w:r>
      <w:r w:rsidRPr="00473486">
        <w:rPr>
          <w:rFonts w:eastAsiaTheme="minorEastAsia"/>
          <w:color w:val="000000" w:themeColor="text1"/>
          <w:szCs w:val="21"/>
        </w:rPr>
        <w:t>基金合同在当期生效。</w:t>
      </w:r>
    </w:p>
    <w:p w14:paraId="173B656B"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5CAE7CC8"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14:paraId="2CF5E65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14:paraId="6753AB2D" w14:textId="77777777">
        <w:tc>
          <w:tcPr>
            <w:tcW w:w="1395" w:type="dxa"/>
            <w:vAlign w:val="center"/>
          </w:tcPr>
          <w:p w14:paraId="7093523A"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14:paraId="5EC6701B"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14:paraId="7DC7B184"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14:paraId="70F222DD"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14:paraId="143079B0"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14:paraId="22B92317"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14:paraId="3383EE24"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15585D" w14:paraId="05DC2281" w14:textId="77777777">
        <w:tc>
          <w:tcPr>
            <w:tcW w:w="1395" w:type="dxa"/>
            <w:vAlign w:val="center"/>
          </w:tcPr>
          <w:p w14:paraId="0FDABDDC" w14:textId="77777777" w:rsidR="0015585D" w:rsidRDefault="004E6942">
            <w:pPr>
              <w:jc w:val="left"/>
            </w:pPr>
            <w:r>
              <w:rPr>
                <w:rFonts w:eastAsiaTheme="minorEastAsia"/>
                <w:color w:val="000000" w:themeColor="text1"/>
                <w:szCs w:val="21"/>
              </w:rPr>
              <w:t>过去三个月</w:t>
            </w:r>
          </w:p>
        </w:tc>
        <w:tc>
          <w:tcPr>
            <w:tcW w:w="1092" w:type="dxa"/>
            <w:vAlign w:val="center"/>
          </w:tcPr>
          <w:p w14:paraId="55B25299" w14:textId="77777777" w:rsidR="0015585D" w:rsidRDefault="004E6942">
            <w:pPr>
              <w:jc w:val="center"/>
            </w:pPr>
            <w:r>
              <w:rPr>
                <w:rFonts w:eastAsiaTheme="minorEastAsia"/>
                <w:color w:val="000000" w:themeColor="text1"/>
                <w:szCs w:val="21"/>
              </w:rPr>
              <w:t>-3.96%</w:t>
            </w:r>
          </w:p>
        </w:tc>
        <w:tc>
          <w:tcPr>
            <w:tcW w:w="1161" w:type="dxa"/>
            <w:vAlign w:val="center"/>
          </w:tcPr>
          <w:p w14:paraId="3517A1D5" w14:textId="77777777" w:rsidR="0015585D" w:rsidRDefault="004E6942">
            <w:pPr>
              <w:jc w:val="center"/>
            </w:pPr>
            <w:r>
              <w:rPr>
                <w:rFonts w:eastAsiaTheme="minorEastAsia"/>
                <w:color w:val="000000" w:themeColor="text1"/>
                <w:szCs w:val="21"/>
              </w:rPr>
              <w:t>1.63%</w:t>
            </w:r>
          </w:p>
        </w:tc>
        <w:tc>
          <w:tcPr>
            <w:tcW w:w="1181" w:type="dxa"/>
            <w:vAlign w:val="center"/>
          </w:tcPr>
          <w:p w14:paraId="66A83195" w14:textId="77777777" w:rsidR="0015585D" w:rsidRDefault="004E6942">
            <w:pPr>
              <w:jc w:val="center"/>
            </w:pPr>
            <w:r>
              <w:rPr>
                <w:rFonts w:eastAsiaTheme="minorEastAsia"/>
                <w:color w:val="000000" w:themeColor="text1"/>
                <w:szCs w:val="21"/>
              </w:rPr>
              <w:t>-1.62%</w:t>
            </w:r>
          </w:p>
        </w:tc>
        <w:tc>
          <w:tcPr>
            <w:tcW w:w="1188" w:type="dxa"/>
            <w:vAlign w:val="center"/>
          </w:tcPr>
          <w:p w14:paraId="5D830CB9" w14:textId="77777777" w:rsidR="0015585D" w:rsidRDefault="004E6942">
            <w:pPr>
              <w:jc w:val="center"/>
            </w:pPr>
            <w:r>
              <w:rPr>
                <w:rFonts w:eastAsiaTheme="minorEastAsia"/>
                <w:color w:val="000000" w:themeColor="text1"/>
                <w:szCs w:val="21"/>
              </w:rPr>
              <w:t>1.78%</w:t>
            </w:r>
          </w:p>
        </w:tc>
        <w:tc>
          <w:tcPr>
            <w:tcW w:w="1199" w:type="dxa"/>
            <w:vAlign w:val="center"/>
          </w:tcPr>
          <w:p w14:paraId="078C0F1E" w14:textId="77777777" w:rsidR="0015585D" w:rsidRDefault="004E6942">
            <w:pPr>
              <w:jc w:val="center"/>
            </w:pPr>
            <w:r>
              <w:rPr>
                <w:rFonts w:eastAsiaTheme="minorEastAsia"/>
                <w:color w:val="000000" w:themeColor="text1"/>
                <w:szCs w:val="21"/>
              </w:rPr>
              <w:t>-2.34%</w:t>
            </w:r>
          </w:p>
        </w:tc>
        <w:tc>
          <w:tcPr>
            <w:tcW w:w="1204" w:type="dxa"/>
            <w:vAlign w:val="center"/>
          </w:tcPr>
          <w:p w14:paraId="232CB9AF" w14:textId="77777777" w:rsidR="0015585D" w:rsidRDefault="004E6942">
            <w:pPr>
              <w:jc w:val="center"/>
            </w:pPr>
            <w:r>
              <w:rPr>
                <w:rFonts w:eastAsiaTheme="minorEastAsia"/>
                <w:color w:val="000000" w:themeColor="text1"/>
                <w:szCs w:val="21"/>
              </w:rPr>
              <w:t>-0.15%</w:t>
            </w:r>
          </w:p>
        </w:tc>
      </w:tr>
      <w:tr w:rsidR="0015585D" w14:paraId="55E98963" w14:textId="77777777">
        <w:tc>
          <w:tcPr>
            <w:tcW w:w="1395" w:type="dxa"/>
            <w:vAlign w:val="center"/>
          </w:tcPr>
          <w:p w14:paraId="69245D9E" w14:textId="77777777" w:rsidR="0015585D" w:rsidRDefault="004E6942">
            <w:pPr>
              <w:jc w:val="left"/>
            </w:pPr>
            <w:r>
              <w:rPr>
                <w:rFonts w:eastAsiaTheme="minorEastAsia"/>
                <w:color w:val="000000" w:themeColor="text1"/>
                <w:szCs w:val="21"/>
              </w:rPr>
              <w:t>过去六个月</w:t>
            </w:r>
          </w:p>
        </w:tc>
        <w:tc>
          <w:tcPr>
            <w:tcW w:w="1092" w:type="dxa"/>
            <w:vAlign w:val="center"/>
          </w:tcPr>
          <w:p w14:paraId="33285D6D" w14:textId="77777777" w:rsidR="0015585D" w:rsidRDefault="004E6942">
            <w:pPr>
              <w:jc w:val="center"/>
            </w:pPr>
            <w:r>
              <w:rPr>
                <w:rFonts w:eastAsiaTheme="minorEastAsia"/>
                <w:color w:val="000000" w:themeColor="text1"/>
                <w:szCs w:val="21"/>
              </w:rPr>
              <w:t>-</w:t>
            </w:r>
          </w:p>
        </w:tc>
        <w:tc>
          <w:tcPr>
            <w:tcW w:w="1161" w:type="dxa"/>
            <w:vAlign w:val="center"/>
          </w:tcPr>
          <w:p w14:paraId="2E94EF12" w14:textId="77777777" w:rsidR="0015585D" w:rsidRDefault="004E6942">
            <w:pPr>
              <w:jc w:val="center"/>
            </w:pPr>
            <w:r>
              <w:rPr>
                <w:rFonts w:eastAsiaTheme="minorEastAsia"/>
                <w:color w:val="000000" w:themeColor="text1"/>
                <w:szCs w:val="21"/>
              </w:rPr>
              <w:t>-</w:t>
            </w:r>
          </w:p>
        </w:tc>
        <w:tc>
          <w:tcPr>
            <w:tcW w:w="1181" w:type="dxa"/>
            <w:vAlign w:val="center"/>
          </w:tcPr>
          <w:p w14:paraId="22A46287" w14:textId="77777777" w:rsidR="0015585D" w:rsidRDefault="004E6942">
            <w:pPr>
              <w:jc w:val="center"/>
            </w:pPr>
            <w:r>
              <w:rPr>
                <w:rFonts w:eastAsiaTheme="minorEastAsia"/>
                <w:color w:val="000000" w:themeColor="text1"/>
                <w:szCs w:val="21"/>
              </w:rPr>
              <w:t>-</w:t>
            </w:r>
          </w:p>
        </w:tc>
        <w:tc>
          <w:tcPr>
            <w:tcW w:w="1188" w:type="dxa"/>
            <w:vAlign w:val="center"/>
          </w:tcPr>
          <w:p w14:paraId="1764987B" w14:textId="77777777" w:rsidR="0015585D" w:rsidRDefault="004E6942">
            <w:pPr>
              <w:jc w:val="center"/>
            </w:pPr>
            <w:r>
              <w:rPr>
                <w:rFonts w:eastAsiaTheme="minorEastAsia"/>
                <w:color w:val="000000" w:themeColor="text1"/>
                <w:szCs w:val="21"/>
              </w:rPr>
              <w:t>-</w:t>
            </w:r>
          </w:p>
        </w:tc>
        <w:tc>
          <w:tcPr>
            <w:tcW w:w="1199" w:type="dxa"/>
            <w:vAlign w:val="center"/>
          </w:tcPr>
          <w:p w14:paraId="093A6C72" w14:textId="77777777" w:rsidR="0015585D" w:rsidRDefault="004E6942">
            <w:pPr>
              <w:jc w:val="center"/>
            </w:pPr>
            <w:r>
              <w:rPr>
                <w:rFonts w:eastAsiaTheme="minorEastAsia"/>
                <w:color w:val="000000" w:themeColor="text1"/>
                <w:szCs w:val="21"/>
              </w:rPr>
              <w:t>-</w:t>
            </w:r>
          </w:p>
        </w:tc>
        <w:tc>
          <w:tcPr>
            <w:tcW w:w="1204" w:type="dxa"/>
            <w:vAlign w:val="center"/>
          </w:tcPr>
          <w:p w14:paraId="215F0903" w14:textId="77777777" w:rsidR="0015585D" w:rsidRDefault="004E6942">
            <w:pPr>
              <w:jc w:val="center"/>
            </w:pPr>
            <w:r>
              <w:rPr>
                <w:rFonts w:eastAsiaTheme="minorEastAsia"/>
                <w:color w:val="000000" w:themeColor="text1"/>
                <w:szCs w:val="21"/>
              </w:rPr>
              <w:t>-</w:t>
            </w:r>
          </w:p>
        </w:tc>
      </w:tr>
      <w:tr w:rsidR="0015585D" w14:paraId="0C6EE978" w14:textId="77777777">
        <w:tc>
          <w:tcPr>
            <w:tcW w:w="1395" w:type="dxa"/>
            <w:vAlign w:val="center"/>
          </w:tcPr>
          <w:p w14:paraId="7B4877DF" w14:textId="77777777" w:rsidR="0015585D" w:rsidRDefault="004E6942">
            <w:pPr>
              <w:jc w:val="left"/>
            </w:pPr>
            <w:r>
              <w:rPr>
                <w:rFonts w:eastAsiaTheme="minorEastAsia"/>
                <w:color w:val="000000" w:themeColor="text1"/>
                <w:szCs w:val="21"/>
              </w:rPr>
              <w:t>过去一年</w:t>
            </w:r>
          </w:p>
        </w:tc>
        <w:tc>
          <w:tcPr>
            <w:tcW w:w="1092" w:type="dxa"/>
            <w:vAlign w:val="center"/>
          </w:tcPr>
          <w:p w14:paraId="262BAF35" w14:textId="77777777" w:rsidR="0015585D" w:rsidRDefault="004E6942">
            <w:pPr>
              <w:jc w:val="center"/>
            </w:pPr>
            <w:r>
              <w:rPr>
                <w:rFonts w:eastAsiaTheme="minorEastAsia"/>
                <w:color w:val="000000" w:themeColor="text1"/>
                <w:szCs w:val="21"/>
              </w:rPr>
              <w:t>-</w:t>
            </w:r>
          </w:p>
        </w:tc>
        <w:tc>
          <w:tcPr>
            <w:tcW w:w="1161" w:type="dxa"/>
            <w:vAlign w:val="center"/>
          </w:tcPr>
          <w:p w14:paraId="74ED4E35" w14:textId="77777777" w:rsidR="0015585D" w:rsidRDefault="004E6942">
            <w:pPr>
              <w:jc w:val="center"/>
            </w:pPr>
            <w:r>
              <w:rPr>
                <w:rFonts w:eastAsiaTheme="minorEastAsia"/>
                <w:color w:val="000000" w:themeColor="text1"/>
                <w:szCs w:val="21"/>
              </w:rPr>
              <w:t>-</w:t>
            </w:r>
          </w:p>
        </w:tc>
        <w:tc>
          <w:tcPr>
            <w:tcW w:w="1181" w:type="dxa"/>
            <w:vAlign w:val="center"/>
          </w:tcPr>
          <w:p w14:paraId="4EDE2BCF" w14:textId="77777777" w:rsidR="0015585D" w:rsidRDefault="004E6942">
            <w:pPr>
              <w:jc w:val="center"/>
            </w:pPr>
            <w:r>
              <w:rPr>
                <w:rFonts w:eastAsiaTheme="minorEastAsia"/>
                <w:color w:val="000000" w:themeColor="text1"/>
                <w:szCs w:val="21"/>
              </w:rPr>
              <w:t>-</w:t>
            </w:r>
          </w:p>
        </w:tc>
        <w:tc>
          <w:tcPr>
            <w:tcW w:w="1188" w:type="dxa"/>
            <w:vAlign w:val="center"/>
          </w:tcPr>
          <w:p w14:paraId="3C43750C" w14:textId="77777777" w:rsidR="0015585D" w:rsidRDefault="004E6942">
            <w:pPr>
              <w:jc w:val="center"/>
            </w:pPr>
            <w:r>
              <w:rPr>
                <w:rFonts w:eastAsiaTheme="minorEastAsia"/>
                <w:color w:val="000000" w:themeColor="text1"/>
                <w:szCs w:val="21"/>
              </w:rPr>
              <w:t>-</w:t>
            </w:r>
          </w:p>
        </w:tc>
        <w:tc>
          <w:tcPr>
            <w:tcW w:w="1199" w:type="dxa"/>
            <w:vAlign w:val="center"/>
          </w:tcPr>
          <w:p w14:paraId="02EE26D4" w14:textId="77777777" w:rsidR="0015585D" w:rsidRDefault="004E6942">
            <w:pPr>
              <w:jc w:val="center"/>
            </w:pPr>
            <w:r>
              <w:rPr>
                <w:rFonts w:eastAsiaTheme="minorEastAsia"/>
                <w:color w:val="000000" w:themeColor="text1"/>
                <w:szCs w:val="21"/>
              </w:rPr>
              <w:t>-</w:t>
            </w:r>
          </w:p>
        </w:tc>
        <w:tc>
          <w:tcPr>
            <w:tcW w:w="1204" w:type="dxa"/>
            <w:vAlign w:val="center"/>
          </w:tcPr>
          <w:p w14:paraId="055441DA" w14:textId="77777777" w:rsidR="0015585D" w:rsidRDefault="004E6942">
            <w:pPr>
              <w:jc w:val="center"/>
            </w:pPr>
            <w:r>
              <w:rPr>
                <w:rFonts w:eastAsiaTheme="minorEastAsia"/>
                <w:color w:val="000000" w:themeColor="text1"/>
                <w:szCs w:val="21"/>
              </w:rPr>
              <w:t>-</w:t>
            </w:r>
          </w:p>
        </w:tc>
      </w:tr>
      <w:tr w:rsidR="0015585D" w14:paraId="42E142E2" w14:textId="77777777">
        <w:tc>
          <w:tcPr>
            <w:tcW w:w="1395" w:type="dxa"/>
            <w:vAlign w:val="center"/>
          </w:tcPr>
          <w:p w14:paraId="15FF5D94" w14:textId="77777777" w:rsidR="0015585D" w:rsidRDefault="004E6942">
            <w:pPr>
              <w:jc w:val="left"/>
            </w:pPr>
            <w:r>
              <w:rPr>
                <w:rFonts w:eastAsiaTheme="minorEastAsia"/>
                <w:color w:val="000000" w:themeColor="text1"/>
                <w:szCs w:val="21"/>
              </w:rPr>
              <w:t>过去三年</w:t>
            </w:r>
          </w:p>
        </w:tc>
        <w:tc>
          <w:tcPr>
            <w:tcW w:w="1092" w:type="dxa"/>
            <w:vAlign w:val="center"/>
          </w:tcPr>
          <w:p w14:paraId="00B5BBCF" w14:textId="77777777" w:rsidR="0015585D" w:rsidRDefault="004E6942">
            <w:pPr>
              <w:jc w:val="center"/>
            </w:pPr>
            <w:r>
              <w:rPr>
                <w:rFonts w:eastAsiaTheme="minorEastAsia"/>
                <w:color w:val="000000" w:themeColor="text1"/>
                <w:szCs w:val="21"/>
              </w:rPr>
              <w:t>-</w:t>
            </w:r>
          </w:p>
        </w:tc>
        <w:tc>
          <w:tcPr>
            <w:tcW w:w="1161" w:type="dxa"/>
            <w:vAlign w:val="center"/>
          </w:tcPr>
          <w:p w14:paraId="56F293E5" w14:textId="77777777" w:rsidR="0015585D" w:rsidRDefault="004E6942">
            <w:pPr>
              <w:jc w:val="center"/>
            </w:pPr>
            <w:r>
              <w:rPr>
                <w:rFonts w:eastAsiaTheme="minorEastAsia"/>
                <w:color w:val="000000" w:themeColor="text1"/>
                <w:szCs w:val="21"/>
              </w:rPr>
              <w:t>-</w:t>
            </w:r>
          </w:p>
        </w:tc>
        <w:tc>
          <w:tcPr>
            <w:tcW w:w="1181" w:type="dxa"/>
            <w:vAlign w:val="center"/>
          </w:tcPr>
          <w:p w14:paraId="33208BAA" w14:textId="77777777" w:rsidR="0015585D" w:rsidRDefault="004E6942">
            <w:pPr>
              <w:jc w:val="center"/>
            </w:pPr>
            <w:r>
              <w:rPr>
                <w:rFonts w:eastAsiaTheme="minorEastAsia"/>
                <w:color w:val="000000" w:themeColor="text1"/>
                <w:szCs w:val="21"/>
              </w:rPr>
              <w:t>-</w:t>
            </w:r>
          </w:p>
        </w:tc>
        <w:tc>
          <w:tcPr>
            <w:tcW w:w="1188" w:type="dxa"/>
            <w:vAlign w:val="center"/>
          </w:tcPr>
          <w:p w14:paraId="029AC50A" w14:textId="77777777" w:rsidR="0015585D" w:rsidRDefault="004E6942">
            <w:pPr>
              <w:jc w:val="center"/>
            </w:pPr>
            <w:r>
              <w:rPr>
                <w:rFonts w:eastAsiaTheme="minorEastAsia"/>
                <w:color w:val="000000" w:themeColor="text1"/>
                <w:szCs w:val="21"/>
              </w:rPr>
              <w:t>-</w:t>
            </w:r>
          </w:p>
        </w:tc>
        <w:tc>
          <w:tcPr>
            <w:tcW w:w="1199" w:type="dxa"/>
            <w:vAlign w:val="center"/>
          </w:tcPr>
          <w:p w14:paraId="0685C0AA" w14:textId="77777777" w:rsidR="0015585D" w:rsidRDefault="004E6942">
            <w:pPr>
              <w:jc w:val="center"/>
            </w:pPr>
            <w:r>
              <w:rPr>
                <w:rFonts w:eastAsiaTheme="minorEastAsia"/>
                <w:color w:val="000000" w:themeColor="text1"/>
                <w:szCs w:val="21"/>
              </w:rPr>
              <w:t>-</w:t>
            </w:r>
          </w:p>
        </w:tc>
        <w:tc>
          <w:tcPr>
            <w:tcW w:w="1204" w:type="dxa"/>
            <w:vAlign w:val="center"/>
          </w:tcPr>
          <w:p w14:paraId="543CFDCB" w14:textId="77777777" w:rsidR="0015585D" w:rsidRDefault="004E6942">
            <w:pPr>
              <w:jc w:val="center"/>
            </w:pPr>
            <w:r>
              <w:rPr>
                <w:rFonts w:eastAsiaTheme="minorEastAsia"/>
                <w:color w:val="000000" w:themeColor="text1"/>
                <w:szCs w:val="21"/>
              </w:rPr>
              <w:t>-</w:t>
            </w:r>
          </w:p>
        </w:tc>
      </w:tr>
      <w:tr w:rsidR="0015585D" w14:paraId="59553A34" w14:textId="77777777">
        <w:tc>
          <w:tcPr>
            <w:tcW w:w="1395" w:type="dxa"/>
            <w:vAlign w:val="center"/>
          </w:tcPr>
          <w:p w14:paraId="56CFA31B" w14:textId="77777777" w:rsidR="0015585D" w:rsidRDefault="004E6942">
            <w:pPr>
              <w:jc w:val="left"/>
            </w:pPr>
            <w:r>
              <w:rPr>
                <w:rFonts w:eastAsiaTheme="minorEastAsia"/>
                <w:color w:val="000000" w:themeColor="text1"/>
                <w:szCs w:val="21"/>
              </w:rPr>
              <w:t>过去五年</w:t>
            </w:r>
          </w:p>
        </w:tc>
        <w:tc>
          <w:tcPr>
            <w:tcW w:w="1092" w:type="dxa"/>
            <w:vAlign w:val="center"/>
          </w:tcPr>
          <w:p w14:paraId="76B115D3" w14:textId="77777777" w:rsidR="0015585D" w:rsidRDefault="004E6942">
            <w:pPr>
              <w:jc w:val="center"/>
            </w:pPr>
            <w:r>
              <w:rPr>
                <w:rFonts w:eastAsiaTheme="minorEastAsia"/>
                <w:color w:val="000000" w:themeColor="text1"/>
                <w:szCs w:val="21"/>
              </w:rPr>
              <w:t>-</w:t>
            </w:r>
          </w:p>
        </w:tc>
        <w:tc>
          <w:tcPr>
            <w:tcW w:w="1161" w:type="dxa"/>
            <w:vAlign w:val="center"/>
          </w:tcPr>
          <w:p w14:paraId="029F49C0" w14:textId="77777777" w:rsidR="0015585D" w:rsidRDefault="004E6942">
            <w:pPr>
              <w:jc w:val="center"/>
            </w:pPr>
            <w:r>
              <w:rPr>
                <w:rFonts w:eastAsiaTheme="minorEastAsia"/>
                <w:color w:val="000000" w:themeColor="text1"/>
                <w:szCs w:val="21"/>
              </w:rPr>
              <w:t>-</w:t>
            </w:r>
          </w:p>
        </w:tc>
        <w:tc>
          <w:tcPr>
            <w:tcW w:w="1181" w:type="dxa"/>
            <w:vAlign w:val="center"/>
          </w:tcPr>
          <w:p w14:paraId="33DCF53C" w14:textId="77777777" w:rsidR="0015585D" w:rsidRDefault="004E6942">
            <w:pPr>
              <w:jc w:val="center"/>
            </w:pPr>
            <w:r>
              <w:rPr>
                <w:rFonts w:eastAsiaTheme="minorEastAsia"/>
                <w:color w:val="000000" w:themeColor="text1"/>
                <w:szCs w:val="21"/>
              </w:rPr>
              <w:t>-</w:t>
            </w:r>
          </w:p>
        </w:tc>
        <w:tc>
          <w:tcPr>
            <w:tcW w:w="1188" w:type="dxa"/>
            <w:vAlign w:val="center"/>
          </w:tcPr>
          <w:p w14:paraId="3EB8D844" w14:textId="77777777" w:rsidR="0015585D" w:rsidRDefault="004E6942">
            <w:pPr>
              <w:jc w:val="center"/>
            </w:pPr>
            <w:r>
              <w:rPr>
                <w:rFonts w:eastAsiaTheme="minorEastAsia"/>
                <w:color w:val="000000" w:themeColor="text1"/>
                <w:szCs w:val="21"/>
              </w:rPr>
              <w:t>-</w:t>
            </w:r>
          </w:p>
        </w:tc>
        <w:tc>
          <w:tcPr>
            <w:tcW w:w="1199" w:type="dxa"/>
            <w:vAlign w:val="center"/>
          </w:tcPr>
          <w:p w14:paraId="544D6E89" w14:textId="77777777" w:rsidR="0015585D" w:rsidRDefault="004E6942">
            <w:pPr>
              <w:jc w:val="center"/>
            </w:pPr>
            <w:r>
              <w:rPr>
                <w:rFonts w:eastAsiaTheme="minorEastAsia"/>
                <w:color w:val="000000" w:themeColor="text1"/>
                <w:szCs w:val="21"/>
              </w:rPr>
              <w:t>-</w:t>
            </w:r>
          </w:p>
        </w:tc>
        <w:tc>
          <w:tcPr>
            <w:tcW w:w="1204" w:type="dxa"/>
            <w:vAlign w:val="center"/>
          </w:tcPr>
          <w:p w14:paraId="399662B3" w14:textId="77777777" w:rsidR="0015585D" w:rsidRDefault="004E6942">
            <w:pPr>
              <w:jc w:val="center"/>
            </w:pPr>
            <w:r>
              <w:rPr>
                <w:rFonts w:eastAsiaTheme="minorEastAsia"/>
                <w:color w:val="000000" w:themeColor="text1"/>
                <w:szCs w:val="21"/>
              </w:rPr>
              <w:t>-</w:t>
            </w:r>
          </w:p>
        </w:tc>
      </w:tr>
      <w:tr w:rsidR="0015585D" w14:paraId="0051F236" w14:textId="77777777">
        <w:tc>
          <w:tcPr>
            <w:tcW w:w="1395" w:type="dxa"/>
            <w:vAlign w:val="center"/>
          </w:tcPr>
          <w:p w14:paraId="35A6BA2D" w14:textId="77777777" w:rsidR="0015585D" w:rsidRDefault="004E6942">
            <w:pPr>
              <w:jc w:val="left"/>
            </w:pPr>
            <w:r>
              <w:rPr>
                <w:rFonts w:eastAsiaTheme="minorEastAsia"/>
                <w:color w:val="000000" w:themeColor="text1"/>
                <w:szCs w:val="21"/>
              </w:rPr>
              <w:t>自基金合同生效起至今</w:t>
            </w:r>
          </w:p>
        </w:tc>
        <w:tc>
          <w:tcPr>
            <w:tcW w:w="1092" w:type="dxa"/>
            <w:vAlign w:val="center"/>
          </w:tcPr>
          <w:p w14:paraId="58412FA8" w14:textId="77777777" w:rsidR="0015585D" w:rsidRDefault="004E6942">
            <w:pPr>
              <w:jc w:val="center"/>
            </w:pPr>
            <w:r>
              <w:rPr>
                <w:rFonts w:eastAsiaTheme="minorEastAsia"/>
                <w:color w:val="000000" w:themeColor="text1"/>
                <w:szCs w:val="21"/>
              </w:rPr>
              <w:t>-1.60%</w:t>
            </w:r>
          </w:p>
        </w:tc>
        <w:tc>
          <w:tcPr>
            <w:tcW w:w="1161" w:type="dxa"/>
            <w:vAlign w:val="center"/>
          </w:tcPr>
          <w:p w14:paraId="57CE1BAB" w14:textId="77777777" w:rsidR="0015585D" w:rsidRDefault="004E6942">
            <w:pPr>
              <w:jc w:val="center"/>
            </w:pPr>
            <w:r>
              <w:rPr>
                <w:rFonts w:eastAsiaTheme="minorEastAsia"/>
                <w:color w:val="000000" w:themeColor="text1"/>
                <w:szCs w:val="21"/>
              </w:rPr>
              <w:t>1.58%</w:t>
            </w:r>
          </w:p>
        </w:tc>
        <w:tc>
          <w:tcPr>
            <w:tcW w:w="1181" w:type="dxa"/>
            <w:vAlign w:val="center"/>
          </w:tcPr>
          <w:p w14:paraId="19084E95" w14:textId="77777777" w:rsidR="0015585D" w:rsidRDefault="004E6942">
            <w:pPr>
              <w:jc w:val="center"/>
            </w:pPr>
            <w:r>
              <w:rPr>
                <w:rFonts w:eastAsiaTheme="minorEastAsia"/>
                <w:color w:val="000000" w:themeColor="text1"/>
                <w:szCs w:val="21"/>
              </w:rPr>
              <w:t>23.70%</w:t>
            </w:r>
          </w:p>
        </w:tc>
        <w:tc>
          <w:tcPr>
            <w:tcW w:w="1188" w:type="dxa"/>
            <w:vAlign w:val="center"/>
          </w:tcPr>
          <w:p w14:paraId="6EBB6D56" w14:textId="77777777" w:rsidR="0015585D" w:rsidRDefault="004E6942">
            <w:pPr>
              <w:jc w:val="center"/>
            </w:pPr>
            <w:r>
              <w:rPr>
                <w:rFonts w:eastAsiaTheme="minorEastAsia"/>
                <w:color w:val="000000" w:themeColor="text1"/>
                <w:szCs w:val="21"/>
              </w:rPr>
              <w:t>2.23%</w:t>
            </w:r>
          </w:p>
        </w:tc>
        <w:tc>
          <w:tcPr>
            <w:tcW w:w="1199" w:type="dxa"/>
            <w:vAlign w:val="center"/>
          </w:tcPr>
          <w:p w14:paraId="275E79D3" w14:textId="77777777" w:rsidR="0015585D" w:rsidRDefault="004E6942">
            <w:pPr>
              <w:jc w:val="center"/>
            </w:pPr>
            <w:r>
              <w:rPr>
                <w:rFonts w:eastAsiaTheme="minorEastAsia"/>
                <w:color w:val="000000" w:themeColor="text1"/>
                <w:szCs w:val="21"/>
              </w:rPr>
              <w:t>-25.30%</w:t>
            </w:r>
          </w:p>
        </w:tc>
        <w:tc>
          <w:tcPr>
            <w:tcW w:w="1204" w:type="dxa"/>
            <w:vAlign w:val="center"/>
          </w:tcPr>
          <w:p w14:paraId="6E74579C" w14:textId="77777777" w:rsidR="0015585D" w:rsidRDefault="004E6942">
            <w:pPr>
              <w:jc w:val="center"/>
            </w:pPr>
            <w:r>
              <w:rPr>
                <w:rFonts w:eastAsiaTheme="minorEastAsia"/>
                <w:color w:val="000000" w:themeColor="text1"/>
                <w:szCs w:val="21"/>
              </w:rPr>
              <w:t>-0.65%</w:t>
            </w:r>
          </w:p>
        </w:tc>
      </w:tr>
    </w:tbl>
    <w:p w14:paraId="62C5C2E1"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7D21398"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14:paraId="31469EFD"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摩根中证</w:t>
      </w:r>
      <w:r w:rsidRPr="00473486">
        <w:rPr>
          <w:rFonts w:eastAsiaTheme="minorEastAsia"/>
          <w:color w:val="000000" w:themeColor="text1"/>
          <w:szCs w:val="21"/>
        </w:rPr>
        <w:t>A500</w:t>
      </w:r>
      <w:r w:rsidRPr="00473486">
        <w:rPr>
          <w:rFonts w:eastAsiaTheme="minorEastAsia"/>
          <w:color w:val="000000" w:themeColor="text1"/>
          <w:szCs w:val="21"/>
        </w:rPr>
        <w:t>交易型开放式指数证券投资基金</w:t>
      </w:r>
    </w:p>
    <w:p w14:paraId="7D4E118B" w14:textId="77777777"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14:paraId="37040632"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9</w:t>
      </w:r>
      <w:r w:rsidRPr="00473486">
        <w:rPr>
          <w:rFonts w:eastAsiaTheme="minorEastAsia"/>
          <w:color w:val="000000" w:themeColor="text1"/>
          <w:kern w:val="0"/>
          <w:szCs w:val="21"/>
        </w:rPr>
        <w:t>月</w:t>
      </w:r>
      <w:r w:rsidRPr="00473486">
        <w:rPr>
          <w:rFonts w:eastAsiaTheme="minorEastAsia"/>
          <w:color w:val="000000" w:themeColor="text1"/>
          <w:kern w:val="0"/>
          <w:szCs w:val="21"/>
        </w:rPr>
        <w:t>24</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31</w:t>
      </w:r>
      <w:r w:rsidRPr="00473486">
        <w:rPr>
          <w:rFonts w:eastAsiaTheme="minorEastAsia"/>
          <w:color w:val="000000" w:themeColor="text1"/>
          <w:kern w:val="0"/>
          <w:szCs w:val="21"/>
        </w:rPr>
        <w:t>日）</w:t>
      </w:r>
    </w:p>
    <w:p w14:paraId="306E7A04" w14:textId="77777777"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74368F9D" wp14:editId="6C306ED9">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194BBABB" w14:textId="77777777" w:rsidR="0015585D" w:rsidRDefault="004E694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日，截至本报告期末本基金合同生效未满一年。</w:t>
      </w:r>
    </w:p>
    <w:p w14:paraId="1027812E" w14:textId="3251AE65" w:rsidR="00881A82" w:rsidRPr="00473486" w:rsidRDefault="007D1E3A" w:rsidP="007C3696">
      <w:pPr>
        <w:autoSpaceDE w:val="0"/>
        <w:autoSpaceDN w:val="0"/>
        <w:adjustRightInd w:val="0"/>
        <w:spacing w:line="360" w:lineRule="auto"/>
        <w:jc w:val="left"/>
        <w:rPr>
          <w:rFonts w:eastAsiaTheme="minorEastAsia"/>
          <w:color w:val="000000" w:themeColor="text1"/>
          <w:sz w:val="24"/>
        </w:rPr>
      </w:pPr>
      <w:r w:rsidRPr="00473486">
        <w:rPr>
          <w:rFonts w:eastAsiaTheme="minorEastAsia"/>
          <w:color w:val="000000" w:themeColor="text1"/>
          <w:szCs w:val="21"/>
        </w:rPr>
        <w:lastRenderedPageBreak/>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w:t>
      </w:r>
      <w:r w:rsidR="007C3696" w:rsidRPr="00473486">
        <w:rPr>
          <w:rFonts w:eastAsiaTheme="minorEastAsia"/>
          <w:color w:val="000000" w:themeColor="text1"/>
          <w:szCs w:val="21"/>
        </w:rPr>
        <w:t>截至本报告期末本基金仍处于建仓期。</w:t>
      </w:r>
    </w:p>
    <w:p w14:paraId="56938179" w14:textId="77777777" w:rsidR="00881A82" w:rsidRPr="00473486" w:rsidRDefault="00881A82">
      <w:pPr>
        <w:tabs>
          <w:tab w:val="left" w:pos="1800"/>
        </w:tabs>
        <w:spacing w:line="288" w:lineRule="auto"/>
        <w:rPr>
          <w:rFonts w:eastAsiaTheme="minorEastAsia"/>
          <w:color w:val="000000" w:themeColor="text1"/>
          <w:szCs w:val="21"/>
        </w:rPr>
      </w:pPr>
    </w:p>
    <w:p w14:paraId="73DAEEE6"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14:paraId="310BD5A2"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14:paraId="3D47312E" w14:textId="77777777">
        <w:trPr>
          <w:cantSplit/>
          <w:trHeight w:val="292"/>
        </w:trPr>
        <w:tc>
          <w:tcPr>
            <w:tcW w:w="851" w:type="dxa"/>
            <w:vMerge w:val="restart"/>
            <w:vAlign w:val="center"/>
          </w:tcPr>
          <w:p w14:paraId="2E0F66DE"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14:paraId="1FEA2346"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14:paraId="7457F8FC"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14:paraId="6DF7E377"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14:paraId="59DE3940"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14:paraId="7BB83647" w14:textId="77777777">
        <w:trPr>
          <w:cantSplit/>
        </w:trPr>
        <w:tc>
          <w:tcPr>
            <w:tcW w:w="851" w:type="dxa"/>
            <w:vMerge/>
            <w:vAlign w:val="center"/>
          </w:tcPr>
          <w:p w14:paraId="6F367EE2" w14:textId="77777777"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14:paraId="18AEA7C1" w14:textId="77777777"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14:paraId="7F665021"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14:paraId="131D0AF6"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14:paraId="5C3A3457" w14:textId="77777777"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14:paraId="3FF6D78E" w14:textId="77777777" w:rsidR="00881A82" w:rsidRPr="00473486" w:rsidRDefault="00881A82">
            <w:pPr>
              <w:widowControl/>
              <w:spacing w:line="360" w:lineRule="auto"/>
              <w:jc w:val="left"/>
              <w:rPr>
                <w:rFonts w:eastAsiaTheme="minorEastAsia"/>
                <w:color w:val="000000" w:themeColor="text1"/>
                <w:kern w:val="0"/>
                <w:szCs w:val="21"/>
              </w:rPr>
            </w:pPr>
          </w:p>
        </w:tc>
      </w:tr>
      <w:tr w:rsidR="0015585D" w14:paraId="7B2D61A6" w14:textId="77777777">
        <w:tc>
          <w:tcPr>
            <w:tcW w:w="851" w:type="dxa"/>
            <w:vAlign w:val="center"/>
          </w:tcPr>
          <w:p w14:paraId="65073DDF" w14:textId="77777777" w:rsidR="0015585D" w:rsidRDefault="004E6942">
            <w:pPr>
              <w:jc w:val="center"/>
            </w:pPr>
            <w:r>
              <w:rPr>
                <w:rFonts w:eastAsiaTheme="minorEastAsia"/>
                <w:color w:val="000000" w:themeColor="text1"/>
                <w:szCs w:val="21"/>
              </w:rPr>
              <w:t>韩秀一</w:t>
            </w:r>
          </w:p>
        </w:tc>
        <w:tc>
          <w:tcPr>
            <w:tcW w:w="850" w:type="dxa"/>
            <w:vAlign w:val="center"/>
          </w:tcPr>
          <w:p w14:paraId="61DD8C6B" w14:textId="77777777" w:rsidR="0015585D" w:rsidRDefault="004E6942">
            <w:pPr>
              <w:jc w:val="center"/>
            </w:pPr>
            <w:r>
              <w:rPr>
                <w:rFonts w:eastAsiaTheme="minorEastAsia"/>
                <w:color w:val="000000" w:themeColor="text1"/>
                <w:szCs w:val="21"/>
              </w:rPr>
              <w:t>本基金基金经理</w:t>
            </w:r>
          </w:p>
        </w:tc>
        <w:tc>
          <w:tcPr>
            <w:tcW w:w="1560" w:type="dxa"/>
            <w:vAlign w:val="center"/>
          </w:tcPr>
          <w:p w14:paraId="0B60E11B" w14:textId="77777777" w:rsidR="0015585D" w:rsidRDefault="004E6942">
            <w:pPr>
              <w:jc w:val="center"/>
            </w:pPr>
            <w:r>
              <w:rPr>
                <w:rFonts w:eastAsiaTheme="minorEastAsia"/>
                <w:color w:val="000000" w:themeColor="text1"/>
                <w:szCs w:val="21"/>
              </w:rPr>
              <w:t>2024-09-24</w:t>
            </w:r>
          </w:p>
        </w:tc>
        <w:tc>
          <w:tcPr>
            <w:tcW w:w="1559" w:type="dxa"/>
            <w:vAlign w:val="center"/>
          </w:tcPr>
          <w:p w14:paraId="1EA8826E" w14:textId="77777777" w:rsidR="0015585D" w:rsidRDefault="004E6942">
            <w:pPr>
              <w:jc w:val="center"/>
            </w:pPr>
            <w:r>
              <w:rPr>
                <w:rFonts w:eastAsiaTheme="minorEastAsia"/>
                <w:color w:val="000000" w:themeColor="text1"/>
                <w:szCs w:val="21"/>
              </w:rPr>
              <w:t>-</w:t>
            </w:r>
          </w:p>
        </w:tc>
        <w:tc>
          <w:tcPr>
            <w:tcW w:w="1417" w:type="dxa"/>
            <w:vAlign w:val="center"/>
          </w:tcPr>
          <w:p w14:paraId="41A08396" w14:textId="77777777" w:rsidR="0015585D" w:rsidRDefault="004E6942">
            <w:pPr>
              <w:jc w:val="center"/>
            </w:pPr>
            <w:r>
              <w:rPr>
                <w:rFonts w:eastAsiaTheme="minorEastAsia"/>
                <w:color w:val="000000" w:themeColor="text1"/>
                <w:szCs w:val="21"/>
              </w:rPr>
              <w:t>5</w:t>
            </w:r>
            <w:r>
              <w:rPr>
                <w:rFonts w:eastAsiaTheme="minorEastAsia"/>
                <w:color w:val="000000" w:themeColor="text1"/>
                <w:szCs w:val="21"/>
              </w:rPr>
              <w:t>年</w:t>
            </w:r>
          </w:p>
        </w:tc>
        <w:tc>
          <w:tcPr>
            <w:tcW w:w="2694" w:type="dxa"/>
            <w:vAlign w:val="center"/>
          </w:tcPr>
          <w:p w14:paraId="45E4F239" w14:textId="77777777" w:rsidR="0015585D" w:rsidRDefault="004E6942">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月加入摩根基金管理（中国）有限公司（原上投摩根基金管理有限公司），历任研究员、研究员兼投资经理助理，现任指数及量化投资部基金经理。</w:t>
            </w:r>
          </w:p>
        </w:tc>
      </w:tr>
    </w:tbl>
    <w:p w14:paraId="1708218E" w14:textId="77777777" w:rsidR="0015585D" w:rsidRDefault="004E694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对基金的首任基金经理，其</w:t>
      </w:r>
      <w:r>
        <w:rPr>
          <w:rFonts w:eastAsiaTheme="minorEastAsia"/>
          <w:color w:val="000000" w:themeColor="text1"/>
          <w:szCs w:val="21"/>
        </w:rPr>
        <w:t>"</w:t>
      </w:r>
      <w:r>
        <w:rPr>
          <w:rFonts w:eastAsiaTheme="minorEastAsia"/>
          <w:color w:val="000000" w:themeColor="text1"/>
          <w:szCs w:val="21"/>
        </w:rPr>
        <w:t>任职日期</w:t>
      </w:r>
      <w:r>
        <w:rPr>
          <w:rFonts w:eastAsiaTheme="minorEastAsia"/>
          <w:color w:val="000000" w:themeColor="text1"/>
          <w:szCs w:val="21"/>
        </w:rPr>
        <w:t>"</w:t>
      </w:r>
      <w:r>
        <w:rPr>
          <w:rFonts w:eastAsiaTheme="minorEastAsia"/>
          <w:color w:val="000000" w:themeColor="text1"/>
          <w:szCs w:val="21"/>
        </w:rPr>
        <w:t>为基金合同生效日，</w:t>
      </w:r>
      <w:r>
        <w:rPr>
          <w:rFonts w:eastAsiaTheme="minorEastAsia"/>
          <w:color w:val="000000" w:themeColor="text1"/>
          <w:szCs w:val="21"/>
        </w:rPr>
        <w:t>"</w:t>
      </w:r>
      <w:r>
        <w:rPr>
          <w:rFonts w:eastAsiaTheme="minorEastAsia"/>
          <w:color w:val="000000" w:themeColor="text1"/>
          <w:szCs w:val="21"/>
        </w:rPr>
        <w:t>离任日期</w:t>
      </w:r>
      <w:r>
        <w:rPr>
          <w:rFonts w:eastAsiaTheme="minorEastAsia"/>
          <w:color w:val="000000" w:themeColor="text1"/>
          <w:szCs w:val="21"/>
        </w:rPr>
        <w:t>"</w:t>
      </w:r>
      <w:r>
        <w:rPr>
          <w:rFonts w:eastAsiaTheme="minorEastAsia"/>
          <w:color w:val="000000" w:themeColor="text1"/>
          <w:szCs w:val="21"/>
        </w:rPr>
        <w:t>为根据公司决定确定的解聘日期；对非首任基金经理，</w:t>
      </w:r>
      <w:r>
        <w:rPr>
          <w:rFonts w:eastAsiaTheme="minorEastAsia"/>
          <w:color w:val="000000" w:themeColor="text1"/>
          <w:szCs w:val="21"/>
        </w:rPr>
        <w:t>"</w:t>
      </w:r>
      <w:r>
        <w:rPr>
          <w:rFonts w:eastAsiaTheme="minorEastAsia"/>
          <w:color w:val="000000" w:themeColor="text1"/>
          <w:szCs w:val="21"/>
        </w:rPr>
        <w:t>任职日期</w:t>
      </w:r>
      <w:r>
        <w:rPr>
          <w:rFonts w:eastAsiaTheme="minorEastAsia"/>
          <w:color w:val="000000" w:themeColor="text1"/>
          <w:szCs w:val="21"/>
        </w:rPr>
        <w:t>"</w:t>
      </w:r>
      <w:r>
        <w:rPr>
          <w:rFonts w:eastAsiaTheme="minorEastAsia"/>
          <w:color w:val="000000" w:themeColor="text1"/>
          <w:szCs w:val="21"/>
        </w:rPr>
        <w:t>和</w:t>
      </w:r>
      <w:r>
        <w:rPr>
          <w:rFonts w:eastAsiaTheme="minorEastAsia"/>
          <w:color w:val="000000" w:themeColor="text1"/>
          <w:szCs w:val="21"/>
        </w:rPr>
        <w:t>"</w:t>
      </w:r>
      <w:r>
        <w:rPr>
          <w:rFonts w:eastAsiaTheme="minorEastAsia"/>
          <w:color w:val="000000" w:themeColor="text1"/>
          <w:szCs w:val="21"/>
        </w:rPr>
        <w:t>离任日期</w:t>
      </w:r>
      <w:r>
        <w:rPr>
          <w:rFonts w:eastAsiaTheme="minorEastAsia"/>
          <w:color w:val="000000" w:themeColor="text1"/>
          <w:szCs w:val="21"/>
        </w:rPr>
        <w:t>"</w:t>
      </w:r>
      <w:r>
        <w:rPr>
          <w:rFonts w:eastAsiaTheme="minorEastAsia"/>
          <w:color w:val="000000" w:themeColor="text1"/>
          <w:szCs w:val="21"/>
        </w:rPr>
        <w:t>分别指根据公司决定确定的聘任日期和解聘日期。</w:t>
      </w:r>
    </w:p>
    <w:p w14:paraId="2DFC0EFE"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2.</w:t>
      </w:r>
      <w:r w:rsidRPr="00473486">
        <w:rPr>
          <w:rFonts w:eastAsiaTheme="minorEastAsia"/>
          <w:color w:val="000000" w:themeColor="text1"/>
          <w:szCs w:val="21"/>
        </w:rPr>
        <w:t>证券从业的含义遵从行业协会《证券业从业人员资格管理办法》的相关规定。</w:t>
      </w:r>
    </w:p>
    <w:p w14:paraId="39D7E7E9"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14:paraId="2AE8B3FB"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3C4D71F6"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219B2A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14:paraId="2EE85530"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14:paraId="2218F114"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31E54031"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2DC6CEB"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D4B5A66"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14:paraId="6ED7CB86"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67A7D707"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14:paraId="2CF1116B" w14:textId="77777777" w:rsidR="00881A82" w:rsidRPr="00473486" w:rsidRDefault="00881A82">
      <w:pPr>
        <w:spacing w:line="360" w:lineRule="auto"/>
        <w:ind w:firstLineChars="200" w:firstLine="480"/>
        <w:rPr>
          <w:rFonts w:eastAsiaTheme="minorEastAsia"/>
          <w:color w:val="000000" w:themeColor="text1"/>
          <w:sz w:val="24"/>
        </w:rPr>
      </w:pPr>
    </w:p>
    <w:p w14:paraId="37360299"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14:paraId="2E0E816C"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14:paraId="7D87DDE7"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t>中证</w:t>
      </w:r>
      <w:r>
        <w:rPr>
          <w:rFonts w:eastAsiaTheme="minorEastAsia"/>
          <w:color w:val="000000" w:themeColor="text1"/>
          <w:szCs w:val="21"/>
        </w:rPr>
        <w:t>A500</w:t>
      </w:r>
      <w:r>
        <w:rPr>
          <w:rFonts w:eastAsiaTheme="minorEastAsia"/>
          <w:color w:val="000000" w:themeColor="text1"/>
          <w:szCs w:val="21"/>
        </w:rPr>
        <w:t>指数于今年</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日发布。中证</w:t>
      </w:r>
      <w:r>
        <w:rPr>
          <w:rFonts w:eastAsiaTheme="minorEastAsia"/>
          <w:color w:val="000000" w:themeColor="text1"/>
          <w:szCs w:val="21"/>
        </w:rPr>
        <w:t>A500</w:t>
      </w:r>
      <w:r>
        <w:rPr>
          <w:rFonts w:eastAsiaTheme="minorEastAsia"/>
          <w:color w:val="000000" w:themeColor="text1"/>
          <w:szCs w:val="21"/>
        </w:rPr>
        <w:t>全收益指数从发布到</w:t>
      </w:r>
      <w:r>
        <w:rPr>
          <w:rFonts w:eastAsiaTheme="minorEastAsia"/>
          <w:color w:val="000000" w:themeColor="text1"/>
          <w:szCs w:val="21"/>
        </w:rPr>
        <w:t>2024</w:t>
      </w:r>
      <w:r>
        <w:rPr>
          <w:rFonts w:eastAsiaTheme="minorEastAsia"/>
          <w:color w:val="000000" w:themeColor="text1"/>
          <w:szCs w:val="21"/>
        </w:rPr>
        <w:t>年结束上涨</w:t>
      </w:r>
      <w:r>
        <w:rPr>
          <w:rFonts w:eastAsiaTheme="minorEastAsia"/>
          <w:color w:val="000000" w:themeColor="text1"/>
          <w:szCs w:val="21"/>
        </w:rPr>
        <w:t>24.38%</w:t>
      </w:r>
      <w:r>
        <w:rPr>
          <w:rFonts w:eastAsiaTheme="minorEastAsia"/>
          <w:color w:val="000000" w:themeColor="text1"/>
          <w:szCs w:val="21"/>
        </w:rPr>
        <w:t>，跑赢沪深</w:t>
      </w:r>
      <w:r>
        <w:rPr>
          <w:rFonts w:eastAsiaTheme="minorEastAsia"/>
          <w:color w:val="000000" w:themeColor="text1"/>
          <w:szCs w:val="21"/>
        </w:rPr>
        <w:t>300</w:t>
      </w:r>
      <w:r>
        <w:rPr>
          <w:rFonts w:eastAsiaTheme="minorEastAsia"/>
          <w:color w:val="000000" w:themeColor="text1"/>
          <w:szCs w:val="21"/>
        </w:rPr>
        <w:t>同期</w:t>
      </w:r>
      <w:r>
        <w:rPr>
          <w:rFonts w:eastAsiaTheme="minorEastAsia"/>
          <w:color w:val="000000" w:themeColor="text1"/>
          <w:szCs w:val="21"/>
        </w:rPr>
        <w:t>23.4%</w:t>
      </w:r>
      <w:r>
        <w:rPr>
          <w:rFonts w:eastAsiaTheme="minorEastAsia"/>
          <w:color w:val="000000" w:themeColor="text1"/>
          <w:szCs w:val="21"/>
        </w:rPr>
        <w:t>的涨幅。截至</w:t>
      </w:r>
      <w:r>
        <w:rPr>
          <w:rFonts w:eastAsiaTheme="minorEastAsia"/>
          <w:color w:val="000000" w:themeColor="text1"/>
          <w:szCs w:val="21"/>
        </w:rPr>
        <w:t>2024</w:t>
      </w:r>
      <w:r>
        <w:rPr>
          <w:rFonts w:eastAsiaTheme="minorEastAsia"/>
          <w:color w:val="000000" w:themeColor="text1"/>
          <w:szCs w:val="21"/>
        </w:rPr>
        <w:t>年年底，全市场挂钩中证</w:t>
      </w:r>
      <w:r>
        <w:rPr>
          <w:rFonts w:eastAsiaTheme="minorEastAsia"/>
          <w:color w:val="000000" w:themeColor="text1"/>
          <w:szCs w:val="21"/>
        </w:rPr>
        <w:t>A500</w:t>
      </w:r>
      <w:r>
        <w:rPr>
          <w:rFonts w:eastAsiaTheme="minorEastAsia"/>
          <w:color w:val="000000" w:themeColor="text1"/>
          <w:szCs w:val="21"/>
        </w:rPr>
        <w:t>指数的</w:t>
      </w:r>
      <w:r>
        <w:rPr>
          <w:rFonts w:eastAsiaTheme="minorEastAsia"/>
          <w:color w:val="000000" w:themeColor="text1"/>
          <w:szCs w:val="21"/>
        </w:rPr>
        <w:t>ETF</w:t>
      </w:r>
      <w:r>
        <w:rPr>
          <w:rFonts w:eastAsiaTheme="minorEastAsia"/>
          <w:color w:val="000000" w:themeColor="text1"/>
          <w:szCs w:val="21"/>
        </w:rPr>
        <w:t>最新规模已经超过</w:t>
      </w:r>
      <w:r>
        <w:rPr>
          <w:rFonts w:eastAsiaTheme="minorEastAsia"/>
          <w:color w:val="000000" w:themeColor="text1"/>
          <w:szCs w:val="21"/>
        </w:rPr>
        <w:t>3500</w:t>
      </w:r>
      <w:r>
        <w:rPr>
          <w:rFonts w:eastAsiaTheme="minorEastAsia"/>
          <w:color w:val="000000" w:themeColor="text1"/>
          <w:szCs w:val="21"/>
        </w:rPr>
        <w:t>亿，仅次于沪深</w:t>
      </w:r>
      <w:r>
        <w:rPr>
          <w:rFonts w:eastAsiaTheme="minorEastAsia"/>
          <w:color w:val="000000" w:themeColor="text1"/>
          <w:szCs w:val="21"/>
        </w:rPr>
        <w:t>300</w:t>
      </w:r>
      <w:r>
        <w:rPr>
          <w:rFonts w:eastAsiaTheme="minorEastAsia"/>
          <w:color w:val="000000" w:themeColor="text1"/>
          <w:szCs w:val="21"/>
        </w:rPr>
        <w:t>。越来越多的客户重视中证</w:t>
      </w:r>
      <w:r>
        <w:rPr>
          <w:rFonts w:eastAsiaTheme="minorEastAsia"/>
          <w:color w:val="000000" w:themeColor="text1"/>
          <w:szCs w:val="21"/>
        </w:rPr>
        <w:t>A500</w:t>
      </w:r>
      <w:r>
        <w:rPr>
          <w:rFonts w:eastAsiaTheme="minorEastAsia"/>
          <w:color w:val="000000" w:themeColor="text1"/>
          <w:szCs w:val="21"/>
        </w:rPr>
        <w:t>指数的投资价值，后面也有望看到基金业绩基准向中证</w:t>
      </w:r>
      <w:r>
        <w:rPr>
          <w:rFonts w:eastAsiaTheme="minorEastAsia"/>
          <w:color w:val="000000" w:themeColor="text1"/>
          <w:szCs w:val="21"/>
        </w:rPr>
        <w:t>A500</w:t>
      </w:r>
      <w:r>
        <w:rPr>
          <w:rFonts w:eastAsiaTheme="minorEastAsia"/>
          <w:color w:val="000000" w:themeColor="text1"/>
          <w:szCs w:val="21"/>
        </w:rPr>
        <w:t>指数迁移。</w:t>
      </w:r>
    </w:p>
    <w:p w14:paraId="6058E6AB"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今年以来，主要宽基指数先稳健上涨，后近几个月受到经济弱复苏，企业盈利疲弱的负面因素压制，导致主要宽基指数出现回落。同时外部环境不确定性也在加剧，</w:t>
      </w:r>
      <w:r>
        <w:rPr>
          <w:rFonts w:eastAsiaTheme="minorEastAsia"/>
          <w:color w:val="000000" w:themeColor="text1"/>
          <w:szCs w:val="21"/>
        </w:rPr>
        <w:t>8</w:t>
      </w:r>
      <w:r>
        <w:rPr>
          <w:rFonts w:eastAsiaTheme="minorEastAsia"/>
          <w:color w:val="000000" w:themeColor="text1"/>
          <w:szCs w:val="21"/>
        </w:rPr>
        <w:t>月初因为日本央行加息预期，全球市场出现巨震。</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日以来连续的</w:t>
      </w:r>
      <w:r>
        <w:rPr>
          <w:rFonts w:eastAsiaTheme="minorEastAsia"/>
          <w:color w:val="000000" w:themeColor="text1"/>
          <w:szCs w:val="21"/>
        </w:rPr>
        <w:t>“</w:t>
      </w:r>
      <w:r>
        <w:rPr>
          <w:rFonts w:eastAsiaTheme="minorEastAsia"/>
          <w:color w:val="000000" w:themeColor="text1"/>
          <w:szCs w:val="21"/>
        </w:rPr>
        <w:t>政策组合拳</w:t>
      </w:r>
      <w:r>
        <w:rPr>
          <w:rFonts w:eastAsiaTheme="minorEastAsia"/>
          <w:color w:val="000000" w:themeColor="text1"/>
          <w:szCs w:val="21"/>
        </w:rPr>
        <w:t>”</w:t>
      </w:r>
      <w:r>
        <w:rPr>
          <w:rFonts w:eastAsiaTheme="minorEastAsia"/>
          <w:color w:val="000000" w:themeColor="text1"/>
          <w:szCs w:val="21"/>
        </w:rPr>
        <w:t>密集落地之下，市场风险偏好快速修复。市场从悲观情绪中扭转主要有三大因素，一是资本市场政策红利超预期，二是政策以需求侧为发力重点，三是宏观政策逆周期调节力度超预期。市场在密集组合拳之下，</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日到</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日期间大幅反弹，市场青睐成长风格的核心资产，期间中证</w:t>
      </w:r>
      <w:r>
        <w:rPr>
          <w:rFonts w:eastAsiaTheme="minorEastAsia"/>
          <w:color w:val="000000" w:themeColor="text1"/>
          <w:szCs w:val="21"/>
        </w:rPr>
        <w:t>A500</w:t>
      </w:r>
      <w:r>
        <w:rPr>
          <w:rFonts w:eastAsiaTheme="minorEastAsia"/>
          <w:color w:val="000000" w:themeColor="text1"/>
          <w:szCs w:val="21"/>
        </w:rPr>
        <w:t>指数反弹</w:t>
      </w:r>
      <w:r>
        <w:rPr>
          <w:rFonts w:eastAsiaTheme="minorEastAsia"/>
          <w:color w:val="000000" w:themeColor="text1"/>
          <w:szCs w:val="21"/>
        </w:rPr>
        <w:t>33.74%</w:t>
      </w:r>
      <w:r>
        <w:rPr>
          <w:rFonts w:eastAsiaTheme="minorEastAsia"/>
          <w:color w:val="000000" w:themeColor="text1"/>
          <w:szCs w:val="21"/>
        </w:rPr>
        <w:t>。</w:t>
      </w:r>
    </w:p>
    <w:p w14:paraId="4D9622C9"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t>国务院国资委近日印发了《关于改进和加强中央企业控股上市公司市值管理工作的若干意见》。《意见》共九条，其中特别指出引导控股上市公司牢固树立投资者回报意识，增加现金分红频次、优化现金分红节奏、提高现金分红比例；推动中央企业和控股上市公司建立常态化股票回购增持机制，规范减持行为，积极解决控股上市公司长期破净问题。该意见相比</w:t>
      </w:r>
      <w:r>
        <w:rPr>
          <w:rFonts w:eastAsiaTheme="minorEastAsia"/>
          <w:color w:val="000000" w:themeColor="text1"/>
          <w:szCs w:val="21"/>
        </w:rPr>
        <w:lastRenderedPageBreak/>
        <w:t>“</w:t>
      </w:r>
      <w:r>
        <w:rPr>
          <w:rFonts w:eastAsiaTheme="minorEastAsia"/>
          <w:color w:val="000000" w:themeColor="text1"/>
          <w:szCs w:val="21"/>
        </w:rPr>
        <w:t>国九条</w:t>
      </w:r>
      <w:r>
        <w:rPr>
          <w:rFonts w:eastAsiaTheme="minorEastAsia"/>
          <w:color w:val="000000" w:themeColor="text1"/>
          <w:szCs w:val="21"/>
        </w:rPr>
        <w:t>”</w:t>
      </w:r>
      <w:r>
        <w:rPr>
          <w:rFonts w:eastAsiaTheme="minorEastAsia"/>
          <w:color w:val="000000" w:themeColor="text1"/>
          <w:szCs w:val="21"/>
        </w:rPr>
        <w:t>的基础上，对中央企业提出了更高的股东回报的要求，公司通过提升分红的稳定性和派息率的水平来回馈股东。我们有望看到以央国企为主的核心资产估值逻辑重塑。此外</w:t>
      </w:r>
      <w:r>
        <w:rPr>
          <w:rFonts w:eastAsiaTheme="minorEastAsia"/>
          <w:color w:val="000000" w:themeColor="text1"/>
          <w:szCs w:val="21"/>
        </w:rPr>
        <w:t>11</w:t>
      </w:r>
      <w:r>
        <w:rPr>
          <w:rFonts w:eastAsiaTheme="minorEastAsia"/>
          <w:color w:val="000000" w:themeColor="text1"/>
          <w:szCs w:val="21"/>
        </w:rPr>
        <w:t>月证监会正式发布《上市公司监管指引第</w:t>
      </w:r>
      <w:r>
        <w:rPr>
          <w:rFonts w:eastAsiaTheme="minorEastAsia"/>
          <w:color w:val="000000" w:themeColor="text1"/>
          <w:szCs w:val="21"/>
        </w:rPr>
        <w:t>10</w:t>
      </w:r>
      <w:r>
        <w:rPr>
          <w:rFonts w:eastAsiaTheme="minorEastAsia"/>
          <w:color w:val="000000" w:themeColor="text1"/>
          <w:szCs w:val="21"/>
        </w:rPr>
        <w:t>号</w:t>
      </w:r>
      <w:r>
        <w:rPr>
          <w:rFonts w:eastAsiaTheme="minorEastAsia"/>
          <w:color w:val="000000" w:themeColor="text1"/>
          <w:szCs w:val="21"/>
        </w:rPr>
        <w:t>——</w:t>
      </w:r>
      <w:r>
        <w:rPr>
          <w:rFonts w:eastAsiaTheme="minorEastAsia"/>
          <w:color w:val="000000" w:themeColor="text1"/>
          <w:szCs w:val="21"/>
        </w:rPr>
        <w:t>市值管理》指出，包括中证</w:t>
      </w:r>
      <w:r>
        <w:rPr>
          <w:rFonts w:eastAsiaTheme="minorEastAsia"/>
          <w:color w:val="000000" w:themeColor="text1"/>
          <w:szCs w:val="21"/>
        </w:rPr>
        <w:t>A500</w:t>
      </w:r>
      <w:r>
        <w:rPr>
          <w:rFonts w:eastAsiaTheme="minorEastAsia"/>
          <w:color w:val="000000" w:themeColor="text1"/>
          <w:szCs w:val="21"/>
        </w:rPr>
        <w:t>在内的重要宽基指数中，存在长期破净的，</w:t>
      </w:r>
      <w:r>
        <w:rPr>
          <w:rFonts w:eastAsiaTheme="minorEastAsia"/>
          <w:color w:val="000000" w:themeColor="text1"/>
          <w:szCs w:val="21"/>
        </w:rPr>
        <w:t>20</w:t>
      </w:r>
      <w:r>
        <w:rPr>
          <w:rFonts w:eastAsiaTheme="minorEastAsia"/>
          <w:color w:val="000000" w:themeColor="text1"/>
          <w:szCs w:val="21"/>
        </w:rPr>
        <w:t>个交易日跌</w:t>
      </w:r>
      <w:r>
        <w:rPr>
          <w:rFonts w:eastAsiaTheme="minorEastAsia"/>
          <w:color w:val="000000" w:themeColor="text1"/>
          <w:szCs w:val="21"/>
        </w:rPr>
        <w:t>20%</w:t>
      </w:r>
      <w:r>
        <w:rPr>
          <w:rFonts w:eastAsiaTheme="minorEastAsia"/>
          <w:color w:val="000000" w:themeColor="text1"/>
          <w:szCs w:val="21"/>
        </w:rPr>
        <w:t>的，最近一年回撤</w:t>
      </w:r>
      <w:r>
        <w:rPr>
          <w:rFonts w:eastAsiaTheme="minorEastAsia"/>
          <w:color w:val="000000" w:themeColor="text1"/>
          <w:szCs w:val="21"/>
        </w:rPr>
        <w:t>50%</w:t>
      </w:r>
      <w:r>
        <w:rPr>
          <w:rFonts w:eastAsiaTheme="minorEastAsia"/>
          <w:color w:val="000000" w:themeColor="text1"/>
          <w:szCs w:val="21"/>
        </w:rPr>
        <w:t>的成分股需要加大市值管理力度。我们有望看到在政策组合拳的推动下，中证</w:t>
      </w:r>
      <w:r>
        <w:rPr>
          <w:rFonts w:eastAsiaTheme="minorEastAsia"/>
          <w:color w:val="000000" w:themeColor="text1"/>
          <w:szCs w:val="21"/>
        </w:rPr>
        <w:t>A500</w:t>
      </w:r>
      <w:r>
        <w:rPr>
          <w:rFonts w:eastAsiaTheme="minorEastAsia"/>
          <w:color w:val="000000" w:themeColor="text1"/>
          <w:szCs w:val="21"/>
        </w:rPr>
        <w:t>的成分股提高股东回报水平，尤其是提高在市场回撤时加大市值管理力度。</w:t>
      </w:r>
    </w:p>
    <w:p w14:paraId="13C14BBE"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本基金采用被动投资的方法跟踪标的指数，争取跟踪误差保持在合理范围内。</w:t>
      </w:r>
    </w:p>
    <w:p w14:paraId="79837FE0"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截止到</w:t>
      </w:r>
      <w:r w:rsidRPr="00473486">
        <w:rPr>
          <w:rFonts w:eastAsiaTheme="minorEastAsia"/>
          <w:color w:val="000000" w:themeColor="text1"/>
          <w:szCs w:val="21"/>
        </w:rPr>
        <w:t>2024</w:t>
      </w:r>
      <w:r w:rsidRPr="00473486">
        <w:rPr>
          <w:rFonts w:eastAsiaTheme="minorEastAsia"/>
          <w:color w:val="000000" w:themeColor="text1"/>
          <w:szCs w:val="21"/>
        </w:rPr>
        <w:t>年末，中证</w:t>
      </w:r>
      <w:r w:rsidRPr="00473486">
        <w:rPr>
          <w:rFonts w:eastAsiaTheme="minorEastAsia"/>
          <w:color w:val="000000" w:themeColor="text1"/>
          <w:szCs w:val="21"/>
        </w:rPr>
        <w:t>A500</w:t>
      </w:r>
      <w:r w:rsidRPr="00473486">
        <w:rPr>
          <w:rFonts w:eastAsiaTheme="minorEastAsia"/>
          <w:color w:val="000000" w:themeColor="text1"/>
          <w:szCs w:val="21"/>
        </w:rPr>
        <w:t>指数最新估值回落到</w:t>
      </w:r>
      <w:r w:rsidRPr="00473486">
        <w:rPr>
          <w:rFonts w:eastAsiaTheme="minorEastAsia"/>
          <w:color w:val="000000" w:themeColor="text1"/>
          <w:szCs w:val="21"/>
        </w:rPr>
        <w:t>14.82</w:t>
      </w:r>
      <w:r w:rsidRPr="00473486">
        <w:rPr>
          <w:rFonts w:eastAsiaTheme="minorEastAsia"/>
          <w:color w:val="000000" w:themeColor="text1"/>
          <w:szCs w:val="21"/>
        </w:rPr>
        <w:t>倍左右，股息率在</w:t>
      </w:r>
      <w:r w:rsidRPr="00473486">
        <w:rPr>
          <w:rFonts w:eastAsiaTheme="minorEastAsia"/>
          <w:color w:val="000000" w:themeColor="text1"/>
          <w:szCs w:val="21"/>
        </w:rPr>
        <w:t>2.4%—2.5%</w:t>
      </w:r>
      <w:r w:rsidRPr="00473486">
        <w:rPr>
          <w:rFonts w:eastAsiaTheme="minorEastAsia"/>
          <w:color w:val="000000" w:themeColor="text1"/>
          <w:szCs w:val="21"/>
        </w:rPr>
        <w:t>区间内，仍然处于合理区间。在短期增量政策真空、政策落地效果逐步兑现的宏观环境下，核心资产的短期相对价值提升。我们认为有望看到</w:t>
      </w:r>
      <w:r w:rsidRPr="00473486">
        <w:rPr>
          <w:rFonts w:eastAsiaTheme="minorEastAsia"/>
          <w:color w:val="000000" w:themeColor="text1"/>
          <w:szCs w:val="21"/>
        </w:rPr>
        <w:t>2025</w:t>
      </w:r>
      <w:r w:rsidRPr="00473486">
        <w:rPr>
          <w:rFonts w:eastAsiaTheme="minorEastAsia"/>
          <w:color w:val="000000" w:themeColor="text1"/>
          <w:szCs w:val="21"/>
        </w:rPr>
        <w:t>年核心资产率先在利润端企稳反弹，加之中证</w:t>
      </w:r>
      <w:r w:rsidRPr="00473486">
        <w:rPr>
          <w:rFonts w:eastAsiaTheme="minorEastAsia"/>
          <w:color w:val="000000" w:themeColor="text1"/>
          <w:szCs w:val="21"/>
        </w:rPr>
        <w:t>A500</w:t>
      </w:r>
      <w:r w:rsidRPr="00473486">
        <w:rPr>
          <w:rFonts w:eastAsiaTheme="minorEastAsia"/>
          <w:color w:val="000000" w:themeColor="text1"/>
          <w:szCs w:val="21"/>
        </w:rPr>
        <w:t>指数目前估值和股息保护仍相当有竞争力。海外方面，美联储降息周期启动，随着海外流动性压力的缓解，影响海外投资者配置</w:t>
      </w:r>
      <w:r w:rsidRPr="00473486">
        <w:rPr>
          <w:rFonts w:eastAsiaTheme="minorEastAsia"/>
          <w:color w:val="000000" w:themeColor="text1"/>
          <w:szCs w:val="21"/>
        </w:rPr>
        <w:t>A</w:t>
      </w:r>
      <w:r w:rsidRPr="00473486">
        <w:rPr>
          <w:rFonts w:eastAsiaTheme="minorEastAsia"/>
          <w:color w:val="000000" w:themeColor="text1"/>
          <w:szCs w:val="21"/>
        </w:rPr>
        <w:t>股的负面因素将逐步得到缓解。外资对于</w:t>
      </w:r>
      <w:r w:rsidRPr="00473486">
        <w:rPr>
          <w:rFonts w:eastAsiaTheme="minorEastAsia"/>
          <w:color w:val="000000" w:themeColor="text1"/>
          <w:szCs w:val="21"/>
        </w:rPr>
        <w:t>A</w:t>
      </w:r>
      <w:r w:rsidRPr="00473486">
        <w:rPr>
          <w:rFonts w:eastAsiaTheme="minorEastAsia"/>
          <w:color w:val="000000" w:themeColor="text1"/>
          <w:szCs w:val="21"/>
        </w:rPr>
        <w:t>股的配置仓位目前处于历史低位，外资仓位的回补或将驱动资金持续回流中国。</w:t>
      </w:r>
    </w:p>
    <w:p w14:paraId="44CDBBFF"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14:paraId="23B1F6C9"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本报告期摩根中证</w:t>
      </w:r>
      <w:r w:rsidRPr="00473486">
        <w:rPr>
          <w:rFonts w:eastAsiaTheme="minorEastAsia"/>
          <w:color w:val="000000" w:themeColor="text1"/>
          <w:szCs w:val="21"/>
        </w:rPr>
        <w:t>A500ETF</w:t>
      </w:r>
      <w:r w:rsidRPr="00473486">
        <w:rPr>
          <w:rFonts w:eastAsiaTheme="minorEastAsia"/>
          <w:color w:val="000000" w:themeColor="text1"/>
          <w:szCs w:val="21"/>
        </w:rPr>
        <w:t>份额净值增长率为</w:t>
      </w:r>
      <w:r w:rsidRPr="00473486">
        <w:rPr>
          <w:rFonts w:eastAsiaTheme="minorEastAsia"/>
          <w:color w:val="000000" w:themeColor="text1"/>
          <w:szCs w:val="21"/>
        </w:rPr>
        <w:t>:-3.96%</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:-1.62%</w:t>
      </w:r>
      <w:r w:rsidRPr="00473486">
        <w:rPr>
          <w:rFonts w:eastAsiaTheme="minorEastAsia"/>
          <w:color w:val="000000" w:themeColor="text1"/>
          <w:szCs w:val="21"/>
        </w:rPr>
        <w:t>。</w:t>
      </w:r>
    </w:p>
    <w:p w14:paraId="7D554BFE" w14:textId="77777777" w:rsidR="00881A82" w:rsidRPr="00473486" w:rsidRDefault="00881A82">
      <w:pPr>
        <w:spacing w:line="360" w:lineRule="auto"/>
        <w:ind w:firstLineChars="200" w:firstLine="480"/>
        <w:rPr>
          <w:rFonts w:eastAsiaTheme="minorEastAsia"/>
          <w:color w:val="000000" w:themeColor="text1"/>
          <w:sz w:val="24"/>
        </w:rPr>
      </w:pPr>
    </w:p>
    <w:p w14:paraId="4C513A58" w14:textId="77777777"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14:paraId="63383189"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14:paraId="7DD1405D"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14:paraId="5F9F29B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14:paraId="4791C51B" w14:textId="77777777">
        <w:trPr>
          <w:jc w:val="center"/>
        </w:trPr>
        <w:tc>
          <w:tcPr>
            <w:tcW w:w="720" w:type="dxa"/>
            <w:vAlign w:val="center"/>
          </w:tcPr>
          <w:p w14:paraId="780F598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14:paraId="7FEA249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14:paraId="5489EC8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14:paraId="4A44AC4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14:paraId="60E9D291" w14:textId="77777777">
        <w:trPr>
          <w:jc w:val="center"/>
        </w:trPr>
        <w:tc>
          <w:tcPr>
            <w:tcW w:w="720" w:type="dxa"/>
            <w:vAlign w:val="center"/>
          </w:tcPr>
          <w:p w14:paraId="3E43882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14:paraId="3FCC31B7"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14:paraId="179C0DA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11,414,793,270.85</w:t>
            </w:r>
          </w:p>
        </w:tc>
        <w:tc>
          <w:tcPr>
            <w:tcW w:w="1843" w:type="dxa"/>
            <w:vAlign w:val="center"/>
          </w:tcPr>
          <w:p w14:paraId="58C38C4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99.20</w:t>
            </w:r>
          </w:p>
        </w:tc>
      </w:tr>
      <w:tr w:rsidR="00881A82" w:rsidRPr="00473486" w14:paraId="76127AB7" w14:textId="77777777">
        <w:trPr>
          <w:jc w:val="center"/>
        </w:trPr>
        <w:tc>
          <w:tcPr>
            <w:tcW w:w="720" w:type="dxa"/>
            <w:vAlign w:val="center"/>
          </w:tcPr>
          <w:p w14:paraId="053FDCCC"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7E062299"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14:paraId="4C6A330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11,414,793,270.85</w:t>
            </w:r>
          </w:p>
        </w:tc>
        <w:tc>
          <w:tcPr>
            <w:tcW w:w="1843" w:type="dxa"/>
            <w:vAlign w:val="center"/>
          </w:tcPr>
          <w:p w14:paraId="21347FA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99.20</w:t>
            </w:r>
          </w:p>
        </w:tc>
      </w:tr>
      <w:tr w:rsidR="00881A82" w:rsidRPr="00473486" w14:paraId="41CECCB5" w14:textId="77777777">
        <w:trPr>
          <w:jc w:val="center"/>
        </w:trPr>
        <w:tc>
          <w:tcPr>
            <w:tcW w:w="720" w:type="dxa"/>
            <w:vAlign w:val="center"/>
          </w:tcPr>
          <w:p w14:paraId="3DFAB62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14:paraId="562A6010"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14:paraId="32B42F9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45935FC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F090F99" w14:textId="77777777">
        <w:trPr>
          <w:jc w:val="center"/>
        </w:trPr>
        <w:tc>
          <w:tcPr>
            <w:tcW w:w="720" w:type="dxa"/>
            <w:vAlign w:val="center"/>
          </w:tcPr>
          <w:p w14:paraId="35900D0D"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725188A2"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14:paraId="3CF391A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6728B08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D06D200" w14:textId="77777777">
        <w:trPr>
          <w:jc w:val="center"/>
        </w:trPr>
        <w:tc>
          <w:tcPr>
            <w:tcW w:w="720" w:type="dxa"/>
            <w:vAlign w:val="center"/>
          </w:tcPr>
          <w:p w14:paraId="39A83148"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047762B0" w14:textId="77777777"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14:paraId="7311B10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08C086F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1A40F3A" w14:textId="77777777">
        <w:trPr>
          <w:jc w:val="center"/>
        </w:trPr>
        <w:tc>
          <w:tcPr>
            <w:tcW w:w="720" w:type="dxa"/>
          </w:tcPr>
          <w:p w14:paraId="69B3382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14:paraId="1B7DBDBC" w14:textId="77777777"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14:paraId="41E4840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76AACDB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54AA03A" w14:textId="77777777">
        <w:trPr>
          <w:jc w:val="center"/>
        </w:trPr>
        <w:tc>
          <w:tcPr>
            <w:tcW w:w="720" w:type="dxa"/>
            <w:vAlign w:val="center"/>
          </w:tcPr>
          <w:p w14:paraId="5DE8DAD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14:paraId="492061D7"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14:paraId="7A5658F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5DA09A4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12E795D" w14:textId="77777777">
        <w:trPr>
          <w:jc w:val="center"/>
        </w:trPr>
        <w:tc>
          <w:tcPr>
            <w:tcW w:w="720" w:type="dxa"/>
            <w:vAlign w:val="center"/>
          </w:tcPr>
          <w:p w14:paraId="4AF1D17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14:paraId="39FEDBDD"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14:paraId="0145884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6388C65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568BC12" w14:textId="77777777">
        <w:trPr>
          <w:jc w:val="center"/>
        </w:trPr>
        <w:tc>
          <w:tcPr>
            <w:tcW w:w="720" w:type="dxa"/>
            <w:vAlign w:val="center"/>
          </w:tcPr>
          <w:p w14:paraId="3EF29DBB"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7C99EA91"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14:paraId="37C8C28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2BDA6BD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03E949B" w14:textId="77777777">
        <w:trPr>
          <w:jc w:val="center"/>
        </w:trPr>
        <w:tc>
          <w:tcPr>
            <w:tcW w:w="720" w:type="dxa"/>
            <w:vAlign w:val="center"/>
          </w:tcPr>
          <w:p w14:paraId="4E0406F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14:paraId="0B8CC28C"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14:paraId="321035E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91,602,250.48</w:t>
            </w:r>
          </w:p>
        </w:tc>
        <w:tc>
          <w:tcPr>
            <w:tcW w:w="1843" w:type="dxa"/>
            <w:vAlign w:val="center"/>
          </w:tcPr>
          <w:p w14:paraId="32F0858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0.80</w:t>
            </w:r>
          </w:p>
        </w:tc>
      </w:tr>
      <w:tr w:rsidR="00881A82" w:rsidRPr="00473486" w14:paraId="74CE2969" w14:textId="77777777">
        <w:trPr>
          <w:jc w:val="center"/>
        </w:trPr>
        <w:tc>
          <w:tcPr>
            <w:tcW w:w="720" w:type="dxa"/>
            <w:vAlign w:val="center"/>
          </w:tcPr>
          <w:p w14:paraId="0BD7E9F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14:paraId="75381CB2"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14:paraId="04B1C2B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3286B4A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FB498BC" w14:textId="77777777">
        <w:trPr>
          <w:jc w:val="center"/>
        </w:trPr>
        <w:tc>
          <w:tcPr>
            <w:tcW w:w="720" w:type="dxa"/>
            <w:vAlign w:val="center"/>
          </w:tcPr>
          <w:p w14:paraId="241795C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14:paraId="37DAF8FF"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14:paraId="668F1D7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11,506,395,521.33</w:t>
            </w:r>
          </w:p>
        </w:tc>
        <w:tc>
          <w:tcPr>
            <w:tcW w:w="1843" w:type="dxa"/>
            <w:vAlign w:val="center"/>
          </w:tcPr>
          <w:p w14:paraId="1B6A150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14:paraId="5E54482D"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261C50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14:paraId="5BD19AB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14:paraId="1328C575"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1E2BD9B8"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14:paraId="17F93B37"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134C34E0"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D951E5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CBA96F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3EA97E"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14:paraId="7DB8E8E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616AF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750A811"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C4C926F"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58,796,747.00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9A6246"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0.52</w:t>
            </w:r>
          </w:p>
        </w:tc>
      </w:tr>
      <w:tr w:rsidR="00881A82" w:rsidRPr="00473486" w14:paraId="6E8358D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CAC43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D69972"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DC982F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529,305,794.80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B2A57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4.64</w:t>
            </w:r>
          </w:p>
        </w:tc>
      </w:tr>
      <w:tr w:rsidR="00881A82" w:rsidRPr="00473486" w14:paraId="6123DCF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F4254B"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478B63"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17BAFFF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6,785,957,982.21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FAD75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59.45</w:t>
            </w:r>
          </w:p>
        </w:tc>
      </w:tr>
      <w:tr w:rsidR="00881A82" w:rsidRPr="00473486" w14:paraId="3377695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E046E5"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0C9942"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860393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387,112,688.50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7ED9D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3.39</w:t>
            </w:r>
          </w:p>
        </w:tc>
      </w:tr>
      <w:tr w:rsidR="00881A82" w:rsidRPr="00473486" w14:paraId="7DF473D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11FC57"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80A4A21"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1DCABA7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234,840,503.20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6139D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2.06</w:t>
            </w:r>
          </w:p>
        </w:tc>
      </w:tr>
      <w:tr w:rsidR="00881A82" w:rsidRPr="00473486" w14:paraId="45DA540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0D330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6AB23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F439D5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75,120,833.00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F785F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0.66</w:t>
            </w:r>
          </w:p>
        </w:tc>
      </w:tr>
      <w:tr w:rsidR="00881A82" w:rsidRPr="00473486" w14:paraId="437CEC1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D581F4"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0E75472"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59F54F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404,340,749.00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8C0A8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3.54</w:t>
            </w:r>
          </w:p>
        </w:tc>
      </w:tr>
      <w:tr w:rsidR="00881A82" w:rsidRPr="00473486" w14:paraId="6958CBC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79B1F4"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ACACB1"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69CDF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11,005,327.00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0FDB3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0.10</w:t>
            </w:r>
          </w:p>
        </w:tc>
      </w:tr>
      <w:tr w:rsidR="00881A82" w:rsidRPr="00473486" w14:paraId="48FBADE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8F71F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148359"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DFFCD0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725,843,038.94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68EA9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6.36</w:t>
            </w:r>
          </w:p>
        </w:tc>
      </w:tr>
      <w:tr w:rsidR="00881A82" w:rsidRPr="00473486" w14:paraId="2256732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4AEF5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CD1C4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02C2757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1,725,171,066.00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21D78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15.12</w:t>
            </w:r>
          </w:p>
        </w:tc>
      </w:tr>
      <w:tr w:rsidR="00881A82" w:rsidRPr="00473486" w14:paraId="4985397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8D25A4"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E9E96E"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36AD0D8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122,588,458.20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ECFBD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1.07</w:t>
            </w:r>
          </w:p>
        </w:tc>
      </w:tr>
      <w:tr w:rsidR="00881A82" w:rsidRPr="00473486" w14:paraId="4054E20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FB9C4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A7DD4F"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BE2076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124,330,927.00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42BCE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1.09</w:t>
            </w:r>
          </w:p>
        </w:tc>
      </w:tr>
      <w:tr w:rsidR="00881A82" w:rsidRPr="00473486" w14:paraId="1CCF328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6EE0CF"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FB331A1"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883AB7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113,359,353.00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55634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0.99</w:t>
            </w:r>
          </w:p>
        </w:tc>
      </w:tr>
      <w:tr w:rsidR="00881A82" w:rsidRPr="00473486" w14:paraId="327B2BE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D134D0"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BE3E103"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3BF49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30,400,363.00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2285F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0.27</w:t>
            </w:r>
          </w:p>
        </w:tc>
      </w:tr>
      <w:tr w:rsidR="00881A82" w:rsidRPr="00473486" w14:paraId="3A79ECD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501376"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0767D7"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27720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4D747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711E66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7FFEB8"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35BDA65"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65D630C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8,440,160.00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1A253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0.07</w:t>
            </w:r>
          </w:p>
        </w:tc>
      </w:tr>
      <w:tr w:rsidR="00881A82" w:rsidRPr="00473486" w14:paraId="24B43A4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BFCA57"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CC240CD"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33CC01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49,636,796.00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A2982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0.43</w:t>
            </w:r>
          </w:p>
        </w:tc>
      </w:tr>
      <w:tr w:rsidR="00881A82" w:rsidRPr="00473486" w14:paraId="6AF5D98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2BB5E4"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EDC357"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606BE6C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28,542,484.00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822C9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0.25</w:t>
            </w:r>
          </w:p>
        </w:tc>
      </w:tr>
      <w:tr w:rsidR="00881A82" w:rsidRPr="00473486" w14:paraId="7D37037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A6D1C1"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C9BE7E"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5C9DB87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BAC57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640BA1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8D72EE" w14:textId="77777777"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7EE801"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6A975C8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11,414,793,270.85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C4C18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100.01</w:t>
            </w:r>
          </w:p>
        </w:tc>
      </w:tr>
    </w:tbl>
    <w:p w14:paraId="0C2F2B92" w14:textId="77777777" w:rsidR="00881A82" w:rsidRPr="00473486" w:rsidRDefault="00881A82">
      <w:pPr>
        <w:autoSpaceDE w:val="0"/>
        <w:autoSpaceDN w:val="0"/>
        <w:adjustRightInd w:val="0"/>
        <w:spacing w:line="360" w:lineRule="auto"/>
        <w:jc w:val="left"/>
        <w:rPr>
          <w:rFonts w:eastAsiaTheme="minorEastAsia"/>
          <w:color w:val="000000" w:themeColor="text1"/>
          <w:sz w:val="24"/>
        </w:rPr>
      </w:pPr>
    </w:p>
    <w:p w14:paraId="08A72A27"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14:paraId="1008D0CB"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14:paraId="723155B5" w14:textId="77777777">
        <w:tc>
          <w:tcPr>
            <w:tcW w:w="817" w:type="dxa"/>
            <w:vAlign w:val="center"/>
          </w:tcPr>
          <w:p w14:paraId="3D3EBF2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14:paraId="2B3933D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14:paraId="4C86505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14:paraId="57C4EAE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14:paraId="38747CD4"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14:paraId="67E5B3D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15585D" w14:paraId="2CB8FACD" w14:textId="77777777">
        <w:tc>
          <w:tcPr>
            <w:tcW w:w="817" w:type="dxa"/>
            <w:vAlign w:val="center"/>
          </w:tcPr>
          <w:p w14:paraId="69B204B3" w14:textId="77777777" w:rsidR="0015585D" w:rsidRDefault="004E6942">
            <w:pPr>
              <w:jc w:val="center"/>
            </w:pPr>
            <w:r>
              <w:rPr>
                <w:rFonts w:eastAsiaTheme="minorEastAsia"/>
                <w:color w:val="000000" w:themeColor="text1"/>
                <w:szCs w:val="21"/>
              </w:rPr>
              <w:t>1</w:t>
            </w:r>
          </w:p>
        </w:tc>
        <w:tc>
          <w:tcPr>
            <w:tcW w:w="1276" w:type="dxa"/>
            <w:vAlign w:val="center"/>
          </w:tcPr>
          <w:p w14:paraId="6D6B4248" w14:textId="77777777" w:rsidR="0015585D" w:rsidRDefault="004E6942">
            <w:pPr>
              <w:jc w:val="center"/>
            </w:pPr>
            <w:r>
              <w:rPr>
                <w:rFonts w:eastAsiaTheme="minorEastAsia"/>
                <w:color w:val="000000" w:themeColor="text1"/>
                <w:szCs w:val="21"/>
              </w:rPr>
              <w:t>600519</w:t>
            </w:r>
          </w:p>
        </w:tc>
        <w:tc>
          <w:tcPr>
            <w:tcW w:w="1701" w:type="dxa"/>
            <w:vAlign w:val="center"/>
          </w:tcPr>
          <w:p w14:paraId="46DABCA4" w14:textId="77777777" w:rsidR="0015585D" w:rsidRDefault="004E6942">
            <w:pPr>
              <w:jc w:val="center"/>
            </w:pPr>
            <w:r>
              <w:rPr>
                <w:rFonts w:eastAsiaTheme="minorEastAsia"/>
                <w:color w:val="000000" w:themeColor="text1"/>
                <w:szCs w:val="21"/>
              </w:rPr>
              <w:t>贵州茅台</w:t>
            </w:r>
          </w:p>
        </w:tc>
        <w:tc>
          <w:tcPr>
            <w:tcW w:w="1276" w:type="dxa"/>
            <w:vAlign w:val="center"/>
          </w:tcPr>
          <w:p w14:paraId="5083BC6A" w14:textId="77777777" w:rsidR="0015585D" w:rsidRDefault="004E6942">
            <w:pPr>
              <w:jc w:val="right"/>
            </w:pPr>
            <w:r>
              <w:rPr>
                <w:rFonts w:eastAsiaTheme="minorEastAsia"/>
                <w:color w:val="000000" w:themeColor="text1"/>
                <w:szCs w:val="21"/>
              </w:rPr>
              <w:t>315,000.00</w:t>
            </w:r>
          </w:p>
        </w:tc>
        <w:tc>
          <w:tcPr>
            <w:tcW w:w="1842" w:type="dxa"/>
            <w:vAlign w:val="center"/>
          </w:tcPr>
          <w:p w14:paraId="68E00A5E" w14:textId="77777777" w:rsidR="0015585D" w:rsidRDefault="004E6942">
            <w:pPr>
              <w:jc w:val="right"/>
            </w:pPr>
            <w:r>
              <w:rPr>
                <w:rFonts w:eastAsiaTheme="minorEastAsia"/>
                <w:color w:val="000000" w:themeColor="text1"/>
                <w:szCs w:val="21"/>
              </w:rPr>
              <w:t>480,060,000.00</w:t>
            </w:r>
          </w:p>
        </w:tc>
        <w:tc>
          <w:tcPr>
            <w:tcW w:w="1616" w:type="dxa"/>
            <w:vAlign w:val="center"/>
          </w:tcPr>
          <w:p w14:paraId="75FAAC82" w14:textId="77777777" w:rsidR="0015585D" w:rsidRDefault="004E6942">
            <w:pPr>
              <w:jc w:val="right"/>
            </w:pPr>
            <w:r>
              <w:rPr>
                <w:rFonts w:eastAsiaTheme="minorEastAsia"/>
                <w:color w:val="000000" w:themeColor="text1"/>
                <w:szCs w:val="21"/>
              </w:rPr>
              <w:t>4.21</w:t>
            </w:r>
          </w:p>
        </w:tc>
      </w:tr>
      <w:tr w:rsidR="0015585D" w14:paraId="2038D11F" w14:textId="77777777">
        <w:tc>
          <w:tcPr>
            <w:tcW w:w="817" w:type="dxa"/>
            <w:vAlign w:val="center"/>
          </w:tcPr>
          <w:p w14:paraId="4F7A62D0" w14:textId="77777777" w:rsidR="0015585D" w:rsidRDefault="004E6942">
            <w:pPr>
              <w:jc w:val="center"/>
            </w:pPr>
            <w:r>
              <w:rPr>
                <w:rFonts w:eastAsiaTheme="minorEastAsia"/>
                <w:color w:val="000000" w:themeColor="text1"/>
                <w:szCs w:val="21"/>
              </w:rPr>
              <w:t>2</w:t>
            </w:r>
          </w:p>
        </w:tc>
        <w:tc>
          <w:tcPr>
            <w:tcW w:w="1276" w:type="dxa"/>
            <w:vAlign w:val="center"/>
          </w:tcPr>
          <w:p w14:paraId="252DA553" w14:textId="77777777" w:rsidR="0015585D" w:rsidRDefault="004E6942">
            <w:pPr>
              <w:jc w:val="center"/>
            </w:pPr>
            <w:r>
              <w:rPr>
                <w:rFonts w:eastAsiaTheme="minorEastAsia"/>
                <w:color w:val="000000" w:themeColor="text1"/>
                <w:szCs w:val="21"/>
              </w:rPr>
              <w:t>300750</w:t>
            </w:r>
          </w:p>
        </w:tc>
        <w:tc>
          <w:tcPr>
            <w:tcW w:w="1701" w:type="dxa"/>
            <w:vAlign w:val="center"/>
          </w:tcPr>
          <w:p w14:paraId="632C19DF" w14:textId="77777777" w:rsidR="0015585D" w:rsidRDefault="004E6942">
            <w:pPr>
              <w:jc w:val="center"/>
            </w:pPr>
            <w:r>
              <w:rPr>
                <w:rFonts w:eastAsiaTheme="minorEastAsia"/>
                <w:color w:val="000000" w:themeColor="text1"/>
                <w:szCs w:val="21"/>
              </w:rPr>
              <w:t>宁德时代</w:t>
            </w:r>
          </w:p>
        </w:tc>
        <w:tc>
          <w:tcPr>
            <w:tcW w:w="1276" w:type="dxa"/>
            <w:vAlign w:val="center"/>
          </w:tcPr>
          <w:p w14:paraId="2DE96D1C" w14:textId="77777777" w:rsidR="0015585D" w:rsidRDefault="004E6942">
            <w:pPr>
              <w:jc w:val="right"/>
            </w:pPr>
            <w:r>
              <w:rPr>
                <w:rFonts w:eastAsiaTheme="minorEastAsia"/>
                <w:color w:val="000000" w:themeColor="text1"/>
                <w:szCs w:val="21"/>
              </w:rPr>
              <w:t>1,337,130.00</w:t>
            </w:r>
          </w:p>
        </w:tc>
        <w:tc>
          <w:tcPr>
            <w:tcW w:w="1842" w:type="dxa"/>
            <w:vAlign w:val="center"/>
          </w:tcPr>
          <w:p w14:paraId="6F0B90A1" w14:textId="77777777" w:rsidR="0015585D" w:rsidRDefault="004E6942">
            <w:pPr>
              <w:jc w:val="right"/>
            </w:pPr>
            <w:r>
              <w:rPr>
                <w:rFonts w:eastAsiaTheme="minorEastAsia"/>
                <w:color w:val="000000" w:themeColor="text1"/>
                <w:szCs w:val="21"/>
              </w:rPr>
              <w:t>355,676,580.00</w:t>
            </w:r>
          </w:p>
        </w:tc>
        <w:tc>
          <w:tcPr>
            <w:tcW w:w="1616" w:type="dxa"/>
            <w:vAlign w:val="center"/>
          </w:tcPr>
          <w:p w14:paraId="29B858F1" w14:textId="77777777" w:rsidR="0015585D" w:rsidRDefault="004E6942">
            <w:pPr>
              <w:jc w:val="right"/>
            </w:pPr>
            <w:r>
              <w:rPr>
                <w:rFonts w:eastAsiaTheme="minorEastAsia"/>
                <w:color w:val="000000" w:themeColor="text1"/>
                <w:szCs w:val="21"/>
              </w:rPr>
              <w:t>3.12</w:t>
            </w:r>
          </w:p>
        </w:tc>
      </w:tr>
      <w:tr w:rsidR="0015585D" w14:paraId="51BEC7AD" w14:textId="77777777">
        <w:tc>
          <w:tcPr>
            <w:tcW w:w="817" w:type="dxa"/>
            <w:vAlign w:val="center"/>
          </w:tcPr>
          <w:p w14:paraId="3EBB553F" w14:textId="77777777" w:rsidR="0015585D" w:rsidRDefault="004E6942">
            <w:pPr>
              <w:jc w:val="center"/>
            </w:pPr>
            <w:r>
              <w:rPr>
                <w:rFonts w:eastAsiaTheme="minorEastAsia"/>
                <w:color w:val="000000" w:themeColor="text1"/>
                <w:szCs w:val="21"/>
              </w:rPr>
              <w:t>3</w:t>
            </w:r>
          </w:p>
        </w:tc>
        <w:tc>
          <w:tcPr>
            <w:tcW w:w="1276" w:type="dxa"/>
            <w:vAlign w:val="center"/>
          </w:tcPr>
          <w:p w14:paraId="33C23A90" w14:textId="77777777" w:rsidR="0015585D" w:rsidRDefault="004E6942">
            <w:pPr>
              <w:jc w:val="center"/>
            </w:pPr>
            <w:r>
              <w:rPr>
                <w:rFonts w:eastAsiaTheme="minorEastAsia"/>
                <w:color w:val="000000" w:themeColor="text1"/>
                <w:szCs w:val="21"/>
              </w:rPr>
              <w:t>601318</w:t>
            </w:r>
          </w:p>
        </w:tc>
        <w:tc>
          <w:tcPr>
            <w:tcW w:w="1701" w:type="dxa"/>
            <w:vAlign w:val="center"/>
          </w:tcPr>
          <w:p w14:paraId="3D4D76A3" w14:textId="77777777" w:rsidR="0015585D" w:rsidRDefault="004E6942">
            <w:pPr>
              <w:jc w:val="center"/>
            </w:pPr>
            <w:r>
              <w:rPr>
                <w:rFonts w:eastAsiaTheme="minorEastAsia"/>
                <w:color w:val="000000" w:themeColor="text1"/>
                <w:szCs w:val="21"/>
              </w:rPr>
              <w:t>中国平安</w:t>
            </w:r>
          </w:p>
        </w:tc>
        <w:tc>
          <w:tcPr>
            <w:tcW w:w="1276" w:type="dxa"/>
            <w:vAlign w:val="center"/>
          </w:tcPr>
          <w:p w14:paraId="5FCD1A43" w14:textId="77777777" w:rsidR="0015585D" w:rsidRDefault="004E6942">
            <w:pPr>
              <w:jc w:val="right"/>
            </w:pPr>
            <w:r>
              <w:rPr>
                <w:rFonts w:eastAsiaTheme="minorEastAsia"/>
                <w:color w:val="000000" w:themeColor="text1"/>
                <w:szCs w:val="21"/>
              </w:rPr>
              <w:t>5,427,900.00</w:t>
            </w:r>
          </w:p>
        </w:tc>
        <w:tc>
          <w:tcPr>
            <w:tcW w:w="1842" w:type="dxa"/>
            <w:vAlign w:val="center"/>
          </w:tcPr>
          <w:p w14:paraId="5A756E61" w14:textId="77777777" w:rsidR="0015585D" w:rsidRDefault="004E6942">
            <w:pPr>
              <w:jc w:val="right"/>
            </w:pPr>
            <w:r>
              <w:rPr>
                <w:rFonts w:eastAsiaTheme="minorEastAsia"/>
                <w:color w:val="000000" w:themeColor="text1"/>
                <w:szCs w:val="21"/>
              </w:rPr>
              <w:t>285,778,935.00</w:t>
            </w:r>
          </w:p>
        </w:tc>
        <w:tc>
          <w:tcPr>
            <w:tcW w:w="1616" w:type="dxa"/>
            <w:vAlign w:val="center"/>
          </w:tcPr>
          <w:p w14:paraId="66186A9C" w14:textId="77777777" w:rsidR="0015585D" w:rsidRDefault="004E6942">
            <w:pPr>
              <w:jc w:val="right"/>
            </w:pPr>
            <w:r>
              <w:rPr>
                <w:rFonts w:eastAsiaTheme="minorEastAsia"/>
                <w:color w:val="000000" w:themeColor="text1"/>
                <w:szCs w:val="21"/>
              </w:rPr>
              <w:t>2.50</w:t>
            </w:r>
          </w:p>
        </w:tc>
      </w:tr>
      <w:tr w:rsidR="0015585D" w14:paraId="5761B6B1" w14:textId="77777777">
        <w:tc>
          <w:tcPr>
            <w:tcW w:w="817" w:type="dxa"/>
            <w:vAlign w:val="center"/>
          </w:tcPr>
          <w:p w14:paraId="1EFF0BFF" w14:textId="77777777" w:rsidR="0015585D" w:rsidRDefault="004E6942">
            <w:pPr>
              <w:jc w:val="center"/>
            </w:pPr>
            <w:r>
              <w:rPr>
                <w:rFonts w:eastAsiaTheme="minorEastAsia"/>
                <w:color w:val="000000" w:themeColor="text1"/>
                <w:szCs w:val="21"/>
              </w:rPr>
              <w:t>4</w:t>
            </w:r>
          </w:p>
        </w:tc>
        <w:tc>
          <w:tcPr>
            <w:tcW w:w="1276" w:type="dxa"/>
            <w:vAlign w:val="center"/>
          </w:tcPr>
          <w:p w14:paraId="397BE870" w14:textId="77777777" w:rsidR="0015585D" w:rsidRDefault="004E6942">
            <w:pPr>
              <w:jc w:val="center"/>
            </w:pPr>
            <w:r>
              <w:rPr>
                <w:rFonts w:eastAsiaTheme="minorEastAsia"/>
                <w:color w:val="000000" w:themeColor="text1"/>
                <w:szCs w:val="21"/>
              </w:rPr>
              <w:t>600036</w:t>
            </w:r>
          </w:p>
        </w:tc>
        <w:tc>
          <w:tcPr>
            <w:tcW w:w="1701" w:type="dxa"/>
            <w:vAlign w:val="center"/>
          </w:tcPr>
          <w:p w14:paraId="6190F05F" w14:textId="77777777" w:rsidR="0015585D" w:rsidRDefault="004E6942">
            <w:pPr>
              <w:jc w:val="center"/>
            </w:pPr>
            <w:r>
              <w:rPr>
                <w:rFonts w:eastAsiaTheme="minorEastAsia"/>
                <w:color w:val="000000" w:themeColor="text1"/>
                <w:szCs w:val="21"/>
              </w:rPr>
              <w:t>招商银行</w:t>
            </w:r>
          </w:p>
        </w:tc>
        <w:tc>
          <w:tcPr>
            <w:tcW w:w="1276" w:type="dxa"/>
            <w:vAlign w:val="center"/>
          </w:tcPr>
          <w:p w14:paraId="106244A1" w14:textId="77777777" w:rsidR="0015585D" w:rsidRDefault="004E6942">
            <w:pPr>
              <w:jc w:val="right"/>
            </w:pPr>
            <w:r>
              <w:rPr>
                <w:rFonts w:eastAsiaTheme="minorEastAsia"/>
                <w:color w:val="000000" w:themeColor="text1"/>
                <w:szCs w:val="21"/>
              </w:rPr>
              <w:t>6,245,400.00</w:t>
            </w:r>
          </w:p>
        </w:tc>
        <w:tc>
          <w:tcPr>
            <w:tcW w:w="1842" w:type="dxa"/>
            <w:vAlign w:val="center"/>
          </w:tcPr>
          <w:p w14:paraId="24EF9F58" w14:textId="77777777" w:rsidR="0015585D" w:rsidRDefault="004E6942">
            <w:pPr>
              <w:jc w:val="right"/>
            </w:pPr>
            <w:r>
              <w:rPr>
                <w:rFonts w:eastAsiaTheme="minorEastAsia"/>
                <w:color w:val="000000" w:themeColor="text1"/>
                <w:szCs w:val="21"/>
              </w:rPr>
              <w:t>245,444,220.00</w:t>
            </w:r>
          </w:p>
        </w:tc>
        <w:tc>
          <w:tcPr>
            <w:tcW w:w="1616" w:type="dxa"/>
            <w:vAlign w:val="center"/>
          </w:tcPr>
          <w:p w14:paraId="17C0B80E" w14:textId="77777777" w:rsidR="0015585D" w:rsidRDefault="004E6942">
            <w:pPr>
              <w:jc w:val="right"/>
            </w:pPr>
            <w:r>
              <w:rPr>
                <w:rFonts w:eastAsiaTheme="minorEastAsia"/>
                <w:color w:val="000000" w:themeColor="text1"/>
                <w:szCs w:val="21"/>
              </w:rPr>
              <w:t>2.15</w:t>
            </w:r>
          </w:p>
        </w:tc>
      </w:tr>
      <w:tr w:rsidR="0015585D" w14:paraId="738C949B" w14:textId="77777777">
        <w:tc>
          <w:tcPr>
            <w:tcW w:w="817" w:type="dxa"/>
            <w:vAlign w:val="center"/>
          </w:tcPr>
          <w:p w14:paraId="5AAA9AB0" w14:textId="77777777" w:rsidR="0015585D" w:rsidRDefault="004E6942">
            <w:pPr>
              <w:jc w:val="center"/>
            </w:pPr>
            <w:r>
              <w:rPr>
                <w:rFonts w:eastAsiaTheme="minorEastAsia"/>
                <w:color w:val="000000" w:themeColor="text1"/>
                <w:szCs w:val="21"/>
              </w:rPr>
              <w:t>5</w:t>
            </w:r>
          </w:p>
        </w:tc>
        <w:tc>
          <w:tcPr>
            <w:tcW w:w="1276" w:type="dxa"/>
            <w:vAlign w:val="center"/>
          </w:tcPr>
          <w:p w14:paraId="5DFD2B7A" w14:textId="77777777" w:rsidR="0015585D" w:rsidRDefault="004E6942">
            <w:pPr>
              <w:jc w:val="center"/>
            </w:pPr>
            <w:r>
              <w:rPr>
                <w:rFonts w:eastAsiaTheme="minorEastAsia"/>
                <w:color w:val="000000" w:themeColor="text1"/>
                <w:szCs w:val="21"/>
              </w:rPr>
              <w:t>000333</w:t>
            </w:r>
          </w:p>
        </w:tc>
        <w:tc>
          <w:tcPr>
            <w:tcW w:w="1701" w:type="dxa"/>
            <w:vAlign w:val="center"/>
          </w:tcPr>
          <w:p w14:paraId="5479C37B" w14:textId="77777777" w:rsidR="0015585D" w:rsidRDefault="004E6942">
            <w:pPr>
              <w:jc w:val="center"/>
            </w:pPr>
            <w:r>
              <w:rPr>
                <w:rFonts w:eastAsiaTheme="minorEastAsia"/>
                <w:color w:val="000000" w:themeColor="text1"/>
                <w:szCs w:val="21"/>
              </w:rPr>
              <w:t>美的集团</w:t>
            </w:r>
          </w:p>
        </w:tc>
        <w:tc>
          <w:tcPr>
            <w:tcW w:w="1276" w:type="dxa"/>
            <w:vAlign w:val="center"/>
          </w:tcPr>
          <w:p w14:paraId="5E4D2F8E" w14:textId="77777777" w:rsidR="0015585D" w:rsidRDefault="004E6942">
            <w:pPr>
              <w:jc w:val="right"/>
            </w:pPr>
            <w:r>
              <w:rPr>
                <w:rFonts w:eastAsiaTheme="minorEastAsia"/>
                <w:color w:val="000000" w:themeColor="text1"/>
                <w:szCs w:val="21"/>
              </w:rPr>
              <w:t>2,469,900.00</w:t>
            </w:r>
          </w:p>
        </w:tc>
        <w:tc>
          <w:tcPr>
            <w:tcW w:w="1842" w:type="dxa"/>
            <w:vAlign w:val="center"/>
          </w:tcPr>
          <w:p w14:paraId="52264DAD" w14:textId="77777777" w:rsidR="0015585D" w:rsidRDefault="004E6942">
            <w:pPr>
              <w:jc w:val="right"/>
            </w:pPr>
            <w:r>
              <w:rPr>
                <w:rFonts w:eastAsiaTheme="minorEastAsia"/>
                <w:color w:val="000000" w:themeColor="text1"/>
                <w:szCs w:val="21"/>
              </w:rPr>
              <w:t>185,785,878.00</w:t>
            </w:r>
          </w:p>
        </w:tc>
        <w:tc>
          <w:tcPr>
            <w:tcW w:w="1616" w:type="dxa"/>
            <w:vAlign w:val="center"/>
          </w:tcPr>
          <w:p w14:paraId="227EBFB0" w14:textId="77777777" w:rsidR="0015585D" w:rsidRDefault="004E6942">
            <w:pPr>
              <w:jc w:val="right"/>
            </w:pPr>
            <w:r>
              <w:rPr>
                <w:rFonts w:eastAsiaTheme="minorEastAsia"/>
                <w:color w:val="000000" w:themeColor="text1"/>
                <w:szCs w:val="21"/>
              </w:rPr>
              <w:t>1.63</w:t>
            </w:r>
          </w:p>
        </w:tc>
      </w:tr>
      <w:tr w:rsidR="0015585D" w14:paraId="54B4EC63" w14:textId="77777777">
        <w:tc>
          <w:tcPr>
            <w:tcW w:w="817" w:type="dxa"/>
            <w:vAlign w:val="center"/>
          </w:tcPr>
          <w:p w14:paraId="732DFE0F" w14:textId="77777777" w:rsidR="0015585D" w:rsidRDefault="004E6942">
            <w:pPr>
              <w:jc w:val="center"/>
            </w:pPr>
            <w:r>
              <w:rPr>
                <w:rFonts w:eastAsiaTheme="minorEastAsia"/>
                <w:color w:val="000000" w:themeColor="text1"/>
                <w:szCs w:val="21"/>
              </w:rPr>
              <w:t>6</w:t>
            </w:r>
          </w:p>
        </w:tc>
        <w:tc>
          <w:tcPr>
            <w:tcW w:w="1276" w:type="dxa"/>
            <w:vAlign w:val="center"/>
          </w:tcPr>
          <w:p w14:paraId="46787A1D" w14:textId="77777777" w:rsidR="0015585D" w:rsidRDefault="004E6942">
            <w:pPr>
              <w:jc w:val="center"/>
            </w:pPr>
            <w:r>
              <w:rPr>
                <w:rFonts w:eastAsiaTheme="minorEastAsia"/>
                <w:color w:val="000000" w:themeColor="text1"/>
                <w:szCs w:val="21"/>
              </w:rPr>
              <w:t>600900</w:t>
            </w:r>
          </w:p>
        </w:tc>
        <w:tc>
          <w:tcPr>
            <w:tcW w:w="1701" w:type="dxa"/>
            <w:vAlign w:val="center"/>
          </w:tcPr>
          <w:p w14:paraId="16F17D55" w14:textId="77777777" w:rsidR="0015585D" w:rsidRDefault="004E6942">
            <w:pPr>
              <w:jc w:val="center"/>
            </w:pPr>
            <w:r>
              <w:rPr>
                <w:rFonts w:eastAsiaTheme="minorEastAsia"/>
                <w:color w:val="000000" w:themeColor="text1"/>
                <w:szCs w:val="21"/>
              </w:rPr>
              <w:t>长江电力</w:t>
            </w:r>
          </w:p>
        </w:tc>
        <w:tc>
          <w:tcPr>
            <w:tcW w:w="1276" w:type="dxa"/>
            <w:vAlign w:val="center"/>
          </w:tcPr>
          <w:p w14:paraId="4961F4B4" w14:textId="77777777" w:rsidR="0015585D" w:rsidRDefault="004E6942">
            <w:pPr>
              <w:jc w:val="right"/>
            </w:pPr>
            <w:r>
              <w:rPr>
                <w:rFonts w:eastAsiaTheme="minorEastAsia"/>
                <w:color w:val="000000" w:themeColor="text1"/>
                <w:szCs w:val="21"/>
              </w:rPr>
              <w:t>6,169,100.00</w:t>
            </w:r>
          </w:p>
        </w:tc>
        <w:tc>
          <w:tcPr>
            <w:tcW w:w="1842" w:type="dxa"/>
            <w:vAlign w:val="center"/>
          </w:tcPr>
          <w:p w14:paraId="4DF57A87" w14:textId="77777777" w:rsidR="0015585D" w:rsidRDefault="004E6942">
            <w:pPr>
              <w:jc w:val="right"/>
            </w:pPr>
            <w:r>
              <w:rPr>
                <w:rFonts w:eastAsiaTheme="minorEastAsia"/>
                <w:color w:val="000000" w:themeColor="text1"/>
                <w:szCs w:val="21"/>
              </w:rPr>
              <w:t>182,296,905.00</w:t>
            </w:r>
          </w:p>
        </w:tc>
        <w:tc>
          <w:tcPr>
            <w:tcW w:w="1616" w:type="dxa"/>
            <w:vAlign w:val="center"/>
          </w:tcPr>
          <w:p w14:paraId="5D6A5E6A" w14:textId="77777777" w:rsidR="0015585D" w:rsidRDefault="004E6942">
            <w:pPr>
              <w:jc w:val="right"/>
            </w:pPr>
            <w:r>
              <w:rPr>
                <w:rFonts w:eastAsiaTheme="minorEastAsia"/>
                <w:color w:val="000000" w:themeColor="text1"/>
                <w:szCs w:val="21"/>
              </w:rPr>
              <w:t>1.60</w:t>
            </w:r>
          </w:p>
        </w:tc>
      </w:tr>
      <w:tr w:rsidR="0015585D" w14:paraId="5654B97A" w14:textId="77777777">
        <w:tc>
          <w:tcPr>
            <w:tcW w:w="817" w:type="dxa"/>
            <w:vAlign w:val="center"/>
          </w:tcPr>
          <w:p w14:paraId="3BDD70AD" w14:textId="77777777" w:rsidR="0015585D" w:rsidRDefault="004E6942">
            <w:pPr>
              <w:jc w:val="center"/>
            </w:pPr>
            <w:r>
              <w:rPr>
                <w:rFonts w:eastAsiaTheme="minorEastAsia"/>
                <w:color w:val="000000" w:themeColor="text1"/>
                <w:szCs w:val="21"/>
              </w:rPr>
              <w:t>7</w:t>
            </w:r>
          </w:p>
        </w:tc>
        <w:tc>
          <w:tcPr>
            <w:tcW w:w="1276" w:type="dxa"/>
            <w:vAlign w:val="center"/>
          </w:tcPr>
          <w:p w14:paraId="3938671A" w14:textId="77777777" w:rsidR="0015585D" w:rsidRDefault="004E6942">
            <w:pPr>
              <w:jc w:val="center"/>
            </w:pPr>
            <w:r>
              <w:rPr>
                <w:rFonts w:eastAsiaTheme="minorEastAsia"/>
                <w:color w:val="000000" w:themeColor="text1"/>
                <w:szCs w:val="21"/>
              </w:rPr>
              <w:t>300059</w:t>
            </w:r>
          </w:p>
        </w:tc>
        <w:tc>
          <w:tcPr>
            <w:tcW w:w="1701" w:type="dxa"/>
            <w:vAlign w:val="center"/>
          </w:tcPr>
          <w:p w14:paraId="43D82A82" w14:textId="77777777" w:rsidR="0015585D" w:rsidRDefault="004E6942">
            <w:pPr>
              <w:jc w:val="center"/>
            </w:pPr>
            <w:r>
              <w:rPr>
                <w:rFonts w:eastAsiaTheme="minorEastAsia"/>
                <w:color w:val="000000" w:themeColor="text1"/>
                <w:szCs w:val="21"/>
              </w:rPr>
              <w:t>东方财富</w:t>
            </w:r>
          </w:p>
        </w:tc>
        <w:tc>
          <w:tcPr>
            <w:tcW w:w="1276" w:type="dxa"/>
            <w:vAlign w:val="center"/>
          </w:tcPr>
          <w:p w14:paraId="56E3A3CD" w14:textId="77777777" w:rsidR="0015585D" w:rsidRDefault="004E6942">
            <w:pPr>
              <w:jc w:val="right"/>
            </w:pPr>
            <w:r>
              <w:rPr>
                <w:rFonts w:eastAsiaTheme="minorEastAsia"/>
                <w:color w:val="000000" w:themeColor="text1"/>
                <w:szCs w:val="21"/>
              </w:rPr>
              <w:t>6,373,400.00</w:t>
            </w:r>
          </w:p>
        </w:tc>
        <w:tc>
          <w:tcPr>
            <w:tcW w:w="1842" w:type="dxa"/>
            <w:vAlign w:val="center"/>
          </w:tcPr>
          <w:p w14:paraId="760FE2DC" w14:textId="77777777" w:rsidR="0015585D" w:rsidRDefault="004E6942">
            <w:pPr>
              <w:jc w:val="right"/>
            </w:pPr>
            <w:r>
              <w:rPr>
                <w:rFonts w:eastAsiaTheme="minorEastAsia"/>
                <w:color w:val="000000" w:themeColor="text1"/>
                <w:szCs w:val="21"/>
              </w:rPr>
              <w:t>164,561,188.00</w:t>
            </w:r>
          </w:p>
        </w:tc>
        <w:tc>
          <w:tcPr>
            <w:tcW w:w="1616" w:type="dxa"/>
            <w:vAlign w:val="center"/>
          </w:tcPr>
          <w:p w14:paraId="5A7F07A2" w14:textId="77777777" w:rsidR="0015585D" w:rsidRDefault="004E6942">
            <w:pPr>
              <w:jc w:val="right"/>
            </w:pPr>
            <w:r>
              <w:rPr>
                <w:rFonts w:eastAsiaTheme="minorEastAsia"/>
                <w:color w:val="000000" w:themeColor="text1"/>
                <w:szCs w:val="21"/>
              </w:rPr>
              <w:t>1.44</w:t>
            </w:r>
          </w:p>
        </w:tc>
      </w:tr>
      <w:tr w:rsidR="0015585D" w14:paraId="34A22BC7" w14:textId="77777777">
        <w:tc>
          <w:tcPr>
            <w:tcW w:w="817" w:type="dxa"/>
            <w:vAlign w:val="center"/>
          </w:tcPr>
          <w:p w14:paraId="0B5C5F2E" w14:textId="77777777" w:rsidR="0015585D" w:rsidRDefault="004E6942">
            <w:pPr>
              <w:jc w:val="center"/>
            </w:pPr>
            <w:r>
              <w:rPr>
                <w:rFonts w:eastAsiaTheme="minorEastAsia"/>
                <w:color w:val="000000" w:themeColor="text1"/>
                <w:szCs w:val="21"/>
              </w:rPr>
              <w:t>8</w:t>
            </w:r>
          </w:p>
        </w:tc>
        <w:tc>
          <w:tcPr>
            <w:tcW w:w="1276" w:type="dxa"/>
            <w:vAlign w:val="center"/>
          </w:tcPr>
          <w:p w14:paraId="71BC23BA" w14:textId="77777777" w:rsidR="0015585D" w:rsidRDefault="004E6942">
            <w:pPr>
              <w:jc w:val="center"/>
            </w:pPr>
            <w:r>
              <w:rPr>
                <w:rFonts w:eastAsiaTheme="minorEastAsia"/>
                <w:color w:val="000000" w:themeColor="text1"/>
                <w:szCs w:val="21"/>
              </w:rPr>
              <w:t>600030</w:t>
            </w:r>
          </w:p>
        </w:tc>
        <w:tc>
          <w:tcPr>
            <w:tcW w:w="1701" w:type="dxa"/>
            <w:vAlign w:val="center"/>
          </w:tcPr>
          <w:p w14:paraId="59B3835D" w14:textId="77777777" w:rsidR="0015585D" w:rsidRDefault="004E6942">
            <w:pPr>
              <w:jc w:val="center"/>
            </w:pPr>
            <w:r>
              <w:rPr>
                <w:rFonts w:eastAsiaTheme="minorEastAsia"/>
                <w:color w:val="000000" w:themeColor="text1"/>
                <w:szCs w:val="21"/>
              </w:rPr>
              <w:t>中信证券</w:t>
            </w:r>
          </w:p>
        </w:tc>
        <w:tc>
          <w:tcPr>
            <w:tcW w:w="1276" w:type="dxa"/>
            <w:vAlign w:val="center"/>
          </w:tcPr>
          <w:p w14:paraId="56C37D19" w14:textId="77777777" w:rsidR="0015585D" w:rsidRDefault="004E6942">
            <w:pPr>
              <w:jc w:val="right"/>
            </w:pPr>
            <w:r>
              <w:rPr>
                <w:rFonts w:eastAsiaTheme="minorEastAsia"/>
                <w:color w:val="000000" w:themeColor="text1"/>
                <w:szCs w:val="21"/>
              </w:rPr>
              <w:t>4,920,900.00</w:t>
            </w:r>
          </w:p>
        </w:tc>
        <w:tc>
          <w:tcPr>
            <w:tcW w:w="1842" w:type="dxa"/>
            <w:vAlign w:val="center"/>
          </w:tcPr>
          <w:p w14:paraId="24A2FAA8" w14:textId="77777777" w:rsidR="0015585D" w:rsidRDefault="004E6942">
            <w:pPr>
              <w:jc w:val="right"/>
            </w:pPr>
            <w:r>
              <w:rPr>
                <w:rFonts w:eastAsiaTheme="minorEastAsia"/>
                <w:color w:val="000000" w:themeColor="text1"/>
                <w:szCs w:val="21"/>
              </w:rPr>
              <w:t>143,542,653.00</w:t>
            </w:r>
          </w:p>
        </w:tc>
        <w:tc>
          <w:tcPr>
            <w:tcW w:w="1616" w:type="dxa"/>
            <w:vAlign w:val="center"/>
          </w:tcPr>
          <w:p w14:paraId="1B76B8F4" w14:textId="77777777" w:rsidR="0015585D" w:rsidRDefault="004E6942">
            <w:pPr>
              <w:jc w:val="right"/>
            </w:pPr>
            <w:r>
              <w:rPr>
                <w:rFonts w:eastAsiaTheme="minorEastAsia"/>
                <w:color w:val="000000" w:themeColor="text1"/>
                <w:szCs w:val="21"/>
              </w:rPr>
              <w:t>1.26</w:t>
            </w:r>
          </w:p>
        </w:tc>
      </w:tr>
      <w:tr w:rsidR="0015585D" w14:paraId="5A023B12" w14:textId="77777777">
        <w:tc>
          <w:tcPr>
            <w:tcW w:w="817" w:type="dxa"/>
            <w:vAlign w:val="center"/>
          </w:tcPr>
          <w:p w14:paraId="4C76418A" w14:textId="77777777" w:rsidR="0015585D" w:rsidRDefault="004E6942">
            <w:pPr>
              <w:jc w:val="center"/>
            </w:pPr>
            <w:r>
              <w:rPr>
                <w:rFonts w:eastAsiaTheme="minorEastAsia"/>
                <w:color w:val="000000" w:themeColor="text1"/>
                <w:szCs w:val="21"/>
              </w:rPr>
              <w:t>9</w:t>
            </w:r>
          </w:p>
        </w:tc>
        <w:tc>
          <w:tcPr>
            <w:tcW w:w="1276" w:type="dxa"/>
            <w:vAlign w:val="center"/>
          </w:tcPr>
          <w:p w14:paraId="6FBD3993" w14:textId="77777777" w:rsidR="0015585D" w:rsidRDefault="004E6942">
            <w:pPr>
              <w:jc w:val="center"/>
            </w:pPr>
            <w:r>
              <w:rPr>
                <w:rFonts w:eastAsiaTheme="minorEastAsia"/>
                <w:color w:val="000000" w:themeColor="text1"/>
                <w:szCs w:val="21"/>
              </w:rPr>
              <w:t>601166</w:t>
            </w:r>
          </w:p>
        </w:tc>
        <w:tc>
          <w:tcPr>
            <w:tcW w:w="1701" w:type="dxa"/>
            <w:vAlign w:val="center"/>
          </w:tcPr>
          <w:p w14:paraId="4956B290" w14:textId="77777777" w:rsidR="0015585D" w:rsidRDefault="004E6942">
            <w:pPr>
              <w:jc w:val="center"/>
            </w:pPr>
            <w:r>
              <w:rPr>
                <w:rFonts w:eastAsiaTheme="minorEastAsia"/>
                <w:color w:val="000000" w:themeColor="text1"/>
                <w:szCs w:val="21"/>
              </w:rPr>
              <w:t>兴业银行</w:t>
            </w:r>
          </w:p>
        </w:tc>
        <w:tc>
          <w:tcPr>
            <w:tcW w:w="1276" w:type="dxa"/>
            <w:vAlign w:val="center"/>
          </w:tcPr>
          <w:p w14:paraId="1E0D2963" w14:textId="77777777" w:rsidR="0015585D" w:rsidRDefault="004E6942">
            <w:pPr>
              <w:jc w:val="right"/>
            </w:pPr>
            <w:r>
              <w:rPr>
                <w:rFonts w:eastAsiaTheme="minorEastAsia"/>
                <w:color w:val="000000" w:themeColor="text1"/>
                <w:szCs w:val="21"/>
              </w:rPr>
              <w:t>7,333,100.00</w:t>
            </w:r>
          </w:p>
        </w:tc>
        <w:tc>
          <w:tcPr>
            <w:tcW w:w="1842" w:type="dxa"/>
            <w:vAlign w:val="center"/>
          </w:tcPr>
          <w:p w14:paraId="79F98417" w14:textId="77777777" w:rsidR="0015585D" w:rsidRDefault="004E6942">
            <w:pPr>
              <w:jc w:val="right"/>
            </w:pPr>
            <w:r>
              <w:rPr>
                <w:rFonts w:eastAsiaTheme="minorEastAsia"/>
                <w:color w:val="000000" w:themeColor="text1"/>
                <w:szCs w:val="21"/>
              </w:rPr>
              <w:t>140,502,196.00</w:t>
            </w:r>
          </w:p>
        </w:tc>
        <w:tc>
          <w:tcPr>
            <w:tcW w:w="1616" w:type="dxa"/>
            <w:vAlign w:val="center"/>
          </w:tcPr>
          <w:p w14:paraId="744D7158" w14:textId="77777777" w:rsidR="0015585D" w:rsidRDefault="004E6942">
            <w:pPr>
              <w:jc w:val="right"/>
            </w:pPr>
            <w:r>
              <w:rPr>
                <w:rFonts w:eastAsiaTheme="minorEastAsia"/>
                <w:color w:val="000000" w:themeColor="text1"/>
                <w:szCs w:val="21"/>
              </w:rPr>
              <w:t>1.23</w:t>
            </w:r>
          </w:p>
        </w:tc>
      </w:tr>
      <w:tr w:rsidR="0015585D" w14:paraId="545D9C52" w14:textId="77777777">
        <w:tc>
          <w:tcPr>
            <w:tcW w:w="817" w:type="dxa"/>
            <w:vAlign w:val="center"/>
          </w:tcPr>
          <w:p w14:paraId="22A1165B" w14:textId="77777777" w:rsidR="0015585D" w:rsidRDefault="004E6942">
            <w:pPr>
              <w:jc w:val="center"/>
            </w:pPr>
            <w:r>
              <w:rPr>
                <w:rFonts w:eastAsiaTheme="minorEastAsia"/>
                <w:color w:val="000000" w:themeColor="text1"/>
                <w:szCs w:val="21"/>
              </w:rPr>
              <w:t>10</w:t>
            </w:r>
          </w:p>
        </w:tc>
        <w:tc>
          <w:tcPr>
            <w:tcW w:w="1276" w:type="dxa"/>
            <w:vAlign w:val="center"/>
          </w:tcPr>
          <w:p w14:paraId="18E35B5B" w14:textId="77777777" w:rsidR="0015585D" w:rsidRDefault="004E6942">
            <w:pPr>
              <w:jc w:val="center"/>
            </w:pPr>
            <w:r>
              <w:rPr>
                <w:rFonts w:eastAsiaTheme="minorEastAsia"/>
                <w:color w:val="000000" w:themeColor="text1"/>
                <w:szCs w:val="21"/>
              </w:rPr>
              <w:t>000858</w:t>
            </w:r>
          </w:p>
        </w:tc>
        <w:tc>
          <w:tcPr>
            <w:tcW w:w="1701" w:type="dxa"/>
            <w:vAlign w:val="center"/>
          </w:tcPr>
          <w:p w14:paraId="653471AC" w14:textId="77777777" w:rsidR="0015585D" w:rsidRDefault="004E6942">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276" w:type="dxa"/>
            <w:vAlign w:val="center"/>
          </w:tcPr>
          <w:p w14:paraId="27F9B57E" w14:textId="77777777" w:rsidR="0015585D" w:rsidRDefault="004E6942">
            <w:pPr>
              <w:jc w:val="right"/>
            </w:pPr>
            <w:r>
              <w:rPr>
                <w:rFonts w:eastAsiaTheme="minorEastAsia"/>
                <w:color w:val="000000" w:themeColor="text1"/>
                <w:szCs w:val="21"/>
              </w:rPr>
              <w:t>974,400.00</w:t>
            </w:r>
          </w:p>
        </w:tc>
        <w:tc>
          <w:tcPr>
            <w:tcW w:w="1842" w:type="dxa"/>
            <w:vAlign w:val="center"/>
          </w:tcPr>
          <w:p w14:paraId="31B46CBB" w14:textId="77777777" w:rsidR="0015585D" w:rsidRDefault="004E6942">
            <w:pPr>
              <w:jc w:val="right"/>
            </w:pPr>
            <w:r>
              <w:rPr>
                <w:rFonts w:eastAsiaTheme="minorEastAsia"/>
                <w:color w:val="000000" w:themeColor="text1"/>
                <w:szCs w:val="21"/>
              </w:rPr>
              <w:t>136,454,976.00</w:t>
            </w:r>
          </w:p>
        </w:tc>
        <w:tc>
          <w:tcPr>
            <w:tcW w:w="1616" w:type="dxa"/>
            <w:vAlign w:val="center"/>
          </w:tcPr>
          <w:p w14:paraId="71BC001F" w14:textId="77777777" w:rsidR="0015585D" w:rsidRDefault="004E6942">
            <w:pPr>
              <w:jc w:val="right"/>
            </w:pPr>
            <w:r>
              <w:rPr>
                <w:rFonts w:eastAsiaTheme="minorEastAsia"/>
                <w:color w:val="000000" w:themeColor="text1"/>
                <w:szCs w:val="21"/>
              </w:rPr>
              <w:t>1.20</w:t>
            </w:r>
          </w:p>
        </w:tc>
      </w:tr>
    </w:tbl>
    <w:p w14:paraId="2642E7C2"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14:paraId="6FC1BB84"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7643A013" w14:textId="77777777" w:rsidR="00881A82" w:rsidRPr="000A0010" w:rsidRDefault="00881A82">
      <w:pPr>
        <w:autoSpaceDE w:val="0"/>
        <w:autoSpaceDN w:val="0"/>
        <w:adjustRightInd w:val="0"/>
        <w:spacing w:line="360" w:lineRule="auto"/>
        <w:jc w:val="left"/>
        <w:rPr>
          <w:rFonts w:eastAsiaTheme="minorEastAsia"/>
          <w:color w:val="000000" w:themeColor="text1"/>
          <w:szCs w:val="21"/>
        </w:rPr>
      </w:pPr>
    </w:p>
    <w:p w14:paraId="1B60F31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14:paraId="715B5CE6"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5907DAB1"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1D5D8AF3"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14:paraId="28A84D2B"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5BA529A2"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A3B22D6"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14:paraId="79B456A9"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14:paraId="166D9951"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59F7F16" w14:textId="77777777"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14:paraId="52DB2D7B" w14:textId="77777777"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14:paraId="3D6CB441"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E4C0306"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14:paraId="151CB5C1"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14:paraId="097565EA"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77D36958"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14:paraId="047D3CAC"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14:paraId="538D54F2" w14:textId="77777777" w:rsidR="00881A82" w:rsidRPr="00473486" w:rsidRDefault="00881A82">
      <w:pPr>
        <w:adjustRightInd w:val="0"/>
        <w:snapToGrid w:val="0"/>
        <w:spacing w:line="360" w:lineRule="exact"/>
        <w:rPr>
          <w:rFonts w:eastAsiaTheme="minorEastAsia"/>
          <w:color w:val="000000" w:themeColor="text1"/>
          <w:sz w:val="24"/>
        </w:rPr>
      </w:pPr>
    </w:p>
    <w:p w14:paraId="7000A62C"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14:paraId="63F3D327"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14:paraId="1BF87209"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14:paraId="253B8835"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中，中信证券股份有限公司报告编制日前一年内曾受到中国证监会的处罚，兴业银行股份有限公司报告编制日前一年内曾受到国家金融监督管理总局福建监管局的处罚，招商银行股份有限公司报告编制日前一年内曾受到国家金融监督管理总局的处罚。</w:t>
      </w:r>
    </w:p>
    <w:p w14:paraId="77E510EC" w14:textId="77777777" w:rsidR="0015585D" w:rsidRDefault="004E6942">
      <w:pPr>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29C72C5D"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14:paraId="58FDC4B9"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p w14:paraId="1A70DE5A"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lastRenderedPageBreak/>
        <w:t>本基金本报告期末无其他资产构成。</w:t>
      </w:r>
    </w:p>
    <w:p w14:paraId="770EE0C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14:paraId="10D3554C"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14:paraId="167BEDE6"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14:paraId="2B624741"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14:paraId="74545304"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14:paraId="6201A874"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14:paraId="74A84879"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14:paraId="76F13E18" w14:textId="77777777" w:rsidR="00881A82" w:rsidRPr="00473486" w:rsidRDefault="00881A82">
      <w:pPr>
        <w:spacing w:line="360" w:lineRule="auto"/>
        <w:rPr>
          <w:rFonts w:eastAsiaTheme="minorEastAsia"/>
          <w:bCs/>
          <w:color w:val="000000" w:themeColor="text1"/>
          <w:szCs w:val="21"/>
        </w:rPr>
      </w:pPr>
    </w:p>
    <w:p w14:paraId="1FE80D8A"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14:paraId="245C337D"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14:paraId="002FF969" w14:textId="77777777" w:rsidR="00881A82" w:rsidRPr="00473486" w:rsidRDefault="00881A82">
      <w:pPr>
        <w:spacing w:line="360" w:lineRule="auto"/>
        <w:ind w:firstLineChars="200" w:firstLine="420"/>
        <w:rPr>
          <w:rFonts w:eastAsiaTheme="minorEastAsia"/>
          <w:color w:val="000000" w:themeColor="text1"/>
          <w:szCs w:val="21"/>
        </w:rPr>
      </w:pPr>
    </w:p>
    <w:p w14:paraId="4B7FF10F"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14:paraId="064FA3F9"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14:paraId="0534FFC5"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385228F3"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2F9D389"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1,999,623,668.00</w:t>
            </w:r>
          </w:p>
        </w:tc>
      </w:tr>
      <w:tr w:rsidR="00881A82" w:rsidRPr="00473486" w14:paraId="42574EB9"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5D44E99A"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7C2AC43"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12,066,000,000.00</w:t>
            </w:r>
          </w:p>
        </w:tc>
      </w:tr>
      <w:tr w:rsidR="00881A82" w:rsidRPr="00473486" w14:paraId="527B0D41"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2A73D484"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8ACA678"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2,466,000,000.00</w:t>
            </w:r>
          </w:p>
        </w:tc>
      </w:tr>
      <w:tr w:rsidR="00881A82" w:rsidRPr="00473486" w14:paraId="3E83E8C0"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55B85147"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B12E264"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350805E"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584E018"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595EA76"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11,599,623,668.00</w:t>
            </w:r>
          </w:p>
        </w:tc>
      </w:tr>
    </w:tbl>
    <w:p w14:paraId="2E0B6660" w14:textId="77777777" w:rsidR="004E6942" w:rsidRPr="00473486" w:rsidRDefault="004E6942" w:rsidP="004E6942">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14:paraId="066333F1" w14:textId="77777777" w:rsidR="004E6942" w:rsidRPr="00473486" w:rsidRDefault="004E6942" w:rsidP="004E6942">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14:paraId="26CC4778" w14:textId="77777777" w:rsidR="004E6942" w:rsidRPr="00473486" w:rsidRDefault="004E6942" w:rsidP="004E6942">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05DE92CD" w14:textId="77777777" w:rsidR="004E6942" w:rsidRPr="00473486" w:rsidRDefault="004E6942" w:rsidP="004E6942">
      <w:pPr>
        <w:autoSpaceDE w:val="0"/>
        <w:autoSpaceDN w:val="0"/>
        <w:adjustRightInd w:val="0"/>
        <w:spacing w:line="360" w:lineRule="auto"/>
        <w:jc w:val="left"/>
        <w:rPr>
          <w:rFonts w:eastAsiaTheme="minorEastAsia"/>
          <w:color w:val="000000" w:themeColor="text1"/>
          <w:kern w:val="0"/>
          <w:sz w:val="24"/>
        </w:rPr>
      </w:pPr>
    </w:p>
    <w:p w14:paraId="46B26B89" w14:textId="77777777" w:rsidR="004E6942" w:rsidRPr="00473486" w:rsidRDefault="004E6942" w:rsidP="004E6942">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p w14:paraId="45D42EED" w14:textId="77777777" w:rsidR="004E6942" w:rsidRPr="00473486" w:rsidRDefault="004E6942" w:rsidP="004E6942">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52596546" w14:textId="029C33A9"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w:t>
      </w:r>
      <w:r w:rsidR="004E6942">
        <w:rPr>
          <w:rFonts w:eastAsiaTheme="minorEastAsia"/>
          <w:color w:val="000000" w:themeColor="text1"/>
          <w:kern w:val="0"/>
          <w:sz w:val="24"/>
          <w:szCs w:val="24"/>
        </w:rPr>
        <w:t>8</w:t>
      </w:r>
      <w:r w:rsidR="004E6942" w:rsidRPr="00473486">
        <w:rPr>
          <w:rFonts w:eastAsiaTheme="minorEastAsia"/>
          <w:color w:val="000000" w:themeColor="text1"/>
          <w:kern w:val="0"/>
          <w:sz w:val="24"/>
          <w:szCs w:val="24"/>
        </w:rPr>
        <w:t xml:space="preserve">  </w:t>
      </w:r>
      <w:r w:rsidRPr="00473486">
        <w:rPr>
          <w:rFonts w:eastAsiaTheme="minorEastAsia"/>
          <w:color w:val="000000" w:themeColor="text1"/>
          <w:kern w:val="0"/>
          <w:sz w:val="24"/>
          <w:szCs w:val="24"/>
        </w:rPr>
        <w:t>影响投资者决策的其他重要信息</w:t>
      </w:r>
    </w:p>
    <w:p w14:paraId="4A8F0113" w14:textId="3D767B24" w:rsidR="00881A82" w:rsidRPr="00473486" w:rsidRDefault="004E6942">
      <w:pPr>
        <w:autoSpaceDE w:val="0"/>
        <w:autoSpaceDN w:val="0"/>
        <w:adjustRightInd w:val="0"/>
        <w:spacing w:line="360" w:lineRule="auto"/>
        <w:jc w:val="left"/>
        <w:rPr>
          <w:b/>
          <w:bCs/>
          <w:color w:val="000000"/>
          <w:kern w:val="0"/>
          <w:sz w:val="24"/>
        </w:rPr>
      </w:pPr>
      <w:r>
        <w:rPr>
          <w:b/>
          <w:bCs/>
          <w:color w:val="000000"/>
          <w:kern w:val="0"/>
          <w:sz w:val="24"/>
        </w:rPr>
        <w:t>8</w:t>
      </w:r>
      <w:r w:rsidR="007D1E3A" w:rsidRPr="00473486">
        <w:rPr>
          <w:b/>
          <w:bCs/>
          <w:color w:val="000000"/>
          <w:kern w:val="0"/>
          <w:sz w:val="24"/>
        </w:rPr>
        <w:t xml:space="preserve">.1 </w:t>
      </w:r>
      <w:r w:rsidR="007D1E3A" w:rsidRPr="00473486">
        <w:rPr>
          <w:b/>
          <w:bCs/>
          <w:color w:val="000000"/>
          <w:kern w:val="0"/>
          <w:sz w:val="24"/>
        </w:rPr>
        <w:t>报告期内单一投资者持有基金份额比例达到或超过</w:t>
      </w:r>
      <w:r w:rsidR="007D1E3A" w:rsidRPr="00473486">
        <w:rPr>
          <w:b/>
          <w:bCs/>
          <w:color w:val="000000"/>
          <w:kern w:val="0"/>
          <w:sz w:val="24"/>
        </w:rPr>
        <w:t>20%</w:t>
      </w:r>
      <w:r w:rsidR="007D1E3A"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14:paraId="323FEE7A" w14:textId="77777777">
        <w:tc>
          <w:tcPr>
            <w:tcW w:w="993" w:type="dxa"/>
            <w:vMerge w:val="restart"/>
            <w:vAlign w:val="center"/>
          </w:tcPr>
          <w:p w14:paraId="6B291D27"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14:paraId="2350468C"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14:paraId="59AF398E"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14:paraId="3F31F870" w14:textId="77777777">
        <w:tc>
          <w:tcPr>
            <w:tcW w:w="993" w:type="dxa"/>
            <w:vMerge/>
            <w:vAlign w:val="center"/>
          </w:tcPr>
          <w:p w14:paraId="59AC9BC1" w14:textId="77777777" w:rsidR="00881A82" w:rsidRPr="00473486" w:rsidRDefault="00881A82">
            <w:pPr>
              <w:autoSpaceDE w:val="0"/>
              <w:autoSpaceDN w:val="0"/>
              <w:adjustRightInd w:val="0"/>
              <w:jc w:val="center"/>
              <w:rPr>
                <w:b/>
                <w:bCs/>
                <w:color w:val="000000"/>
                <w:kern w:val="0"/>
                <w:szCs w:val="21"/>
              </w:rPr>
            </w:pPr>
          </w:p>
        </w:tc>
        <w:tc>
          <w:tcPr>
            <w:tcW w:w="992" w:type="dxa"/>
            <w:vAlign w:val="center"/>
          </w:tcPr>
          <w:p w14:paraId="4DE0285C"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14:paraId="2B7924D2"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14:paraId="61864622" w14:textId="77777777"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14:paraId="773D68E1" w14:textId="77777777"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14:paraId="09ED7A79" w14:textId="77777777"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14:paraId="76803BCF"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14:paraId="30837BD2"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15585D" w14:paraId="33DB92CC" w14:textId="77777777">
        <w:tc>
          <w:tcPr>
            <w:tcW w:w="993" w:type="dxa"/>
            <w:vAlign w:val="center"/>
          </w:tcPr>
          <w:p w14:paraId="7B14AFA9" w14:textId="77777777" w:rsidR="0015585D" w:rsidRDefault="004E6942">
            <w:r>
              <w:rPr>
                <w:bCs/>
                <w:color w:val="000000"/>
                <w:kern w:val="0"/>
                <w:szCs w:val="21"/>
              </w:rPr>
              <w:t>机构</w:t>
            </w:r>
          </w:p>
        </w:tc>
        <w:tc>
          <w:tcPr>
            <w:tcW w:w="992" w:type="dxa"/>
            <w:vAlign w:val="center"/>
          </w:tcPr>
          <w:p w14:paraId="63A3D177" w14:textId="77777777" w:rsidR="0015585D" w:rsidRDefault="004E6942">
            <w:pPr>
              <w:jc w:val="center"/>
            </w:pPr>
            <w:r>
              <w:rPr>
                <w:color w:val="000000"/>
                <w:kern w:val="0"/>
                <w:szCs w:val="21"/>
              </w:rPr>
              <w:t>1</w:t>
            </w:r>
          </w:p>
        </w:tc>
        <w:tc>
          <w:tcPr>
            <w:tcW w:w="1843" w:type="dxa"/>
            <w:vAlign w:val="center"/>
          </w:tcPr>
          <w:p w14:paraId="1EA7B1CD" w14:textId="77777777" w:rsidR="0015585D" w:rsidRDefault="004E6942">
            <w:pPr>
              <w:jc w:val="center"/>
            </w:pPr>
            <w:r>
              <w:rPr>
                <w:color w:val="000000"/>
                <w:kern w:val="0"/>
                <w:szCs w:val="21"/>
              </w:rPr>
              <w:t>20241001-20241015</w:t>
            </w:r>
          </w:p>
        </w:tc>
        <w:tc>
          <w:tcPr>
            <w:tcW w:w="851" w:type="dxa"/>
            <w:vAlign w:val="center"/>
          </w:tcPr>
          <w:p w14:paraId="225CCAB5" w14:textId="77777777" w:rsidR="0015585D" w:rsidRDefault="004E6942">
            <w:pPr>
              <w:jc w:val="center"/>
            </w:pPr>
            <w:r>
              <w:rPr>
                <w:color w:val="000000"/>
                <w:kern w:val="0"/>
                <w:szCs w:val="21"/>
              </w:rPr>
              <w:t>477,254,789.00</w:t>
            </w:r>
          </w:p>
        </w:tc>
        <w:tc>
          <w:tcPr>
            <w:tcW w:w="850" w:type="dxa"/>
            <w:vAlign w:val="center"/>
          </w:tcPr>
          <w:p w14:paraId="5CD9554C" w14:textId="77777777" w:rsidR="0015585D" w:rsidRDefault="004E6942">
            <w:pPr>
              <w:jc w:val="center"/>
            </w:pPr>
            <w:r>
              <w:rPr>
                <w:color w:val="000000"/>
                <w:kern w:val="0"/>
                <w:szCs w:val="21"/>
              </w:rPr>
              <w:t>821,165,251.00</w:t>
            </w:r>
          </w:p>
        </w:tc>
        <w:tc>
          <w:tcPr>
            <w:tcW w:w="1134" w:type="dxa"/>
            <w:vAlign w:val="center"/>
          </w:tcPr>
          <w:p w14:paraId="18AA32C2" w14:textId="77777777" w:rsidR="0015585D" w:rsidRDefault="004E6942">
            <w:pPr>
              <w:jc w:val="center"/>
            </w:pPr>
            <w:r>
              <w:rPr>
                <w:color w:val="000000"/>
                <w:kern w:val="0"/>
                <w:szCs w:val="21"/>
              </w:rPr>
              <w:t>237,730,820.00</w:t>
            </w:r>
          </w:p>
        </w:tc>
        <w:tc>
          <w:tcPr>
            <w:tcW w:w="1419" w:type="dxa"/>
            <w:vAlign w:val="center"/>
          </w:tcPr>
          <w:p w14:paraId="5469F067" w14:textId="77777777" w:rsidR="0015585D" w:rsidRDefault="004E6942">
            <w:pPr>
              <w:jc w:val="center"/>
            </w:pPr>
            <w:r>
              <w:rPr>
                <w:color w:val="000000"/>
                <w:kern w:val="0"/>
                <w:szCs w:val="21"/>
              </w:rPr>
              <w:t>1,060,689,220.00</w:t>
            </w:r>
          </w:p>
        </w:tc>
        <w:tc>
          <w:tcPr>
            <w:tcW w:w="1130" w:type="dxa"/>
            <w:vAlign w:val="center"/>
          </w:tcPr>
          <w:p w14:paraId="7F387488" w14:textId="77777777" w:rsidR="0015585D" w:rsidRDefault="004E6942">
            <w:pPr>
              <w:jc w:val="center"/>
            </w:pPr>
            <w:r>
              <w:rPr>
                <w:color w:val="000000"/>
                <w:kern w:val="0"/>
                <w:szCs w:val="21"/>
              </w:rPr>
              <w:t>9.14%</w:t>
            </w:r>
          </w:p>
        </w:tc>
      </w:tr>
      <w:tr w:rsidR="0015585D" w14:paraId="491CFB85" w14:textId="77777777">
        <w:tc>
          <w:tcPr>
            <w:tcW w:w="993" w:type="dxa"/>
            <w:vAlign w:val="center"/>
          </w:tcPr>
          <w:p w14:paraId="099B6CA9" w14:textId="77777777" w:rsidR="0015585D" w:rsidRDefault="004E6942">
            <w:r>
              <w:rPr>
                <w:kern w:val="0"/>
                <w:szCs w:val="21"/>
              </w:rPr>
              <w:t>联接基金</w:t>
            </w:r>
          </w:p>
        </w:tc>
        <w:tc>
          <w:tcPr>
            <w:tcW w:w="992" w:type="dxa"/>
            <w:vAlign w:val="center"/>
          </w:tcPr>
          <w:p w14:paraId="2AA44CFD" w14:textId="77777777" w:rsidR="0015585D" w:rsidRDefault="004E6942">
            <w:pPr>
              <w:jc w:val="center"/>
            </w:pPr>
            <w:r>
              <w:rPr>
                <w:bCs/>
                <w:color w:val="000000"/>
                <w:kern w:val="0"/>
                <w:szCs w:val="21"/>
              </w:rPr>
              <w:t>1</w:t>
            </w:r>
          </w:p>
        </w:tc>
        <w:tc>
          <w:tcPr>
            <w:tcW w:w="1843" w:type="dxa"/>
            <w:vAlign w:val="center"/>
          </w:tcPr>
          <w:p w14:paraId="7C2A4539" w14:textId="77777777" w:rsidR="0015585D" w:rsidRDefault="004E6942">
            <w:pPr>
              <w:jc w:val="center"/>
            </w:pPr>
            <w:r>
              <w:rPr>
                <w:bCs/>
                <w:color w:val="000000"/>
                <w:kern w:val="0"/>
                <w:szCs w:val="21"/>
              </w:rPr>
              <w:t>20241113-20241231</w:t>
            </w:r>
          </w:p>
        </w:tc>
        <w:tc>
          <w:tcPr>
            <w:tcW w:w="851" w:type="dxa"/>
            <w:vAlign w:val="center"/>
          </w:tcPr>
          <w:p w14:paraId="7CAE8833" w14:textId="77777777" w:rsidR="0015585D" w:rsidRDefault="004E6942">
            <w:pPr>
              <w:jc w:val="center"/>
            </w:pPr>
            <w:r>
              <w:rPr>
                <w:bCs/>
                <w:color w:val="000000"/>
                <w:kern w:val="0"/>
                <w:szCs w:val="21"/>
              </w:rPr>
              <w:t>0.00</w:t>
            </w:r>
          </w:p>
        </w:tc>
        <w:tc>
          <w:tcPr>
            <w:tcW w:w="850" w:type="dxa"/>
            <w:vAlign w:val="center"/>
          </w:tcPr>
          <w:p w14:paraId="4EAC0D54" w14:textId="77777777" w:rsidR="0015585D" w:rsidRDefault="004E6942">
            <w:pPr>
              <w:jc w:val="center"/>
            </w:pPr>
            <w:r>
              <w:rPr>
                <w:bCs/>
                <w:color w:val="000000"/>
                <w:kern w:val="0"/>
                <w:szCs w:val="21"/>
              </w:rPr>
              <w:t>6,255,814,284.00</w:t>
            </w:r>
          </w:p>
        </w:tc>
        <w:tc>
          <w:tcPr>
            <w:tcW w:w="1134" w:type="dxa"/>
            <w:vAlign w:val="center"/>
          </w:tcPr>
          <w:p w14:paraId="398832A5" w14:textId="77777777" w:rsidR="0015585D" w:rsidRDefault="004E6942">
            <w:pPr>
              <w:jc w:val="center"/>
            </w:pPr>
            <w:r>
              <w:rPr>
                <w:bCs/>
                <w:color w:val="000000"/>
                <w:kern w:val="0"/>
                <w:szCs w:val="21"/>
              </w:rPr>
              <w:t>3,151,407,142.00</w:t>
            </w:r>
          </w:p>
        </w:tc>
        <w:tc>
          <w:tcPr>
            <w:tcW w:w="1419" w:type="dxa"/>
            <w:vAlign w:val="center"/>
          </w:tcPr>
          <w:p w14:paraId="390BC9B2" w14:textId="77777777" w:rsidR="0015585D" w:rsidRDefault="004E6942">
            <w:pPr>
              <w:jc w:val="center"/>
            </w:pPr>
            <w:r>
              <w:rPr>
                <w:bCs/>
                <w:color w:val="000000"/>
                <w:kern w:val="0"/>
                <w:szCs w:val="21"/>
              </w:rPr>
              <w:t>3,104,407,142.00</w:t>
            </w:r>
          </w:p>
        </w:tc>
        <w:tc>
          <w:tcPr>
            <w:tcW w:w="1130" w:type="dxa"/>
            <w:vAlign w:val="center"/>
          </w:tcPr>
          <w:p w14:paraId="14457EC5" w14:textId="77777777" w:rsidR="0015585D" w:rsidRDefault="004E6942">
            <w:pPr>
              <w:jc w:val="center"/>
            </w:pPr>
            <w:r>
              <w:rPr>
                <w:bCs/>
                <w:color w:val="000000"/>
                <w:kern w:val="0"/>
                <w:szCs w:val="21"/>
              </w:rPr>
              <w:t>26.76%</w:t>
            </w:r>
          </w:p>
        </w:tc>
      </w:tr>
      <w:tr w:rsidR="00881A82" w:rsidRPr="00473486" w14:paraId="672B7AA6" w14:textId="77777777">
        <w:tc>
          <w:tcPr>
            <w:tcW w:w="9212" w:type="dxa"/>
            <w:gridSpan w:val="8"/>
            <w:vAlign w:val="center"/>
          </w:tcPr>
          <w:p w14:paraId="77EA00BE" w14:textId="77777777"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14:paraId="32FC2914" w14:textId="77777777">
        <w:tc>
          <w:tcPr>
            <w:tcW w:w="9212" w:type="dxa"/>
            <w:gridSpan w:val="8"/>
            <w:vAlign w:val="center"/>
          </w:tcPr>
          <w:p w14:paraId="0A0D1570" w14:textId="77777777"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14:paraId="0EC0B15F" w14:textId="055ED605"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w:t>
      </w:r>
      <w:r w:rsidR="004E6942">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14:paraId="11613978" w14:textId="2245424E" w:rsidR="00881A82" w:rsidRPr="00473486" w:rsidRDefault="004E6942">
      <w:pPr>
        <w:spacing w:line="360" w:lineRule="auto"/>
        <w:rPr>
          <w:rFonts w:eastAsiaTheme="minorEastAsia"/>
          <w:b/>
          <w:color w:val="000000" w:themeColor="text1"/>
          <w:sz w:val="24"/>
        </w:rPr>
      </w:pPr>
      <w:r>
        <w:rPr>
          <w:rFonts w:eastAsiaTheme="minorEastAsia"/>
          <w:b/>
          <w:color w:val="000000" w:themeColor="text1"/>
          <w:sz w:val="24"/>
        </w:rPr>
        <w:t>9</w:t>
      </w:r>
      <w:r w:rsidR="007D1E3A" w:rsidRPr="00473486">
        <w:rPr>
          <w:rFonts w:eastAsiaTheme="minorEastAsia"/>
          <w:b/>
          <w:color w:val="000000" w:themeColor="text1"/>
          <w:sz w:val="24"/>
        </w:rPr>
        <w:t xml:space="preserve">.1 </w:t>
      </w:r>
      <w:r w:rsidR="007D1E3A" w:rsidRPr="00473486">
        <w:rPr>
          <w:rFonts w:eastAsiaTheme="minorEastAsia"/>
          <w:b/>
          <w:color w:val="000000" w:themeColor="text1"/>
          <w:sz w:val="24"/>
        </w:rPr>
        <w:t>备查文件目录</w:t>
      </w:r>
    </w:p>
    <w:p w14:paraId="59E66DA9"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中国证监会准予摩根中证</w:t>
      </w:r>
      <w:r>
        <w:rPr>
          <w:rFonts w:eastAsiaTheme="minorEastAsia"/>
          <w:color w:val="000000" w:themeColor="text1"/>
          <w:szCs w:val="21"/>
        </w:rPr>
        <w:t>A500</w:t>
      </w:r>
      <w:r>
        <w:rPr>
          <w:rFonts w:eastAsiaTheme="minorEastAsia"/>
          <w:color w:val="000000" w:themeColor="text1"/>
          <w:szCs w:val="21"/>
        </w:rPr>
        <w:t>交易型开放式指数证券投资基金募集注册的文件</w:t>
      </w:r>
    </w:p>
    <w:p w14:paraId="7809C7A7"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w:t>
      </w:r>
      <w:r>
        <w:rPr>
          <w:rFonts w:eastAsiaTheme="minorEastAsia"/>
          <w:color w:val="000000" w:themeColor="text1"/>
          <w:szCs w:val="21"/>
        </w:rPr>
        <w:t>A500</w:t>
      </w:r>
      <w:r>
        <w:rPr>
          <w:rFonts w:eastAsiaTheme="minorEastAsia"/>
          <w:color w:val="000000" w:themeColor="text1"/>
          <w:szCs w:val="21"/>
        </w:rPr>
        <w:t>交易型开放式指数证券投资基金基金合同</w:t>
      </w:r>
    </w:p>
    <w:p w14:paraId="2A3D5B03"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w:t>
      </w:r>
      <w:r>
        <w:rPr>
          <w:rFonts w:eastAsiaTheme="minorEastAsia"/>
          <w:color w:val="000000" w:themeColor="text1"/>
          <w:szCs w:val="21"/>
        </w:rPr>
        <w:t>A500</w:t>
      </w:r>
      <w:r>
        <w:rPr>
          <w:rFonts w:eastAsiaTheme="minorEastAsia"/>
          <w:color w:val="000000" w:themeColor="text1"/>
          <w:szCs w:val="21"/>
        </w:rPr>
        <w:t>交易型开放式指数证券投资基金托管协议</w:t>
      </w:r>
    </w:p>
    <w:p w14:paraId="0ED959FC"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435DCE7F"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00C7AF97"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07A7D1FB" w14:textId="77777777" w:rsidR="0015585D" w:rsidRDefault="004E694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4C2F3E69"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14:paraId="4B7A1846" w14:textId="77777777" w:rsidR="00881A82" w:rsidRPr="00473486" w:rsidRDefault="00881A82">
      <w:pPr>
        <w:spacing w:line="360" w:lineRule="auto"/>
        <w:ind w:firstLineChars="200" w:firstLine="480"/>
        <w:rPr>
          <w:rFonts w:eastAsiaTheme="minorEastAsia"/>
          <w:color w:val="000000" w:themeColor="text1"/>
          <w:sz w:val="24"/>
        </w:rPr>
      </w:pPr>
    </w:p>
    <w:p w14:paraId="26021A96" w14:textId="560D5E8F" w:rsidR="00881A82" w:rsidRPr="00473486" w:rsidRDefault="004E6942">
      <w:pPr>
        <w:spacing w:line="360" w:lineRule="auto"/>
        <w:rPr>
          <w:rFonts w:eastAsiaTheme="minorEastAsia"/>
          <w:b/>
          <w:color w:val="000000" w:themeColor="text1"/>
          <w:sz w:val="24"/>
        </w:rPr>
      </w:pPr>
      <w:r>
        <w:rPr>
          <w:rFonts w:eastAsiaTheme="minorEastAsia"/>
          <w:b/>
          <w:color w:val="000000" w:themeColor="text1"/>
          <w:sz w:val="24"/>
        </w:rPr>
        <w:t>9</w:t>
      </w:r>
      <w:r w:rsidR="007D1E3A" w:rsidRPr="00473486">
        <w:rPr>
          <w:rFonts w:eastAsiaTheme="minorEastAsia"/>
          <w:b/>
          <w:color w:val="000000" w:themeColor="text1"/>
          <w:sz w:val="24"/>
        </w:rPr>
        <w:t xml:space="preserve">.2 </w:t>
      </w:r>
      <w:r w:rsidR="007D1E3A" w:rsidRPr="00473486">
        <w:rPr>
          <w:rFonts w:eastAsiaTheme="minorEastAsia"/>
          <w:b/>
          <w:color w:val="000000" w:themeColor="text1"/>
          <w:sz w:val="24"/>
        </w:rPr>
        <w:t>存放地点</w:t>
      </w:r>
    </w:p>
    <w:p w14:paraId="39C2A836"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14:paraId="7BBBF089" w14:textId="77777777" w:rsidR="00881A82" w:rsidRPr="00473486" w:rsidRDefault="00881A82">
      <w:pPr>
        <w:spacing w:line="360" w:lineRule="auto"/>
        <w:ind w:firstLineChars="200" w:firstLine="480"/>
        <w:rPr>
          <w:rFonts w:eastAsiaTheme="minorEastAsia"/>
          <w:color w:val="000000" w:themeColor="text1"/>
          <w:sz w:val="24"/>
        </w:rPr>
      </w:pPr>
    </w:p>
    <w:p w14:paraId="7407BE90" w14:textId="59F184F1" w:rsidR="00881A82" w:rsidRPr="00473486" w:rsidRDefault="004E6942">
      <w:pPr>
        <w:spacing w:line="360" w:lineRule="auto"/>
        <w:rPr>
          <w:rFonts w:eastAsiaTheme="minorEastAsia"/>
          <w:b/>
          <w:color w:val="000000" w:themeColor="text1"/>
          <w:sz w:val="24"/>
        </w:rPr>
      </w:pPr>
      <w:r>
        <w:rPr>
          <w:rFonts w:eastAsiaTheme="minorEastAsia"/>
          <w:b/>
          <w:color w:val="000000" w:themeColor="text1"/>
          <w:sz w:val="24"/>
        </w:rPr>
        <w:t>9</w:t>
      </w:r>
      <w:r w:rsidR="007D1E3A" w:rsidRPr="00473486">
        <w:rPr>
          <w:rFonts w:eastAsiaTheme="minorEastAsia"/>
          <w:b/>
          <w:color w:val="000000" w:themeColor="text1"/>
          <w:sz w:val="24"/>
        </w:rPr>
        <w:t xml:space="preserve">.3 </w:t>
      </w:r>
      <w:r w:rsidR="007D1E3A" w:rsidRPr="00473486">
        <w:rPr>
          <w:rFonts w:eastAsiaTheme="minorEastAsia"/>
          <w:b/>
          <w:color w:val="000000" w:themeColor="text1"/>
          <w:sz w:val="24"/>
        </w:rPr>
        <w:t>查阅方式</w:t>
      </w:r>
    </w:p>
    <w:p w14:paraId="682691D2"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14:paraId="2AB51AB4" w14:textId="77777777" w:rsidR="00881A82" w:rsidRPr="00473486" w:rsidRDefault="00881A82">
      <w:pPr>
        <w:spacing w:line="360" w:lineRule="auto"/>
        <w:ind w:left="840"/>
        <w:jc w:val="right"/>
        <w:rPr>
          <w:rFonts w:eastAsiaTheme="minorEastAsia"/>
          <w:color w:val="000000" w:themeColor="text1"/>
          <w:sz w:val="24"/>
        </w:rPr>
      </w:pPr>
    </w:p>
    <w:p w14:paraId="00CE3713" w14:textId="77777777" w:rsidR="00881A82" w:rsidRPr="00473486" w:rsidRDefault="00881A82">
      <w:pPr>
        <w:spacing w:line="360" w:lineRule="auto"/>
        <w:ind w:left="840"/>
        <w:jc w:val="right"/>
        <w:rPr>
          <w:rFonts w:eastAsiaTheme="minorEastAsia"/>
          <w:color w:val="000000" w:themeColor="text1"/>
          <w:sz w:val="24"/>
        </w:rPr>
      </w:pPr>
    </w:p>
    <w:p w14:paraId="0223728D" w14:textId="77777777" w:rsidR="00881A82" w:rsidRPr="00473486" w:rsidRDefault="00881A82">
      <w:pPr>
        <w:spacing w:line="360" w:lineRule="auto"/>
        <w:ind w:left="840"/>
        <w:jc w:val="right"/>
        <w:rPr>
          <w:rFonts w:eastAsiaTheme="minorEastAsia"/>
          <w:color w:val="000000" w:themeColor="text1"/>
          <w:sz w:val="24"/>
        </w:rPr>
      </w:pPr>
    </w:p>
    <w:p w14:paraId="24EE49DE" w14:textId="77777777" w:rsidR="00881A82" w:rsidRPr="00473486" w:rsidRDefault="00881A82">
      <w:pPr>
        <w:spacing w:line="360" w:lineRule="auto"/>
        <w:ind w:left="840"/>
        <w:jc w:val="right"/>
        <w:rPr>
          <w:rFonts w:eastAsiaTheme="minorEastAsia"/>
          <w:color w:val="000000" w:themeColor="text1"/>
          <w:sz w:val="24"/>
        </w:rPr>
      </w:pPr>
    </w:p>
    <w:p w14:paraId="649482ED" w14:textId="77777777" w:rsidR="00881A82" w:rsidRPr="00473486" w:rsidRDefault="00881A82">
      <w:pPr>
        <w:spacing w:line="360" w:lineRule="auto"/>
        <w:ind w:left="840"/>
        <w:jc w:val="right"/>
        <w:rPr>
          <w:rFonts w:eastAsiaTheme="minorEastAsia"/>
          <w:color w:val="000000" w:themeColor="text1"/>
          <w:sz w:val="24"/>
        </w:rPr>
      </w:pPr>
    </w:p>
    <w:p w14:paraId="306FB546"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14:paraId="488A0144"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二〇二五年一月二十二日</w:t>
      </w:r>
    </w:p>
    <w:p w14:paraId="715F6870" w14:textId="77777777"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31903" w14:textId="77777777" w:rsidR="007F3EDF" w:rsidRDefault="007F3EDF">
      <w:r>
        <w:separator/>
      </w:r>
    </w:p>
  </w:endnote>
  <w:endnote w:type="continuationSeparator" w:id="0">
    <w:p w14:paraId="4BE7FE90" w14:textId="77777777"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56C58" w14:textId="72518C4B"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060C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060CB">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3B30D"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368C7CD" w14:textId="77777777"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5081A" w14:textId="5DD41BD1"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5060CB">
      <w:rPr>
        <w:rStyle w:val="af5"/>
        <w:noProof/>
      </w:rPr>
      <w:t>2</w:t>
    </w:r>
    <w:r>
      <w:rPr>
        <w:rStyle w:val="af5"/>
      </w:rPr>
      <w:fldChar w:fldCharType="end"/>
    </w:r>
  </w:p>
  <w:p w14:paraId="6664AD94" w14:textId="77777777"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95B91" w14:textId="77777777" w:rsidR="007F3EDF" w:rsidRDefault="007F3EDF">
      <w:r>
        <w:separator/>
      </w:r>
    </w:p>
  </w:footnote>
  <w:footnote w:type="continuationSeparator" w:id="0">
    <w:p w14:paraId="67DFF1BB" w14:textId="77777777"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ECBB" w14:textId="77777777" w:rsidR="00881A82" w:rsidRDefault="007D1E3A">
    <w:pPr>
      <w:pStyle w:val="af"/>
      <w:pBdr>
        <w:bottom w:val="single" w:sz="6" w:space="0" w:color="auto"/>
      </w:pBdr>
      <w:jc w:val="right"/>
    </w:pPr>
    <w:r>
      <w:t>摩根中证</w:t>
    </w:r>
    <w:r>
      <w:t>A500</w:t>
    </w:r>
    <w:r>
      <w:t>交易型开放式指数证券投资基金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5585D"/>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E6942"/>
    <w:rsid w:val="004F4EA9"/>
    <w:rsid w:val="004F759F"/>
    <w:rsid w:val="004F779C"/>
    <w:rsid w:val="004F7846"/>
    <w:rsid w:val="004F7A0E"/>
    <w:rsid w:val="005000D4"/>
    <w:rsid w:val="00500F1D"/>
    <w:rsid w:val="00504285"/>
    <w:rsid w:val="00504432"/>
    <w:rsid w:val="00505EE0"/>
    <w:rsid w:val="005060CB"/>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3696"/>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18A5"/>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823B91"/>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1232</Words>
  <Characters>7027</Characters>
  <Application>Microsoft Office Word</Application>
  <DocSecurity>0</DocSecurity>
  <Lines>58</Lines>
  <Paragraphs>16</Paragraphs>
  <ScaleCrop>false</ScaleCrop>
  <Company>TRT. Ltd. Co.</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Heming.Huang@TA</cp:lastModifiedBy>
  <cp:revision>161</cp:revision>
  <cp:lastPrinted>2007-07-19T00:46:00Z</cp:lastPrinted>
  <dcterms:created xsi:type="dcterms:W3CDTF">2012-11-21T04:46:00Z</dcterms:created>
  <dcterms:modified xsi:type="dcterms:W3CDTF">2025-01-21T06:42:00Z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