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766B7" w:rsidRDefault="007D10FB">
      <w:pPr>
        <w:spacing w:line="360" w:lineRule="auto"/>
        <w:rPr>
          <w:rFonts w:ascii="宋体" w:hAnsi="宋体"/>
          <w:sz w:val="48"/>
        </w:rPr>
      </w:pPr>
      <w:r>
        <w:rPr>
          <w:rFonts w:ascii="宋体" w:hAnsi="宋体" w:hint="eastAsia"/>
          <w:sz w:val="48"/>
        </w:rPr>
        <w:t xml:space="preserve">　 </w:t>
      </w:r>
    </w:p>
    <w:p w:rsidR="007766B7" w:rsidRDefault="007D10FB">
      <w:pPr>
        <w:spacing w:line="360" w:lineRule="auto"/>
        <w:rPr>
          <w:rFonts w:ascii="宋体" w:hAnsi="宋体"/>
          <w:sz w:val="48"/>
        </w:rPr>
      </w:pPr>
      <w:r>
        <w:rPr>
          <w:rFonts w:ascii="宋体" w:hAnsi="宋体" w:hint="eastAsia"/>
          <w:sz w:val="48"/>
        </w:rPr>
        <w:t xml:space="preserve">　 </w:t>
      </w:r>
    </w:p>
    <w:p w:rsidR="007766B7" w:rsidRDefault="007D10FB">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color w:val="000000" w:themeColor="text1"/>
          <w:sz w:val="48"/>
          <w:szCs w:val="30"/>
        </w:rPr>
        <w:t>摩根中证A500交易型开放式指数证券投资基金</w:t>
      </w:r>
      <w:r>
        <w:rPr>
          <w:rFonts w:ascii="宋体" w:hAnsi="宋体" w:hint="eastAsia"/>
          <w:b/>
          <w:bCs/>
          <w:color w:val="000000" w:themeColor="text1"/>
          <w:sz w:val="48"/>
          <w:szCs w:val="30"/>
        </w:rPr>
        <w:br/>
        <w:t>2025年第1季度报告</w:t>
      </w:r>
    </w:p>
    <w:p w:rsidR="007766B7" w:rsidRDefault="007D10FB">
      <w:pPr>
        <w:spacing w:line="360" w:lineRule="auto"/>
        <w:jc w:val="center"/>
        <w:rPr>
          <w:rFonts w:ascii="宋体" w:hAnsi="宋体"/>
          <w:sz w:val="28"/>
          <w:szCs w:val="30"/>
        </w:rPr>
      </w:pPr>
      <w:r>
        <w:rPr>
          <w:rFonts w:ascii="宋体" w:hAnsi="宋体" w:hint="eastAsia"/>
          <w:sz w:val="28"/>
          <w:szCs w:val="30"/>
        </w:rPr>
        <w:t xml:space="preserve">　 </w:t>
      </w:r>
    </w:p>
    <w:p w:rsidR="007766B7" w:rsidRDefault="007D10FB">
      <w:pPr>
        <w:spacing w:line="360" w:lineRule="auto"/>
        <w:jc w:val="center"/>
      </w:pPr>
      <w:r>
        <w:rPr>
          <w:rFonts w:ascii="宋体" w:hAnsi="宋体" w:hint="eastAsia"/>
          <w:b/>
          <w:bCs/>
          <w:sz w:val="28"/>
          <w:szCs w:val="30"/>
        </w:rPr>
        <w:t>2025年3月31日</w:t>
      </w:r>
    </w:p>
    <w:p w:rsidR="007766B7" w:rsidRDefault="007D10FB">
      <w:pPr>
        <w:spacing w:line="360" w:lineRule="auto"/>
        <w:jc w:val="center"/>
        <w:rPr>
          <w:rFonts w:ascii="宋体" w:hAnsi="宋体"/>
          <w:sz w:val="28"/>
          <w:szCs w:val="30"/>
        </w:rPr>
      </w:pPr>
      <w:r>
        <w:rPr>
          <w:rFonts w:ascii="宋体" w:hAnsi="宋体" w:hint="eastAsia"/>
          <w:sz w:val="28"/>
          <w:szCs w:val="30"/>
        </w:rPr>
        <w:t xml:space="preserve">　 </w:t>
      </w:r>
    </w:p>
    <w:p w:rsidR="007766B7" w:rsidRDefault="007D10FB">
      <w:pPr>
        <w:spacing w:line="360" w:lineRule="auto"/>
        <w:jc w:val="center"/>
        <w:rPr>
          <w:rFonts w:ascii="宋体" w:hAnsi="宋体"/>
          <w:sz w:val="28"/>
          <w:szCs w:val="30"/>
        </w:rPr>
      </w:pPr>
      <w:r>
        <w:rPr>
          <w:rFonts w:ascii="宋体" w:hAnsi="宋体" w:hint="eastAsia"/>
          <w:sz w:val="28"/>
          <w:szCs w:val="30"/>
        </w:rPr>
        <w:t xml:space="preserve">　 </w:t>
      </w:r>
    </w:p>
    <w:p w:rsidR="007766B7" w:rsidRDefault="007D10FB">
      <w:pPr>
        <w:spacing w:line="360" w:lineRule="auto"/>
        <w:jc w:val="center"/>
        <w:rPr>
          <w:rFonts w:ascii="宋体" w:hAnsi="宋体"/>
          <w:sz w:val="28"/>
          <w:szCs w:val="30"/>
        </w:rPr>
      </w:pPr>
      <w:bookmarkStart w:id="7" w:name="_GoBack"/>
      <w:r>
        <w:rPr>
          <w:rFonts w:ascii="宋体" w:hAnsi="宋体" w:hint="eastAsia"/>
          <w:sz w:val="28"/>
          <w:szCs w:val="30"/>
        </w:rPr>
        <w:t xml:space="preserve">　 </w:t>
      </w:r>
    </w:p>
    <w:bookmarkEnd w:id="7"/>
    <w:p w:rsidR="007766B7" w:rsidRDefault="007D10FB">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7766B7" w:rsidRDefault="007D10FB">
      <w:pPr>
        <w:spacing w:line="360" w:lineRule="auto"/>
        <w:jc w:val="center"/>
        <w:rPr>
          <w:rFonts w:ascii="宋体" w:hAnsi="宋体"/>
          <w:sz w:val="28"/>
          <w:szCs w:val="30"/>
        </w:rPr>
      </w:pPr>
      <w:r>
        <w:rPr>
          <w:rFonts w:ascii="宋体" w:hAnsi="宋体" w:hint="eastAsia"/>
          <w:sz w:val="28"/>
          <w:szCs w:val="30"/>
        </w:rPr>
        <w:t xml:space="preserve">　 </w:t>
      </w:r>
    </w:p>
    <w:p w:rsidR="007766B7" w:rsidRDefault="007D10FB">
      <w:pPr>
        <w:spacing w:line="360" w:lineRule="auto"/>
        <w:jc w:val="center"/>
        <w:rPr>
          <w:rFonts w:ascii="宋体" w:hAnsi="宋体"/>
          <w:sz w:val="28"/>
          <w:szCs w:val="30"/>
        </w:rPr>
      </w:pPr>
      <w:r>
        <w:rPr>
          <w:rFonts w:ascii="宋体" w:hAnsi="宋体" w:hint="eastAsia"/>
          <w:sz w:val="28"/>
          <w:szCs w:val="30"/>
        </w:rPr>
        <w:t xml:space="preserve">　 </w:t>
      </w:r>
    </w:p>
    <w:p w:rsidR="007766B7" w:rsidRDefault="007D10FB">
      <w:pPr>
        <w:spacing w:line="360" w:lineRule="auto"/>
        <w:jc w:val="center"/>
        <w:rPr>
          <w:rFonts w:ascii="宋体" w:hAnsi="宋体"/>
          <w:sz w:val="28"/>
          <w:szCs w:val="30"/>
        </w:rPr>
      </w:pPr>
      <w:r>
        <w:rPr>
          <w:rFonts w:ascii="宋体" w:hAnsi="宋体" w:hint="eastAsia"/>
          <w:sz w:val="28"/>
          <w:szCs w:val="30"/>
        </w:rPr>
        <w:t xml:space="preserve">　 </w:t>
      </w:r>
    </w:p>
    <w:p w:rsidR="007766B7" w:rsidRDefault="007D10FB">
      <w:pPr>
        <w:spacing w:line="360" w:lineRule="auto"/>
        <w:jc w:val="center"/>
        <w:rPr>
          <w:rFonts w:ascii="宋体" w:hAnsi="宋体"/>
          <w:sz w:val="28"/>
          <w:szCs w:val="30"/>
        </w:rPr>
      </w:pPr>
      <w:r>
        <w:rPr>
          <w:rFonts w:ascii="宋体" w:hAnsi="宋体" w:hint="eastAsia"/>
          <w:sz w:val="28"/>
          <w:szCs w:val="30"/>
        </w:rPr>
        <w:t xml:space="preserve">　 </w:t>
      </w:r>
    </w:p>
    <w:p w:rsidR="007766B7" w:rsidRDefault="007D10FB">
      <w:pPr>
        <w:spacing w:line="360" w:lineRule="auto"/>
        <w:jc w:val="center"/>
        <w:rPr>
          <w:rFonts w:ascii="宋体" w:hAnsi="宋体"/>
          <w:sz w:val="28"/>
          <w:szCs w:val="30"/>
        </w:rPr>
      </w:pPr>
      <w:r>
        <w:rPr>
          <w:rFonts w:ascii="宋体" w:hAnsi="宋体" w:hint="eastAsia"/>
          <w:sz w:val="28"/>
          <w:szCs w:val="30"/>
        </w:rPr>
        <w:t xml:space="preserve">　 </w:t>
      </w:r>
    </w:p>
    <w:p w:rsidR="007766B7" w:rsidRDefault="007D10FB">
      <w:pPr>
        <w:spacing w:line="360" w:lineRule="auto"/>
        <w:jc w:val="center"/>
        <w:rPr>
          <w:rFonts w:ascii="宋体" w:hAnsi="宋体"/>
          <w:sz w:val="28"/>
          <w:szCs w:val="30"/>
        </w:rPr>
      </w:pPr>
      <w:r>
        <w:rPr>
          <w:rFonts w:ascii="宋体" w:hAnsi="宋体" w:hint="eastAsia"/>
          <w:sz w:val="28"/>
          <w:szCs w:val="30"/>
        </w:rPr>
        <w:t xml:space="preserve">　 </w:t>
      </w:r>
    </w:p>
    <w:p w:rsidR="007766B7" w:rsidRDefault="007D10FB">
      <w:pPr>
        <w:spacing w:line="360" w:lineRule="auto"/>
        <w:jc w:val="center"/>
        <w:rPr>
          <w:rFonts w:ascii="宋体" w:hAnsi="宋体"/>
          <w:sz w:val="28"/>
          <w:szCs w:val="30"/>
        </w:rPr>
      </w:pPr>
      <w:r>
        <w:rPr>
          <w:rFonts w:ascii="宋体" w:hAnsi="宋体" w:hint="eastAsia"/>
          <w:sz w:val="28"/>
          <w:szCs w:val="30"/>
        </w:rPr>
        <w:t xml:space="preserve">　 </w:t>
      </w:r>
    </w:p>
    <w:p w:rsidR="007766B7" w:rsidRDefault="007D10FB">
      <w:pPr>
        <w:spacing w:line="360" w:lineRule="auto"/>
        <w:ind w:firstLineChars="800" w:firstLine="2249"/>
        <w:jc w:val="left"/>
      </w:pPr>
      <w:r>
        <w:rPr>
          <w:rFonts w:ascii="宋体" w:hAnsi="宋体" w:hint="eastAsia"/>
          <w:b/>
          <w:bCs/>
          <w:sz w:val="28"/>
          <w:szCs w:val="30"/>
        </w:rPr>
        <w:t>基金管理人：摩根基金管理（中国）有限公司</w:t>
      </w:r>
    </w:p>
    <w:p w:rsidR="007766B7" w:rsidRDefault="007D10FB">
      <w:pPr>
        <w:spacing w:line="360" w:lineRule="auto"/>
        <w:ind w:firstLineChars="800" w:firstLine="2249"/>
        <w:jc w:val="left"/>
      </w:pPr>
      <w:r>
        <w:rPr>
          <w:rFonts w:ascii="宋体" w:hAnsi="宋体" w:hint="eastAsia"/>
          <w:b/>
          <w:bCs/>
          <w:sz w:val="28"/>
          <w:szCs w:val="30"/>
        </w:rPr>
        <w:t>基金托管人：平安银行股份有限公司</w:t>
      </w:r>
    </w:p>
    <w:p w:rsidR="007766B7" w:rsidRDefault="007D10FB">
      <w:pPr>
        <w:spacing w:line="360" w:lineRule="auto"/>
        <w:ind w:firstLineChars="800" w:firstLine="2249"/>
        <w:jc w:val="left"/>
      </w:pPr>
      <w:r>
        <w:rPr>
          <w:rFonts w:ascii="宋体" w:hAnsi="宋体" w:hint="eastAsia"/>
          <w:b/>
          <w:bCs/>
          <w:sz w:val="28"/>
          <w:szCs w:val="30"/>
        </w:rPr>
        <w:t>报告送出日期：2025年4月22日</w:t>
      </w:r>
    </w:p>
    <w:p w:rsidR="007766B7" w:rsidRDefault="007D10FB">
      <w:pPr>
        <w:pStyle w:val="XBRLTitle1"/>
        <w:spacing w:before="156" w:line="360" w:lineRule="auto"/>
        <w:ind w:left="425"/>
      </w:pPr>
      <w:r>
        <w:rPr>
          <w:rFonts w:hAnsi="宋体" w:cs="宋体" w:hint="eastAsia"/>
          <w:color w:val="404040"/>
          <w:kern w:val="0"/>
        </w:rPr>
        <w:br w:type="page"/>
      </w:r>
      <w:bookmarkStart w:id="8" w:name="_Toc513386582"/>
      <w:bookmarkStart w:id="9" w:name="_Toc490050000"/>
      <w:bookmarkStart w:id="10" w:name="_Toc438646451"/>
      <w:bookmarkStart w:id="11" w:name="_Toc481075046"/>
      <w:bookmarkStart w:id="12" w:name="_Toc512519480"/>
      <w:bookmarkStart w:id="13" w:name="m101"/>
      <w:proofErr w:type="spellStart"/>
      <w:r>
        <w:rPr>
          <w:rFonts w:hAnsi="宋体" w:hint="eastAsia"/>
        </w:rPr>
        <w:lastRenderedPageBreak/>
        <w:t>重要提示</w:t>
      </w:r>
      <w:bookmarkEnd w:id="8"/>
      <w:bookmarkEnd w:id="9"/>
      <w:bookmarkEnd w:id="10"/>
      <w:bookmarkEnd w:id="11"/>
      <w:bookmarkEnd w:id="12"/>
      <w:proofErr w:type="spellEnd"/>
      <w:r>
        <w:rPr>
          <w:rFonts w:hAnsi="宋体" w:hint="eastAsia"/>
        </w:rPr>
        <w:t xml:space="preserve"> </w:t>
      </w:r>
    </w:p>
    <w:p w:rsidR="007766B7" w:rsidRDefault="007D10FB">
      <w:pPr>
        <w:spacing w:line="360" w:lineRule="auto"/>
        <w:ind w:firstLineChars="200" w:firstLine="420"/>
        <w:divId w:val="1277787566"/>
      </w:pPr>
      <w:bookmarkStart w:id="14" w:name="m502"/>
      <w:bookmarkStart w:id="15" w:name="_Toc438646470"/>
      <w:bookmarkStart w:id="16" w:name="m504"/>
      <w:bookmarkStart w:id="17" w:name="m08QD_01"/>
      <w:bookmarkStart w:id="18" w:name="m201"/>
      <w:bookmarkStart w:id="19" w:name="_Toc194311890"/>
      <w:bookmarkStart w:id="20"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基金托管人平安银行股份有限公司根据本基金合同规定，于2025年4月21日复核了本报告中的财务指标、净值表现和投资组合报告等内容，保证复核内容不存在虚假记载、误导性陈述或者重大遗漏。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7766B7" w:rsidRDefault="007D10FB">
      <w:pPr>
        <w:pStyle w:val="XBRLTitle1"/>
        <w:spacing w:before="156" w:line="360" w:lineRule="auto"/>
        <w:ind w:left="425"/>
      </w:pPr>
      <w:bookmarkStart w:id="21" w:name="_Toc513386583"/>
      <w:bookmarkStart w:id="22" w:name="_Toc490050001"/>
      <w:bookmarkStart w:id="23" w:name="_Toc438646452"/>
      <w:bookmarkStart w:id="24" w:name="_Toc481075047"/>
      <w:bookmarkStart w:id="25" w:name="_Toc512519481"/>
      <w:proofErr w:type="spellStart"/>
      <w:r>
        <w:rPr>
          <w:rFonts w:hAnsi="宋体" w:hint="eastAsia"/>
        </w:rPr>
        <w:t>基金产品概况</w:t>
      </w:r>
      <w:bookmarkEnd w:id="21"/>
      <w:bookmarkEnd w:id="22"/>
      <w:bookmarkEnd w:id="23"/>
      <w:bookmarkEnd w:id="24"/>
      <w:bookmarkEnd w:id="25"/>
      <w:proofErr w:type="spellEnd"/>
      <w:r>
        <w:rPr>
          <w:rFonts w:hAnsi="宋体"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567"/>
        <w:gridCol w:w="6268"/>
      </w:tblGrid>
      <w:tr w:rsidR="007766B7">
        <w:trPr>
          <w:divId w:val="153182962"/>
          <w:trHeight w:val="64"/>
        </w:trPr>
        <w:tc>
          <w:tcPr>
            <w:tcW w:w="14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66B7" w:rsidRDefault="007D10FB">
            <w:pPr>
              <w:widowControl/>
              <w:spacing w:line="315" w:lineRule="atLeast"/>
              <w:jc w:val="left"/>
            </w:pPr>
            <w:bookmarkStart w:id="26" w:name="OLE_LINK1"/>
            <w:r>
              <w:rPr>
                <w:rFonts w:asciiTheme="minorEastAsia" w:eastAsiaTheme="minorEastAsia" w:hAnsiTheme="minorEastAsia" w:hint="eastAsia"/>
              </w:rPr>
              <w:t xml:space="preserve">基金简称 </w:t>
            </w:r>
          </w:p>
        </w:tc>
        <w:tc>
          <w:tcPr>
            <w:tcW w:w="3547" w:type="pct"/>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7766B7" w:rsidRDefault="007D10FB">
            <w:pPr>
              <w:widowControl/>
              <w:spacing w:line="315" w:lineRule="atLeast"/>
              <w:jc w:val="left"/>
            </w:pPr>
            <w:r>
              <w:rPr>
                <w:rFonts w:asciiTheme="minorEastAsia" w:eastAsiaTheme="minorEastAsia" w:hAnsiTheme="minorEastAsia" w:hint="eastAsia"/>
              </w:rPr>
              <w:t>摩根中证A500ETF</w:t>
            </w:r>
          </w:p>
        </w:tc>
      </w:tr>
      <w:tr w:rsidR="007766B7">
        <w:trPr>
          <w:divId w:val="15318296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7766B7" w:rsidRDefault="007D10FB">
            <w:pPr>
              <w:widowControl/>
              <w:spacing w:line="315" w:lineRule="atLeast"/>
              <w:jc w:val="left"/>
            </w:pPr>
            <w:r>
              <w:rPr>
                <w:rFonts w:asciiTheme="minorEastAsia" w:eastAsiaTheme="minorEastAsia" w:hAnsiTheme="minorEastAsia" w:hint="eastAsia"/>
              </w:rPr>
              <w:t xml:space="preserve">基金主代码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7766B7" w:rsidRDefault="007D10FB">
            <w:pPr>
              <w:widowControl/>
              <w:spacing w:line="315" w:lineRule="atLeast"/>
              <w:jc w:val="left"/>
            </w:pPr>
            <w:r>
              <w:rPr>
                <w:rFonts w:asciiTheme="minorEastAsia" w:eastAsiaTheme="minorEastAsia" w:hAnsiTheme="minorEastAsia" w:hint="eastAsia"/>
              </w:rPr>
              <w:t>560530</w:t>
            </w:r>
          </w:p>
        </w:tc>
      </w:tr>
      <w:tr w:rsidR="007766B7">
        <w:trPr>
          <w:divId w:val="15318296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7766B7" w:rsidRDefault="007D10FB">
            <w:pPr>
              <w:widowControl/>
              <w:spacing w:line="315" w:lineRule="atLeast"/>
              <w:jc w:val="left"/>
            </w:pPr>
            <w:r>
              <w:rPr>
                <w:rFonts w:asciiTheme="minorEastAsia" w:eastAsiaTheme="minorEastAsia" w:hAnsiTheme="minorEastAsia" w:hint="eastAsia"/>
              </w:rPr>
              <w:t xml:space="preserve">交易代码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7766B7" w:rsidRDefault="007D10FB">
            <w:pPr>
              <w:widowControl/>
              <w:spacing w:line="315" w:lineRule="atLeast"/>
              <w:jc w:val="left"/>
            </w:pPr>
            <w:r>
              <w:rPr>
                <w:rFonts w:asciiTheme="minorEastAsia" w:eastAsiaTheme="minorEastAsia" w:hAnsiTheme="minorEastAsia" w:hint="eastAsia"/>
              </w:rPr>
              <w:t>560530</w:t>
            </w:r>
          </w:p>
        </w:tc>
      </w:tr>
      <w:tr w:rsidR="007766B7">
        <w:trPr>
          <w:divId w:val="15318296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7766B7" w:rsidRDefault="007D10FB">
            <w:pPr>
              <w:widowControl/>
              <w:spacing w:line="315" w:lineRule="atLeast"/>
              <w:jc w:val="left"/>
            </w:pPr>
            <w:r>
              <w:rPr>
                <w:rFonts w:asciiTheme="minorEastAsia" w:eastAsiaTheme="minorEastAsia" w:hAnsiTheme="minorEastAsia" w:hint="eastAsia"/>
              </w:rPr>
              <w:t xml:space="preserve">基金运作方式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7766B7" w:rsidRDefault="007D10FB">
            <w:pPr>
              <w:widowControl/>
              <w:spacing w:line="315" w:lineRule="atLeast"/>
              <w:jc w:val="left"/>
            </w:pPr>
            <w:r>
              <w:rPr>
                <w:rFonts w:asciiTheme="minorEastAsia" w:eastAsiaTheme="minorEastAsia" w:hAnsiTheme="minorEastAsia" w:hint="eastAsia"/>
              </w:rPr>
              <w:t>交易型开放式</w:t>
            </w:r>
          </w:p>
        </w:tc>
      </w:tr>
      <w:tr w:rsidR="007766B7">
        <w:trPr>
          <w:divId w:val="15318296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7766B7" w:rsidRDefault="007D10FB">
            <w:pPr>
              <w:widowControl/>
              <w:spacing w:line="315" w:lineRule="atLeast"/>
              <w:jc w:val="left"/>
            </w:pPr>
            <w:r>
              <w:rPr>
                <w:rFonts w:asciiTheme="minorEastAsia" w:eastAsiaTheme="minorEastAsia" w:hAnsiTheme="minorEastAsia" w:hint="eastAsia"/>
              </w:rPr>
              <w:t xml:space="preserve">基金合同生效日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7766B7" w:rsidRDefault="007D10FB">
            <w:pPr>
              <w:widowControl/>
              <w:spacing w:line="315" w:lineRule="atLeast"/>
              <w:jc w:val="left"/>
            </w:pPr>
            <w:r>
              <w:rPr>
                <w:rFonts w:asciiTheme="minorEastAsia" w:eastAsiaTheme="minorEastAsia" w:hAnsiTheme="minorEastAsia" w:hint="eastAsia"/>
              </w:rPr>
              <w:t>2024年9月24日</w:t>
            </w:r>
          </w:p>
        </w:tc>
      </w:tr>
      <w:tr w:rsidR="007766B7">
        <w:trPr>
          <w:divId w:val="153182962"/>
          <w:trHeight w:val="461"/>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7766B7" w:rsidRDefault="007D10FB">
            <w:pPr>
              <w:widowControl/>
              <w:spacing w:line="315" w:lineRule="atLeast"/>
              <w:jc w:val="left"/>
            </w:pPr>
            <w:r>
              <w:rPr>
                <w:rFonts w:asciiTheme="minorEastAsia" w:eastAsiaTheme="minorEastAsia" w:hAnsiTheme="minorEastAsia" w:hint="eastAsia"/>
              </w:rPr>
              <w:t xml:space="preserve">报告期末基金份额总额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7766B7" w:rsidRDefault="007D10FB">
            <w:pPr>
              <w:widowControl/>
              <w:spacing w:line="315" w:lineRule="atLeast"/>
              <w:jc w:val="left"/>
            </w:pPr>
            <w:r>
              <w:rPr>
                <w:rFonts w:asciiTheme="minorEastAsia" w:eastAsiaTheme="minorEastAsia" w:hAnsiTheme="minorEastAsia" w:hint="eastAsia"/>
              </w:rPr>
              <w:t xml:space="preserve">9,391,623,668.00份 </w:t>
            </w:r>
          </w:p>
        </w:tc>
      </w:tr>
      <w:tr w:rsidR="007766B7">
        <w:trPr>
          <w:divId w:val="153182962"/>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7766B7" w:rsidRDefault="007D10FB">
            <w:pPr>
              <w:widowControl/>
              <w:spacing w:line="315" w:lineRule="atLeast"/>
              <w:jc w:val="left"/>
            </w:pPr>
            <w:r>
              <w:rPr>
                <w:rFonts w:asciiTheme="minorEastAsia" w:eastAsiaTheme="minorEastAsia" w:hAnsiTheme="minorEastAsia" w:hint="eastAsia"/>
              </w:rPr>
              <w:t xml:space="preserve">投资目标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7766B7" w:rsidRDefault="007D10FB">
            <w:pPr>
              <w:widowControl/>
              <w:spacing w:line="315" w:lineRule="atLeast"/>
              <w:jc w:val="left"/>
            </w:pPr>
            <w:r>
              <w:rPr>
                <w:rFonts w:asciiTheme="minorEastAsia" w:eastAsiaTheme="minorEastAsia" w:hAnsiTheme="minorEastAsia" w:hint="eastAsia"/>
              </w:rPr>
              <w:t>本基金进行被动指数化投资，紧密跟踪标的指数，追求跟踪偏离度和跟踪误差最小化。</w:t>
            </w:r>
          </w:p>
        </w:tc>
      </w:tr>
      <w:tr w:rsidR="007766B7">
        <w:trPr>
          <w:divId w:val="153182962"/>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7766B7" w:rsidRDefault="007D10FB">
            <w:pPr>
              <w:widowControl/>
              <w:spacing w:line="315" w:lineRule="atLeast"/>
              <w:jc w:val="left"/>
            </w:pPr>
            <w:r>
              <w:rPr>
                <w:rFonts w:asciiTheme="minorEastAsia" w:eastAsiaTheme="minorEastAsia" w:hAnsiTheme="minorEastAsia" w:hint="eastAsia"/>
              </w:rPr>
              <w:t xml:space="preserve">投资策略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7766B7" w:rsidRDefault="007D10FB">
            <w:pPr>
              <w:widowControl/>
              <w:spacing w:line="315" w:lineRule="atLeast"/>
              <w:jc w:val="left"/>
            </w:pPr>
            <w:r>
              <w:rPr>
                <w:rFonts w:asciiTheme="minorEastAsia" w:eastAsiaTheme="minorEastAsia" w:hAnsiTheme="minorEastAsia" w:hint="eastAsia"/>
              </w:rPr>
              <w:t>本基金主要采用复制策略、替代策略及其他适当的策略以更好地跟踪标的指数，实现基金投资目标。本基金力争日均跟踪偏离度的绝对值不超过0.2%，年跟踪误差不超过2%。</w:t>
            </w:r>
            <w:r>
              <w:rPr>
                <w:rFonts w:asciiTheme="minorEastAsia" w:eastAsiaTheme="minorEastAsia" w:hAnsiTheme="minorEastAsia" w:hint="eastAsia"/>
              </w:rPr>
              <w:br/>
              <w:t>1、复制策略</w:t>
            </w:r>
            <w:r>
              <w:rPr>
                <w:rFonts w:asciiTheme="minorEastAsia" w:eastAsiaTheme="minorEastAsia" w:hAnsiTheme="minorEastAsia" w:hint="eastAsia"/>
              </w:rPr>
              <w:br/>
              <w:t>本基金主要采用完全复制法，按照标的指数成份股构成及其权重构建股票资产组合，并根据标的指数成份股及其权重的变化对股票组合进行动态调整。</w:t>
            </w:r>
            <w:r>
              <w:rPr>
                <w:rFonts w:asciiTheme="minorEastAsia" w:eastAsiaTheme="minorEastAsia" w:hAnsiTheme="minorEastAsia" w:hint="eastAsia"/>
              </w:rPr>
              <w:br/>
              <w:t>（1）定期调整</w:t>
            </w:r>
            <w:r>
              <w:rPr>
                <w:rFonts w:asciiTheme="minorEastAsia" w:eastAsiaTheme="minorEastAsia" w:hAnsiTheme="minorEastAsia" w:hint="eastAsia"/>
              </w:rPr>
              <w:b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r>
              <w:rPr>
                <w:rFonts w:asciiTheme="minorEastAsia" w:eastAsiaTheme="minorEastAsia" w:hAnsiTheme="minorEastAsia" w:hint="eastAsia"/>
              </w:rPr>
              <w:br/>
              <w:t>（2）不定期调整</w:t>
            </w:r>
            <w:r>
              <w:rPr>
                <w:rFonts w:asciiTheme="minorEastAsia" w:eastAsiaTheme="minorEastAsia" w:hAnsiTheme="minorEastAsia" w:hint="eastAsia"/>
              </w:rPr>
              <w:br/>
              <w:t>1）根据指数编制规则，当标的指数成份股因增发、送配等股权变动而需进行成份股权</w:t>
            </w:r>
            <w:proofErr w:type="gramStart"/>
            <w:r>
              <w:rPr>
                <w:rFonts w:asciiTheme="minorEastAsia" w:eastAsiaTheme="minorEastAsia" w:hAnsiTheme="minorEastAsia" w:hint="eastAsia"/>
              </w:rPr>
              <w:t>重调整</w:t>
            </w:r>
            <w:proofErr w:type="gramEnd"/>
            <w:r>
              <w:rPr>
                <w:rFonts w:asciiTheme="minorEastAsia" w:eastAsiaTheme="minorEastAsia" w:hAnsiTheme="minorEastAsia" w:hint="eastAsia"/>
              </w:rPr>
              <w:t>时，本基金将根据标的指数权重比例的变化，进行相应调整。</w:t>
            </w:r>
            <w:r>
              <w:rPr>
                <w:rFonts w:asciiTheme="minorEastAsia" w:eastAsiaTheme="minorEastAsia" w:hAnsiTheme="minorEastAsia" w:hint="eastAsia"/>
              </w:rPr>
              <w:br/>
            </w:r>
            <w:r>
              <w:rPr>
                <w:rFonts w:asciiTheme="minorEastAsia" w:eastAsiaTheme="minorEastAsia" w:hAnsiTheme="minorEastAsia" w:hint="eastAsia"/>
              </w:rPr>
              <w:lastRenderedPageBreak/>
              <w:t>2）当标的指数成份股因停牌、流动性不足等因素导致基金无法按照指数权重进行配置，基金管理人将综合考虑跟踪误差和投资者利益，选择相关股票进行适当的替代。</w:t>
            </w:r>
            <w:r>
              <w:rPr>
                <w:rFonts w:asciiTheme="minorEastAsia" w:eastAsiaTheme="minorEastAsia" w:hAnsiTheme="minorEastAsia" w:hint="eastAsia"/>
              </w:rPr>
              <w:br/>
              <w:t>3）本基金将根据申购和赎回情况对股票投资组合进行调整，保证基金正常运行，从而有效跟踪标的指数。</w:t>
            </w:r>
            <w:r>
              <w:rPr>
                <w:rFonts w:asciiTheme="minorEastAsia" w:eastAsiaTheme="minorEastAsia" w:hAnsiTheme="minorEastAsia" w:hint="eastAsia"/>
              </w:rPr>
              <w:br/>
              <w:t>2、替代策略</w:t>
            </w:r>
            <w:r>
              <w:rPr>
                <w:rFonts w:asciiTheme="minorEastAsia" w:eastAsiaTheme="minorEastAsia" w:hAnsiTheme="minorEastAsia" w:hint="eastAsia"/>
              </w:rPr>
              <w:br/>
              <w:t>当预期成份股发生调整和成份股发生配股、增发、分红、长期停牌等行为时，或因基金的申购和赎回等对本基金跟踪标的指数的效果可能带来影响时，或因某些特殊情况导致流动性不足时，或法律法规的限制无法投资某只成份股，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w:t>
            </w:r>
            <w:r>
              <w:rPr>
                <w:rFonts w:asciiTheme="minorEastAsia" w:eastAsiaTheme="minorEastAsia" w:hAnsiTheme="minorEastAsia" w:hint="eastAsia"/>
              </w:rPr>
              <w:br/>
              <w:t>3、其他投资策略：包括股指期货投资策略、股票期权投资策略、债券投资策略、融资及转融通证券出借策略、存托凭证投资策略。</w:t>
            </w:r>
          </w:p>
        </w:tc>
      </w:tr>
      <w:tr w:rsidR="007766B7">
        <w:trPr>
          <w:divId w:val="15318296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7766B7" w:rsidRDefault="007D10FB">
            <w:pPr>
              <w:widowControl/>
              <w:spacing w:line="315" w:lineRule="atLeast"/>
              <w:jc w:val="left"/>
            </w:pPr>
            <w:r>
              <w:rPr>
                <w:rFonts w:asciiTheme="minorEastAsia" w:eastAsiaTheme="minorEastAsia" w:hAnsiTheme="minorEastAsia" w:hint="eastAsia"/>
              </w:rPr>
              <w:lastRenderedPageBreak/>
              <w:t xml:space="preserve">业绩比较基准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7766B7" w:rsidRDefault="007D10FB">
            <w:pPr>
              <w:widowControl/>
              <w:spacing w:line="315" w:lineRule="atLeast"/>
              <w:jc w:val="left"/>
            </w:pPr>
            <w:r>
              <w:rPr>
                <w:rFonts w:asciiTheme="minorEastAsia" w:eastAsiaTheme="minorEastAsia" w:hAnsiTheme="minorEastAsia" w:hint="eastAsia"/>
              </w:rPr>
              <w:t>本基金的业绩比较基准为标的指数，即中证A500指数收益率。</w:t>
            </w:r>
          </w:p>
        </w:tc>
      </w:tr>
      <w:tr w:rsidR="007766B7">
        <w:trPr>
          <w:divId w:val="15318296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7766B7" w:rsidRDefault="007D10FB">
            <w:pPr>
              <w:widowControl/>
              <w:spacing w:line="315" w:lineRule="atLeast"/>
              <w:jc w:val="left"/>
            </w:pPr>
            <w:r>
              <w:rPr>
                <w:rFonts w:asciiTheme="minorEastAsia" w:eastAsiaTheme="minorEastAsia" w:hAnsiTheme="minorEastAsia" w:hint="eastAsia"/>
              </w:rPr>
              <w:t xml:space="preserve">风险收益特征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7766B7" w:rsidRDefault="007D10FB">
            <w:pPr>
              <w:widowControl/>
              <w:spacing w:line="315" w:lineRule="atLeast"/>
              <w:jc w:val="left"/>
            </w:pPr>
            <w:r>
              <w:rPr>
                <w:rFonts w:asciiTheme="minorEastAsia" w:eastAsiaTheme="minorEastAsia" w:hAnsiTheme="minorEastAsia" w:hint="eastAsia"/>
              </w:rPr>
              <w:t>本基金为股票</w:t>
            </w:r>
            <w:proofErr w:type="gramStart"/>
            <w:r>
              <w:rPr>
                <w:rFonts w:asciiTheme="minorEastAsia" w:eastAsiaTheme="minorEastAsia" w:hAnsiTheme="minorEastAsia" w:hint="eastAsia"/>
              </w:rPr>
              <w:t>型指数</w:t>
            </w:r>
            <w:proofErr w:type="gramEnd"/>
            <w:r>
              <w:rPr>
                <w:rFonts w:asciiTheme="minorEastAsia" w:eastAsiaTheme="minorEastAsia" w:hAnsiTheme="minorEastAsia" w:hint="eastAsia"/>
              </w:rPr>
              <w:t>基金，其预期风险和预期收益高于货币市场基金、债券型基金和混合型基金。本基金主要采用完全复制法跟踪标的指数的表现，具有与标的指数相似的风险收益特征。</w:t>
            </w:r>
          </w:p>
        </w:tc>
      </w:tr>
      <w:tr w:rsidR="007766B7">
        <w:trPr>
          <w:divId w:val="15318296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7766B7" w:rsidRDefault="007D10FB">
            <w:pPr>
              <w:widowControl/>
              <w:spacing w:line="315" w:lineRule="atLeast"/>
              <w:jc w:val="left"/>
            </w:pPr>
            <w:r>
              <w:rPr>
                <w:rFonts w:asciiTheme="minorEastAsia" w:eastAsiaTheme="minorEastAsia" w:hAnsiTheme="minorEastAsia" w:hint="eastAsia"/>
              </w:rPr>
              <w:t xml:space="preserve">基金管理人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7766B7" w:rsidRDefault="007D10FB">
            <w:pPr>
              <w:widowControl/>
              <w:spacing w:line="315" w:lineRule="atLeast"/>
              <w:jc w:val="left"/>
            </w:pPr>
            <w:r>
              <w:rPr>
                <w:rFonts w:asciiTheme="minorEastAsia" w:eastAsiaTheme="minorEastAsia" w:hAnsiTheme="minorEastAsia" w:hint="eastAsia"/>
              </w:rPr>
              <w:t>摩根基金管理（中国）有限公司</w:t>
            </w:r>
          </w:p>
        </w:tc>
      </w:tr>
      <w:tr w:rsidR="007766B7">
        <w:trPr>
          <w:divId w:val="15318296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7766B7" w:rsidRDefault="007D10FB">
            <w:pPr>
              <w:widowControl/>
              <w:spacing w:line="315" w:lineRule="atLeast"/>
              <w:jc w:val="left"/>
            </w:pPr>
            <w:r>
              <w:rPr>
                <w:rFonts w:asciiTheme="minorEastAsia" w:eastAsiaTheme="minorEastAsia" w:hAnsiTheme="minorEastAsia" w:hint="eastAsia"/>
              </w:rPr>
              <w:t xml:space="preserve">基金托管人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7766B7" w:rsidRDefault="007D10FB">
            <w:pPr>
              <w:widowControl/>
              <w:spacing w:line="315" w:lineRule="atLeast"/>
              <w:jc w:val="left"/>
            </w:pPr>
            <w:r>
              <w:rPr>
                <w:rFonts w:asciiTheme="minorEastAsia" w:eastAsiaTheme="minorEastAsia" w:hAnsiTheme="minorEastAsia" w:hint="eastAsia"/>
              </w:rPr>
              <w:t>平安银行股份有限公司</w:t>
            </w:r>
          </w:p>
        </w:tc>
      </w:tr>
    </w:tbl>
    <w:p w:rsidR="007766B7" w:rsidRDefault="007D10FB">
      <w:pPr>
        <w:pStyle w:val="XBRLTitle1"/>
        <w:spacing w:before="156" w:line="360" w:lineRule="auto"/>
        <w:ind w:left="425"/>
      </w:pPr>
      <w:bookmarkStart w:id="27" w:name="_Toc513386584"/>
      <w:bookmarkStart w:id="28" w:name="_Toc490050003"/>
      <w:bookmarkStart w:id="29" w:name="_Toc438646455"/>
      <w:bookmarkStart w:id="30" w:name="_Toc481075049"/>
      <w:bookmarkStart w:id="31" w:name="_Toc512519482"/>
      <w:bookmarkStart w:id="32" w:name="m401"/>
      <w:bookmarkStart w:id="33" w:name="m401_tab"/>
      <w:bookmarkEnd w:id="26"/>
      <w:proofErr w:type="spellStart"/>
      <w:r>
        <w:rPr>
          <w:rFonts w:hAnsi="宋体" w:hint="eastAsia"/>
        </w:rPr>
        <w:t>主要财务指标和基金净值表现</w:t>
      </w:r>
      <w:bookmarkEnd w:id="27"/>
      <w:bookmarkEnd w:id="28"/>
      <w:bookmarkEnd w:id="29"/>
      <w:bookmarkEnd w:id="30"/>
      <w:bookmarkEnd w:id="31"/>
      <w:proofErr w:type="spellEnd"/>
      <w:r>
        <w:rPr>
          <w:rFonts w:hAnsi="宋体" w:hint="eastAsia"/>
        </w:rPr>
        <w:t xml:space="preserve"> </w:t>
      </w:r>
    </w:p>
    <w:p w:rsidR="007766B7" w:rsidRDefault="007D10FB">
      <w:pPr>
        <w:pStyle w:val="XBRLTitle2"/>
        <w:spacing w:before="156" w:line="360" w:lineRule="auto"/>
        <w:ind w:left="454"/>
      </w:pPr>
      <w:bookmarkStart w:id="34" w:name="_Toc513386585"/>
      <w:bookmarkStart w:id="35" w:name="_Toc490050004"/>
      <w:bookmarkStart w:id="36" w:name="_Toc438646456"/>
      <w:bookmarkStart w:id="37" w:name="_Toc481075050"/>
      <w:bookmarkStart w:id="38" w:name="_Toc512519483"/>
      <w:proofErr w:type="spellStart"/>
      <w:r>
        <w:rPr>
          <w:rFonts w:hAnsi="宋体" w:hint="eastAsia"/>
        </w:rPr>
        <w:t>主要财务指标</w:t>
      </w:r>
      <w:bookmarkEnd w:id="34"/>
      <w:bookmarkEnd w:id="35"/>
      <w:bookmarkEnd w:id="36"/>
      <w:bookmarkEnd w:id="37"/>
      <w:bookmarkEnd w:id="38"/>
      <w:proofErr w:type="spellEnd"/>
      <w:r>
        <w:rPr>
          <w:rFonts w:hAnsi="宋体" w:hint="eastAsia"/>
        </w:rPr>
        <w:t xml:space="preserve"> </w:t>
      </w:r>
    </w:p>
    <w:p w:rsidR="007766B7" w:rsidRDefault="007D10FB">
      <w:pPr>
        <w:jc w:val="right"/>
        <w:divId w:val="2110418848"/>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5893"/>
      </w:tblGrid>
      <w:tr w:rsidR="007766B7">
        <w:trPr>
          <w:divId w:val="2110418848"/>
        </w:trPr>
        <w:tc>
          <w:tcPr>
            <w:tcW w:w="166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7766B7" w:rsidRDefault="007D10FB">
            <w:pPr>
              <w:pStyle w:val="a5"/>
            </w:pPr>
            <w:r>
              <w:rPr>
                <w:rFonts w:hint="eastAsia"/>
                <w:kern w:val="2"/>
                <w:sz w:val="21"/>
                <w:lang w:eastAsia="zh-Hans"/>
              </w:rPr>
              <w:t xml:space="preserve">主要财务指标 </w:t>
            </w:r>
          </w:p>
        </w:tc>
        <w:tc>
          <w:tcPr>
            <w:tcW w:w="358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7766B7" w:rsidRDefault="007D10FB">
            <w:pPr>
              <w:pStyle w:val="a5"/>
              <w:jc w:val="center"/>
            </w:pPr>
            <w:r>
              <w:rPr>
                <w:rFonts w:hint="eastAsia"/>
                <w:kern w:val="2"/>
                <w:sz w:val="21"/>
                <w:szCs w:val="24"/>
                <w:lang w:eastAsia="zh-Hans"/>
              </w:rPr>
              <w:t>报告期（2025年1月1日-2025年3月31日）</w:t>
            </w:r>
          </w:p>
        </w:tc>
      </w:tr>
      <w:tr w:rsidR="007766B7">
        <w:trPr>
          <w:divId w:val="211041884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pStyle w:val="a5"/>
            </w:pPr>
            <w:r>
              <w:rPr>
                <w:rFonts w:hint="eastAsia"/>
                <w:kern w:val="2"/>
                <w:sz w:val="21"/>
              </w:rPr>
              <w:t>1.本期已实现收益</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szCs w:val="24"/>
                <w:lang w:eastAsia="zh-Hans"/>
              </w:rPr>
              <w:t>-55,076,406.69</w:t>
            </w:r>
          </w:p>
        </w:tc>
      </w:tr>
      <w:tr w:rsidR="007766B7">
        <w:trPr>
          <w:divId w:val="211041884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pStyle w:val="a5"/>
            </w:pPr>
            <w:r>
              <w:rPr>
                <w:rFonts w:hint="eastAsia"/>
                <w:kern w:val="2"/>
                <w:sz w:val="21"/>
              </w:rPr>
              <w:t>2.本期利润</w:t>
            </w:r>
            <w:r>
              <w:rPr>
                <w:rFonts w:hint="eastAsia"/>
                <w:kern w:val="2"/>
                <w:sz w:val="21"/>
                <w:lang w:eastAsia="zh-Hans"/>
              </w:rPr>
              <w:t xml:space="preserve"> </w:t>
            </w:r>
          </w:p>
        </w:tc>
        <w:tc>
          <w:tcPr>
            <w:tcW w:w="328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szCs w:val="24"/>
                <w:lang w:eastAsia="zh-Hans"/>
              </w:rPr>
              <w:t>14,880,984.07</w:t>
            </w:r>
          </w:p>
        </w:tc>
      </w:tr>
      <w:tr w:rsidR="007766B7">
        <w:trPr>
          <w:divId w:val="211041884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pStyle w:val="a5"/>
            </w:pPr>
            <w:r>
              <w:rPr>
                <w:rFonts w:hint="eastAsia"/>
                <w:kern w:val="2"/>
                <w:sz w:val="21"/>
              </w:rPr>
              <w:t>3.加权平均基金份额本期利润</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szCs w:val="24"/>
                <w:lang w:eastAsia="zh-Hans"/>
              </w:rPr>
              <w:t>0.0014</w:t>
            </w:r>
          </w:p>
        </w:tc>
      </w:tr>
      <w:tr w:rsidR="007766B7">
        <w:trPr>
          <w:divId w:val="211041884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pStyle w:val="a5"/>
            </w:pPr>
            <w:r>
              <w:rPr>
                <w:rFonts w:hint="eastAsia"/>
                <w:kern w:val="2"/>
                <w:sz w:val="21"/>
              </w:rPr>
              <w:t>4.期末基金资产净值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szCs w:val="24"/>
                <w:lang w:eastAsia="zh-Hans"/>
              </w:rPr>
              <w:t>9,197,662,897.51</w:t>
            </w:r>
          </w:p>
        </w:tc>
      </w:tr>
      <w:tr w:rsidR="007766B7">
        <w:trPr>
          <w:divId w:val="211041884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pStyle w:val="a5"/>
            </w:pPr>
            <w:r>
              <w:rPr>
                <w:rFonts w:hint="eastAsia"/>
                <w:kern w:val="2"/>
                <w:sz w:val="21"/>
              </w:rPr>
              <w:t>5.期末基金份额净值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szCs w:val="24"/>
                <w:lang w:eastAsia="zh-Hans"/>
              </w:rPr>
              <w:t>0.9793</w:t>
            </w:r>
          </w:p>
        </w:tc>
      </w:tr>
    </w:tbl>
    <w:p w:rsidR="007766B7" w:rsidRDefault="007D10FB">
      <w:pPr>
        <w:spacing w:line="360" w:lineRule="auto"/>
      </w:pPr>
      <w:r>
        <w:rPr>
          <w:rFonts w:hint="eastAsia"/>
        </w:rPr>
        <w:t>注：</w:t>
      </w:r>
      <w:r>
        <w:rPr>
          <w:rFonts w:ascii="宋体" w:hAnsi="宋体" w:hint="eastAsia"/>
          <w:szCs w:val="24"/>
          <w:lang w:eastAsia="zh-Hans"/>
        </w:rPr>
        <w:t>本期已实现收益指基金本期利息收入、投资收益、其他收入(不含公允价值变动收益)扣除相关费用后的余额,本期利润为本期已实现收益加上本期公允价值变动收益。</w:t>
      </w:r>
      <w:r>
        <w:rPr>
          <w:rFonts w:ascii="宋体" w:hAnsi="宋体" w:hint="eastAsia"/>
          <w:szCs w:val="24"/>
          <w:lang w:eastAsia="zh-Hans"/>
        </w:rPr>
        <w:b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lang w:eastAsia="zh-Hans"/>
        </w:rPr>
        <w:t xml:space="preserve"> </w:t>
      </w:r>
    </w:p>
    <w:p w:rsidR="007766B7" w:rsidRDefault="007D10FB">
      <w:pPr>
        <w:pStyle w:val="XBRLTitle2"/>
        <w:spacing w:before="156" w:line="360" w:lineRule="auto"/>
        <w:ind w:left="454"/>
      </w:pPr>
      <w:bookmarkStart w:id="39" w:name="_Toc513386586"/>
      <w:bookmarkStart w:id="40" w:name="_Toc490050005"/>
      <w:bookmarkStart w:id="41" w:name="_Toc438646457"/>
      <w:bookmarkStart w:id="42" w:name="_Toc481075051"/>
      <w:bookmarkStart w:id="43" w:name="_Toc512519484"/>
      <w:proofErr w:type="spellStart"/>
      <w:r>
        <w:rPr>
          <w:rFonts w:hAnsi="宋体" w:hint="eastAsia"/>
        </w:rPr>
        <w:t>基金净值表现</w:t>
      </w:r>
      <w:bookmarkEnd w:id="39"/>
      <w:bookmarkEnd w:id="40"/>
      <w:bookmarkEnd w:id="41"/>
      <w:bookmarkEnd w:id="42"/>
      <w:bookmarkEnd w:id="43"/>
      <w:proofErr w:type="spellEnd"/>
      <w:r>
        <w:rPr>
          <w:rFonts w:hAnsi="宋体" w:hint="eastAsia"/>
        </w:rPr>
        <w:t xml:space="preserve"> </w:t>
      </w:r>
    </w:p>
    <w:p w:rsidR="007766B7" w:rsidRDefault="007D10FB">
      <w:pPr>
        <w:pStyle w:val="XBRLTitle3"/>
        <w:spacing w:before="156"/>
        <w:ind w:left="0"/>
      </w:pPr>
      <w:bookmarkStart w:id="44" w:name="_Toc513386587"/>
      <w:bookmarkStart w:id="45" w:name="_Toc490050006"/>
      <w:bookmarkStart w:id="46" w:name="_Toc481075052"/>
      <w:bookmarkStart w:id="47" w:name="_Toc512519485"/>
      <w:proofErr w:type="spellStart"/>
      <w:r>
        <w:rPr>
          <w:rFonts w:hint="eastAsia"/>
        </w:rPr>
        <w:lastRenderedPageBreak/>
        <w:t>基金份额净值增长率及其与同期业绩比较基准收益率的比较</w:t>
      </w:r>
      <w:bookmarkEnd w:id="44"/>
      <w:bookmarkEnd w:id="45"/>
      <w:bookmarkEnd w:id="46"/>
      <w:bookmarkEnd w:id="47"/>
      <w:proofErr w:type="spellEnd"/>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3"/>
        <w:gridCol w:w="1262"/>
        <w:gridCol w:w="1262"/>
        <w:gridCol w:w="1262"/>
        <w:gridCol w:w="1262"/>
        <w:gridCol w:w="1262"/>
        <w:gridCol w:w="1262"/>
      </w:tblGrid>
      <w:tr w:rsidR="007766B7">
        <w:trPr>
          <w:divId w:val="837232129"/>
          <w:trHeight w:val="347"/>
        </w:trPr>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766B7" w:rsidRDefault="007D10FB">
            <w:pPr>
              <w:spacing w:line="360" w:lineRule="auto"/>
              <w:jc w:val="center"/>
            </w:pPr>
            <w:r>
              <w:rPr>
                <w:rFonts w:ascii="宋体" w:hAnsi="宋体" w:hint="eastAsia"/>
              </w:rPr>
              <w:t xml:space="preserve">阶段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766B7" w:rsidRDefault="007D10FB">
            <w:pPr>
              <w:spacing w:line="360" w:lineRule="auto"/>
              <w:jc w:val="center"/>
            </w:pPr>
            <w:r>
              <w:rPr>
                <w:rFonts w:ascii="宋体" w:hAnsi="宋体" w:hint="eastAsia"/>
              </w:rPr>
              <w:t xml:space="preserve">净值增长率①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766B7" w:rsidRDefault="007D10FB">
            <w:pPr>
              <w:spacing w:line="360" w:lineRule="auto"/>
              <w:jc w:val="center"/>
            </w:pPr>
            <w:r>
              <w:rPr>
                <w:rFonts w:ascii="宋体" w:hAnsi="宋体" w:hint="eastAsia"/>
              </w:rPr>
              <w:t xml:space="preserve">净值增长率标准差②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766B7" w:rsidRDefault="007D10FB">
            <w:pPr>
              <w:spacing w:line="360" w:lineRule="auto"/>
              <w:jc w:val="center"/>
            </w:pPr>
            <w:r>
              <w:rPr>
                <w:rFonts w:ascii="宋体" w:hAnsi="宋体" w:hint="eastAsia"/>
              </w:rPr>
              <w:t xml:space="preserve">业绩比较基准收益率③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766B7" w:rsidRDefault="007D10FB">
            <w:pPr>
              <w:spacing w:line="360" w:lineRule="auto"/>
              <w:jc w:val="center"/>
            </w:pPr>
            <w:r>
              <w:rPr>
                <w:rFonts w:ascii="宋体" w:hAnsi="宋体" w:hint="eastAsia"/>
              </w:rPr>
              <w:t xml:space="preserve">业绩比较基准收益率标准差④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766B7" w:rsidRDefault="007D10FB">
            <w:pPr>
              <w:spacing w:line="360" w:lineRule="auto"/>
              <w:jc w:val="center"/>
            </w:pPr>
            <w:r>
              <w:rPr>
                <w:rFonts w:ascii="宋体" w:hAnsi="宋体" w:hint="eastAsia"/>
              </w:rPr>
              <w:t xml:space="preserve">①－③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766B7" w:rsidRDefault="007D10FB">
            <w:pPr>
              <w:spacing w:line="360" w:lineRule="auto"/>
              <w:jc w:val="center"/>
            </w:pPr>
            <w:r>
              <w:rPr>
                <w:rFonts w:ascii="宋体" w:hAnsi="宋体" w:hint="eastAsia"/>
              </w:rPr>
              <w:t xml:space="preserve">②－④ </w:t>
            </w:r>
          </w:p>
        </w:tc>
      </w:tr>
      <w:tr w:rsidR="007766B7">
        <w:trPr>
          <w:divId w:val="837232129"/>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7766B7" w:rsidRDefault="007D10FB">
            <w:pPr>
              <w:spacing w:line="360" w:lineRule="auto"/>
              <w:jc w:val="center"/>
            </w:pPr>
            <w:r>
              <w:rPr>
                <w:rFonts w:ascii="宋体" w:hAnsi="宋体" w:hint="eastAsia"/>
              </w:rPr>
              <w:t>过去三个月</w:t>
            </w:r>
          </w:p>
        </w:tc>
        <w:tc>
          <w:tcPr>
            <w:tcW w:w="714" w:type="pct"/>
            <w:tcBorders>
              <w:top w:val="single" w:sz="4" w:space="0" w:color="auto"/>
              <w:left w:val="single" w:sz="4" w:space="0" w:color="auto"/>
              <w:bottom w:val="single" w:sz="4" w:space="0" w:color="auto"/>
              <w:right w:val="single" w:sz="4" w:space="0" w:color="auto"/>
            </w:tcBorders>
            <w:vAlign w:val="center"/>
            <w:hideMark/>
          </w:tcPr>
          <w:p w:rsidR="007766B7" w:rsidRDefault="007D10FB">
            <w:pPr>
              <w:spacing w:line="360" w:lineRule="auto"/>
              <w:jc w:val="right"/>
            </w:pPr>
            <w:r>
              <w:rPr>
                <w:rFonts w:ascii="宋体" w:hAnsi="宋体" w:hint="eastAsia"/>
              </w:rPr>
              <w:t>-0.29%</w:t>
            </w:r>
          </w:p>
        </w:tc>
        <w:tc>
          <w:tcPr>
            <w:tcW w:w="714" w:type="pct"/>
            <w:tcBorders>
              <w:top w:val="single" w:sz="4" w:space="0" w:color="auto"/>
              <w:left w:val="single" w:sz="4" w:space="0" w:color="auto"/>
              <w:bottom w:val="single" w:sz="4" w:space="0" w:color="auto"/>
              <w:right w:val="single" w:sz="4" w:space="0" w:color="auto"/>
            </w:tcBorders>
            <w:vAlign w:val="center"/>
            <w:hideMark/>
          </w:tcPr>
          <w:p w:rsidR="007766B7" w:rsidRDefault="007D10FB">
            <w:pPr>
              <w:spacing w:line="360" w:lineRule="auto"/>
              <w:jc w:val="right"/>
            </w:pPr>
            <w:r>
              <w:rPr>
                <w:rFonts w:ascii="宋体" w:hAnsi="宋体" w:hint="eastAsia"/>
              </w:rPr>
              <w:t>1.01%</w:t>
            </w:r>
          </w:p>
        </w:tc>
        <w:tc>
          <w:tcPr>
            <w:tcW w:w="714" w:type="pct"/>
            <w:tcBorders>
              <w:top w:val="single" w:sz="4" w:space="0" w:color="auto"/>
              <w:left w:val="single" w:sz="4" w:space="0" w:color="auto"/>
              <w:bottom w:val="single" w:sz="4" w:space="0" w:color="auto"/>
              <w:right w:val="single" w:sz="4" w:space="0" w:color="auto"/>
            </w:tcBorders>
            <w:vAlign w:val="center"/>
            <w:hideMark/>
          </w:tcPr>
          <w:p w:rsidR="007766B7" w:rsidRDefault="007D10FB">
            <w:pPr>
              <w:spacing w:line="360" w:lineRule="auto"/>
              <w:jc w:val="right"/>
            </w:pPr>
            <w:r>
              <w:rPr>
                <w:rFonts w:ascii="宋体" w:hAnsi="宋体" w:hint="eastAsia"/>
              </w:rPr>
              <w:t xml:space="preserve">-0.37% </w:t>
            </w:r>
          </w:p>
        </w:tc>
        <w:tc>
          <w:tcPr>
            <w:tcW w:w="714" w:type="pct"/>
            <w:tcBorders>
              <w:top w:val="single" w:sz="4" w:space="0" w:color="auto"/>
              <w:left w:val="single" w:sz="4" w:space="0" w:color="auto"/>
              <w:bottom w:val="single" w:sz="4" w:space="0" w:color="auto"/>
              <w:right w:val="single" w:sz="4" w:space="0" w:color="auto"/>
            </w:tcBorders>
            <w:vAlign w:val="center"/>
            <w:hideMark/>
          </w:tcPr>
          <w:p w:rsidR="007766B7" w:rsidRDefault="007D10FB">
            <w:pPr>
              <w:spacing w:line="360" w:lineRule="auto"/>
              <w:jc w:val="right"/>
            </w:pPr>
            <w:r>
              <w:rPr>
                <w:rFonts w:ascii="宋体" w:hAnsi="宋体" w:hint="eastAsia"/>
              </w:rPr>
              <w:t>1.01%</w:t>
            </w:r>
          </w:p>
        </w:tc>
        <w:tc>
          <w:tcPr>
            <w:tcW w:w="714" w:type="pct"/>
            <w:tcBorders>
              <w:top w:val="single" w:sz="4" w:space="0" w:color="auto"/>
              <w:left w:val="single" w:sz="4" w:space="0" w:color="auto"/>
              <w:bottom w:val="single" w:sz="4" w:space="0" w:color="auto"/>
              <w:right w:val="single" w:sz="4" w:space="0" w:color="auto"/>
            </w:tcBorders>
            <w:vAlign w:val="center"/>
            <w:hideMark/>
          </w:tcPr>
          <w:p w:rsidR="007766B7" w:rsidRDefault="007D10FB">
            <w:pPr>
              <w:spacing w:line="360" w:lineRule="auto"/>
              <w:jc w:val="right"/>
            </w:pPr>
            <w:r>
              <w:rPr>
                <w:rFonts w:ascii="宋体" w:hAnsi="宋体" w:hint="eastAsia"/>
              </w:rPr>
              <w:t>0.08%</w:t>
            </w:r>
          </w:p>
        </w:tc>
        <w:tc>
          <w:tcPr>
            <w:tcW w:w="714" w:type="pct"/>
            <w:tcBorders>
              <w:top w:val="single" w:sz="4" w:space="0" w:color="auto"/>
              <w:left w:val="single" w:sz="4" w:space="0" w:color="auto"/>
              <w:bottom w:val="single" w:sz="4" w:space="0" w:color="auto"/>
              <w:right w:val="single" w:sz="4" w:space="0" w:color="auto"/>
            </w:tcBorders>
            <w:vAlign w:val="center"/>
            <w:hideMark/>
          </w:tcPr>
          <w:p w:rsidR="007766B7" w:rsidRDefault="007D10FB">
            <w:pPr>
              <w:spacing w:line="360" w:lineRule="auto"/>
              <w:jc w:val="right"/>
            </w:pPr>
            <w:r>
              <w:rPr>
                <w:rFonts w:ascii="宋体" w:hAnsi="宋体" w:hint="eastAsia"/>
              </w:rPr>
              <w:t>0.00%</w:t>
            </w:r>
          </w:p>
        </w:tc>
      </w:tr>
      <w:tr w:rsidR="007766B7">
        <w:trPr>
          <w:divId w:val="837232129"/>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7766B7" w:rsidRDefault="007D10FB">
            <w:pPr>
              <w:spacing w:line="360" w:lineRule="auto"/>
              <w:jc w:val="center"/>
            </w:pPr>
            <w:r>
              <w:rPr>
                <w:rFonts w:ascii="宋体" w:hAnsi="宋体" w:hint="eastAsia"/>
              </w:rPr>
              <w:t>过去六个月</w:t>
            </w:r>
          </w:p>
        </w:tc>
        <w:tc>
          <w:tcPr>
            <w:tcW w:w="714" w:type="pct"/>
            <w:tcBorders>
              <w:top w:val="single" w:sz="4" w:space="0" w:color="auto"/>
              <w:left w:val="single" w:sz="4" w:space="0" w:color="auto"/>
              <w:bottom w:val="single" w:sz="4" w:space="0" w:color="auto"/>
              <w:right w:val="single" w:sz="4" w:space="0" w:color="auto"/>
            </w:tcBorders>
            <w:vAlign w:val="center"/>
            <w:hideMark/>
          </w:tcPr>
          <w:p w:rsidR="007766B7" w:rsidRDefault="007D10FB">
            <w:pPr>
              <w:spacing w:line="360" w:lineRule="auto"/>
              <w:jc w:val="right"/>
            </w:pPr>
            <w:r>
              <w:rPr>
                <w:rFonts w:ascii="宋体" w:hAnsi="宋体" w:hint="eastAsia"/>
              </w:rPr>
              <w:t>-4.24%</w:t>
            </w:r>
          </w:p>
        </w:tc>
        <w:tc>
          <w:tcPr>
            <w:tcW w:w="714" w:type="pct"/>
            <w:tcBorders>
              <w:top w:val="single" w:sz="4" w:space="0" w:color="auto"/>
              <w:left w:val="single" w:sz="4" w:space="0" w:color="auto"/>
              <w:bottom w:val="single" w:sz="4" w:space="0" w:color="auto"/>
              <w:right w:val="single" w:sz="4" w:space="0" w:color="auto"/>
            </w:tcBorders>
            <w:vAlign w:val="center"/>
            <w:hideMark/>
          </w:tcPr>
          <w:p w:rsidR="007766B7" w:rsidRDefault="007D10FB">
            <w:pPr>
              <w:spacing w:line="360" w:lineRule="auto"/>
              <w:jc w:val="right"/>
            </w:pPr>
            <w:r>
              <w:rPr>
                <w:rFonts w:ascii="宋体" w:hAnsi="宋体" w:hint="eastAsia"/>
              </w:rPr>
              <w:t>1.36%</w:t>
            </w:r>
          </w:p>
        </w:tc>
        <w:tc>
          <w:tcPr>
            <w:tcW w:w="714" w:type="pct"/>
            <w:tcBorders>
              <w:top w:val="single" w:sz="4" w:space="0" w:color="auto"/>
              <w:left w:val="single" w:sz="4" w:space="0" w:color="auto"/>
              <w:bottom w:val="single" w:sz="4" w:space="0" w:color="auto"/>
              <w:right w:val="single" w:sz="4" w:space="0" w:color="auto"/>
            </w:tcBorders>
            <w:vAlign w:val="center"/>
            <w:hideMark/>
          </w:tcPr>
          <w:p w:rsidR="007766B7" w:rsidRDefault="007D10FB">
            <w:pPr>
              <w:spacing w:line="360" w:lineRule="auto"/>
              <w:jc w:val="right"/>
            </w:pPr>
            <w:r>
              <w:rPr>
                <w:rFonts w:ascii="宋体" w:hAnsi="宋体" w:hint="eastAsia"/>
              </w:rPr>
              <w:t xml:space="preserve">-1.99% </w:t>
            </w:r>
          </w:p>
        </w:tc>
        <w:tc>
          <w:tcPr>
            <w:tcW w:w="714" w:type="pct"/>
            <w:tcBorders>
              <w:top w:val="single" w:sz="4" w:space="0" w:color="auto"/>
              <w:left w:val="single" w:sz="4" w:space="0" w:color="auto"/>
              <w:bottom w:val="single" w:sz="4" w:space="0" w:color="auto"/>
              <w:right w:val="single" w:sz="4" w:space="0" w:color="auto"/>
            </w:tcBorders>
            <w:vAlign w:val="center"/>
            <w:hideMark/>
          </w:tcPr>
          <w:p w:rsidR="007766B7" w:rsidRDefault="007D10FB">
            <w:pPr>
              <w:spacing w:line="360" w:lineRule="auto"/>
              <w:jc w:val="right"/>
            </w:pPr>
            <w:r>
              <w:rPr>
                <w:rFonts w:ascii="宋体" w:hAnsi="宋体" w:hint="eastAsia"/>
              </w:rPr>
              <w:t>1.45%</w:t>
            </w:r>
          </w:p>
        </w:tc>
        <w:tc>
          <w:tcPr>
            <w:tcW w:w="714" w:type="pct"/>
            <w:tcBorders>
              <w:top w:val="single" w:sz="4" w:space="0" w:color="auto"/>
              <w:left w:val="single" w:sz="4" w:space="0" w:color="auto"/>
              <w:bottom w:val="single" w:sz="4" w:space="0" w:color="auto"/>
              <w:right w:val="single" w:sz="4" w:space="0" w:color="auto"/>
            </w:tcBorders>
            <w:vAlign w:val="center"/>
            <w:hideMark/>
          </w:tcPr>
          <w:p w:rsidR="007766B7" w:rsidRDefault="007D10FB">
            <w:pPr>
              <w:spacing w:line="360" w:lineRule="auto"/>
              <w:jc w:val="right"/>
            </w:pPr>
            <w:r>
              <w:rPr>
                <w:rFonts w:ascii="宋体" w:hAnsi="宋体" w:hint="eastAsia"/>
              </w:rPr>
              <w:t>-2.25%</w:t>
            </w:r>
          </w:p>
        </w:tc>
        <w:tc>
          <w:tcPr>
            <w:tcW w:w="714" w:type="pct"/>
            <w:tcBorders>
              <w:top w:val="single" w:sz="4" w:space="0" w:color="auto"/>
              <w:left w:val="single" w:sz="4" w:space="0" w:color="auto"/>
              <w:bottom w:val="single" w:sz="4" w:space="0" w:color="auto"/>
              <w:right w:val="single" w:sz="4" w:space="0" w:color="auto"/>
            </w:tcBorders>
            <w:vAlign w:val="center"/>
            <w:hideMark/>
          </w:tcPr>
          <w:p w:rsidR="007766B7" w:rsidRDefault="007D10FB">
            <w:pPr>
              <w:spacing w:line="360" w:lineRule="auto"/>
              <w:jc w:val="right"/>
            </w:pPr>
            <w:r>
              <w:rPr>
                <w:rFonts w:ascii="宋体" w:hAnsi="宋体" w:hint="eastAsia"/>
              </w:rPr>
              <w:t>-0.09%</w:t>
            </w:r>
          </w:p>
        </w:tc>
      </w:tr>
      <w:tr w:rsidR="007766B7">
        <w:trPr>
          <w:divId w:val="837232129"/>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7766B7" w:rsidRDefault="007D10FB">
            <w:pPr>
              <w:spacing w:line="360" w:lineRule="auto"/>
              <w:jc w:val="center"/>
            </w:pPr>
            <w:r>
              <w:rPr>
                <w:rFonts w:ascii="宋体" w:hAnsi="宋体" w:hint="eastAsia"/>
              </w:rPr>
              <w:t>自基金合同生效起至今</w:t>
            </w:r>
          </w:p>
        </w:tc>
        <w:tc>
          <w:tcPr>
            <w:tcW w:w="714" w:type="pct"/>
            <w:tcBorders>
              <w:top w:val="single" w:sz="4" w:space="0" w:color="auto"/>
              <w:left w:val="single" w:sz="4" w:space="0" w:color="auto"/>
              <w:bottom w:val="single" w:sz="4" w:space="0" w:color="auto"/>
              <w:right w:val="single" w:sz="4" w:space="0" w:color="auto"/>
            </w:tcBorders>
            <w:vAlign w:val="center"/>
            <w:hideMark/>
          </w:tcPr>
          <w:p w:rsidR="007766B7" w:rsidRDefault="007D10FB">
            <w:pPr>
              <w:spacing w:line="360" w:lineRule="auto"/>
              <w:jc w:val="right"/>
            </w:pPr>
            <w:r>
              <w:rPr>
                <w:rFonts w:ascii="宋体" w:hAnsi="宋体" w:hint="eastAsia"/>
              </w:rPr>
              <w:t>-1.88%</w:t>
            </w:r>
          </w:p>
        </w:tc>
        <w:tc>
          <w:tcPr>
            <w:tcW w:w="714" w:type="pct"/>
            <w:tcBorders>
              <w:top w:val="single" w:sz="4" w:space="0" w:color="auto"/>
              <w:left w:val="single" w:sz="4" w:space="0" w:color="auto"/>
              <w:bottom w:val="single" w:sz="4" w:space="0" w:color="auto"/>
              <w:right w:val="single" w:sz="4" w:space="0" w:color="auto"/>
            </w:tcBorders>
            <w:vAlign w:val="center"/>
            <w:hideMark/>
          </w:tcPr>
          <w:p w:rsidR="007766B7" w:rsidRDefault="007D10FB">
            <w:pPr>
              <w:spacing w:line="360" w:lineRule="auto"/>
              <w:jc w:val="right"/>
            </w:pPr>
            <w:r>
              <w:rPr>
                <w:rFonts w:ascii="宋体" w:hAnsi="宋体" w:hint="eastAsia"/>
              </w:rPr>
              <w:t>1.34%</w:t>
            </w:r>
          </w:p>
        </w:tc>
        <w:tc>
          <w:tcPr>
            <w:tcW w:w="714" w:type="pct"/>
            <w:tcBorders>
              <w:top w:val="single" w:sz="4" w:space="0" w:color="auto"/>
              <w:left w:val="single" w:sz="4" w:space="0" w:color="auto"/>
              <w:bottom w:val="single" w:sz="4" w:space="0" w:color="auto"/>
              <w:right w:val="single" w:sz="4" w:space="0" w:color="auto"/>
            </w:tcBorders>
            <w:vAlign w:val="center"/>
            <w:hideMark/>
          </w:tcPr>
          <w:p w:rsidR="007766B7" w:rsidRDefault="007D10FB">
            <w:pPr>
              <w:spacing w:line="360" w:lineRule="auto"/>
              <w:jc w:val="right"/>
            </w:pPr>
            <w:r>
              <w:rPr>
                <w:rFonts w:ascii="宋体" w:hAnsi="宋体" w:hint="eastAsia"/>
              </w:rPr>
              <w:t xml:space="preserve">23.24% </w:t>
            </w:r>
          </w:p>
        </w:tc>
        <w:tc>
          <w:tcPr>
            <w:tcW w:w="714" w:type="pct"/>
            <w:tcBorders>
              <w:top w:val="single" w:sz="4" w:space="0" w:color="auto"/>
              <w:left w:val="single" w:sz="4" w:space="0" w:color="auto"/>
              <w:bottom w:val="single" w:sz="4" w:space="0" w:color="auto"/>
              <w:right w:val="single" w:sz="4" w:space="0" w:color="auto"/>
            </w:tcBorders>
            <w:vAlign w:val="center"/>
            <w:hideMark/>
          </w:tcPr>
          <w:p w:rsidR="007766B7" w:rsidRDefault="007D10FB">
            <w:pPr>
              <w:spacing w:line="360" w:lineRule="auto"/>
              <w:jc w:val="right"/>
            </w:pPr>
            <w:r>
              <w:rPr>
                <w:rFonts w:ascii="宋体" w:hAnsi="宋体" w:hint="eastAsia"/>
              </w:rPr>
              <w:t>1.78%</w:t>
            </w:r>
          </w:p>
        </w:tc>
        <w:tc>
          <w:tcPr>
            <w:tcW w:w="714" w:type="pct"/>
            <w:tcBorders>
              <w:top w:val="single" w:sz="4" w:space="0" w:color="auto"/>
              <w:left w:val="single" w:sz="4" w:space="0" w:color="auto"/>
              <w:bottom w:val="single" w:sz="4" w:space="0" w:color="auto"/>
              <w:right w:val="single" w:sz="4" w:space="0" w:color="auto"/>
            </w:tcBorders>
            <w:vAlign w:val="center"/>
            <w:hideMark/>
          </w:tcPr>
          <w:p w:rsidR="007766B7" w:rsidRDefault="007D10FB">
            <w:pPr>
              <w:spacing w:line="360" w:lineRule="auto"/>
              <w:jc w:val="right"/>
            </w:pPr>
            <w:r>
              <w:rPr>
                <w:rFonts w:ascii="宋体" w:hAnsi="宋体" w:hint="eastAsia"/>
              </w:rPr>
              <w:t>-25.12%</w:t>
            </w:r>
          </w:p>
        </w:tc>
        <w:tc>
          <w:tcPr>
            <w:tcW w:w="714" w:type="pct"/>
            <w:tcBorders>
              <w:top w:val="single" w:sz="4" w:space="0" w:color="auto"/>
              <w:left w:val="single" w:sz="4" w:space="0" w:color="auto"/>
              <w:bottom w:val="single" w:sz="4" w:space="0" w:color="auto"/>
              <w:right w:val="single" w:sz="4" w:space="0" w:color="auto"/>
            </w:tcBorders>
            <w:vAlign w:val="center"/>
            <w:hideMark/>
          </w:tcPr>
          <w:p w:rsidR="007766B7" w:rsidRDefault="007D10FB">
            <w:pPr>
              <w:spacing w:line="360" w:lineRule="auto"/>
              <w:jc w:val="right"/>
            </w:pPr>
            <w:r>
              <w:rPr>
                <w:rFonts w:ascii="宋体" w:hAnsi="宋体" w:hint="eastAsia"/>
              </w:rPr>
              <w:t>-0.44%</w:t>
            </w:r>
          </w:p>
        </w:tc>
      </w:tr>
    </w:tbl>
    <w:p w:rsidR="007766B7" w:rsidRDefault="007D10FB">
      <w:pPr>
        <w:pStyle w:val="XBRLTitle3"/>
        <w:spacing w:before="156"/>
        <w:ind w:left="0"/>
      </w:pPr>
      <w:bookmarkStart w:id="48" w:name="_Toc513386588"/>
      <w:bookmarkStart w:id="49" w:name="_Toc490050007"/>
      <w:bookmarkStart w:id="50" w:name="_Toc481075053"/>
      <w:bookmarkStart w:id="51" w:name="_Toc512519486"/>
      <w:proofErr w:type="spellStart"/>
      <w:r>
        <w:rPr>
          <w:rFonts w:hint="eastAsia"/>
        </w:rPr>
        <w:t>自基金合同生效以来基金累计净值增长率变动及其与同期业绩比较基准收益率变动的比较</w:t>
      </w:r>
      <w:bookmarkEnd w:id="48"/>
      <w:bookmarkEnd w:id="49"/>
      <w:bookmarkEnd w:id="50"/>
      <w:bookmarkEnd w:id="51"/>
      <w:proofErr w:type="spellEnd"/>
      <w:r>
        <w:rPr>
          <w:rFonts w:hint="eastAsia"/>
          <w:kern w:val="2"/>
          <w:sz w:val="21"/>
          <w:szCs w:val="20"/>
          <w:lang w:val="en-US" w:eastAsia="zh-CN"/>
        </w:rPr>
        <w:t xml:space="preserve"> </w:t>
      </w:r>
    </w:p>
    <w:p w:rsidR="007766B7" w:rsidRDefault="007D10FB">
      <w:pPr>
        <w:spacing w:line="360" w:lineRule="auto"/>
        <w:jc w:val="left"/>
        <w:divId w:val="66655566"/>
      </w:pPr>
      <w:bookmarkStart w:id="52" w:name="m07_04_07_09_tab"/>
      <w:bookmarkStart w:id="53" w:name="m07_04_07_09"/>
      <w:bookmarkStart w:id="54" w:name="m01_01"/>
      <w:r>
        <w:rPr>
          <w:rFonts w:ascii="宋体" w:hAnsi="宋体"/>
          <w:noProof/>
        </w:rPr>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7766B7" w:rsidRDefault="007D10FB">
      <w:pPr>
        <w:spacing w:line="360" w:lineRule="auto"/>
        <w:divId w:val="66655566"/>
      </w:pPr>
      <w:r>
        <w:rPr>
          <w:rFonts w:ascii="宋体" w:hAnsi="宋体" w:hint="eastAsia"/>
        </w:rPr>
        <w:t>注：</w:t>
      </w:r>
      <w:r>
        <w:rPr>
          <w:rFonts w:ascii="宋体" w:hAnsi="宋体" w:hint="eastAsia"/>
          <w:lang w:eastAsia="zh-Hans"/>
        </w:rPr>
        <w:t>本基金合同生效日为2024年9月24日，截至本报告期末本基金合同生效未满一年。</w:t>
      </w:r>
      <w:r>
        <w:rPr>
          <w:rFonts w:ascii="宋体" w:hAnsi="宋体" w:hint="eastAsia"/>
          <w:lang w:eastAsia="zh-Hans"/>
        </w:rPr>
        <w:br/>
        <w:t>本基金建仓期为本基金合同生效日起 6 个月，建仓期结束时资产配置比例符合本基金基金合同规定。</w:t>
      </w:r>
      <w:r>
        <w:rPr>
          <w:rFonts w:ascii="宋体" w:hAnsi="宋体" w:hint="eastAsia"/>
          <w:kern w:val="0"/>
          <w:lang w:eastAsia="zh-Hans"/>
        </w:rPr>
        <w:t xml:space="preserve"> </w:t>
      </w:r>
      <w:bookmarkEnd w:id="52"/>
      <w:bookmarkEnd w:id="53"/>
    </w:p>
    <w:p w:rsidR="007766B7" w:rsidRDefault="007D10FB">
      <w:pPr>
        <w:pStyle w:val="XBRLTitle1"/>
        <w:spacing w:before="156" w:line="360" w:lineRule="auto"/>
        <w:ind w:left="425"/>
      </w:pPr>
      <w:bookmarkStart w:id="55" w:name="_Toc513386589"/>
      <w:bookmarkStart w:id="56" w:name="_Toc512519487"/>
      <w:bookmarkStart w:id="57" w:name="_Toc490050008"/>
      <w:bookmarkStart w:id="58" w:name="_Toc438646458"/>
      <w:bookmarkStart w:id="59" w:name="_Toc481075054"/>
      <w:proofErr w:type="spellStart"/>
      <w:r>
        <w:rPr>
          <w:rFonts w:hAnsi="宋体" w:hint="eastAsia"/>
        </w:rPr>
        <w:t>管理人报告</w:t>
      </w:r>
      <w:bookmarkEnd w:id="55"/>
      <w:bookmarkEnd w:id="56"/>
      <w:bookmarkEnd w:id="57"/>
      <w:bookmarkEnd w:id="58"/>
      <w:bookmarkEnd w:id="59"/>
      <w:proofErr w:type="spellEnd"/>
      <w:r>
        <w:rPr>
          <w:rFonts w:hAnsi="宋体" w:hint="eastAsia"/>
        </w:rPr>
        <w:t xml:space="preserve"> </w:t>
      </w:r>
    </w:p>
    <w:p w:rsidR="007766B7" w:rsidRDefault="007D10FB">
      <w:pPr>
        <w:pStyle w:val="XBRLTitle2"/>
        <w:spacing w:before="156" w:line="360" w:lineRule="auto"/>
        <w:ind w:left="454"/>
      </w:pPr>
      <w:bookmarkStart w:id="60" w:name="_Toc513386590"/>
      <w:bookmarkStart w:id="61" w:name="_Toc512519488"/>
      <w:bookmarkStart w:id="62" w:name="_Toc490050009"/>
      <w:bookmarkStart w:id="63" w:name="_Toc438646459"/>
      <w:bookmarkStart w:id="64" w:name="_Toc481075055"/>
      <w:proofErr w:type="spellStart"/>
      <w:r>
        <w:rPr>
          <w:rFonts w:hAnsi="宋体" w:hint="eastAsia"/>
        </w:rPr>
        <w:t>基金经理（或基金经理小组）简介</w:t>
      </w:r>
      <w:bookmarkEnd w:id="60"/>
      <w:bookmarkEnd w:id="61"/>
      <w:bookmarkEnd w:id="62"/>
      <w:bookmarkEnd w:id="63"/>
      <w:bookmarkEnd w:id="64"/>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7766B7">
        <w:trPr>
          <w:divId w:val="624773279"/>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66B7" w:rsidRDefault="007D10FB">
            <w:pPr>
              <w:snapToGrid w:val="0"/>
              <w:jc w:val="center"/>
            </w:pPr>
            <w:bookmarkStart w:id="65" w:name="m04_02"/>
            <w:bookmarkEnd w:id="65"/>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66B7" w:rsidRDefault="007D10FB">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66B7" w:rsidRDefault="007D10FB">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66B7" w:rsidRDefault="007D10FB">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66B7" w:rsidRDefault="007D10FB">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7766B7">
        <w:trPr>
          <w:divId w:val="624773279"/>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66B7" w:rsidRDefault="007766B7">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66B7" w:rsidRDefault="007766B7">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66B7" w:rsidRDefault="007D10FB">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66B7" w:rsidRDefault="007D10FB">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66B7" w:rsidRDefault="007766B7">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66B7" w:rsidRDefault="007766B7">
            <w:pPr>
              <w:widowControl/>
              <w:jc w:val="left"/>
            </w:pPr>
          </w:p>
        </w:tc>
      </w:tr>
      <w:tr w:rsidR="007766B7">
        <w:trPr>
          <w:divId w:val="624773279"/>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韩秀一</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2024年9月24日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left"/>
            </w:pPr>
            <w:r>
              <w:rPr>
                <w:rFonts w:ascii="宋体" w:hAnsi="宋体" w:hint="eastAsia"/>
                <w:szCs w:val="24"/>
                <w:lang w:eastAsia="zh-Hans"/>
              </w:rPr>
              <w:t>韩秀一先生曾任中国国际金融股份有限公司资产管理部分析员。自2020年7月</w:t>
            </w:r>
            <w:r>
              <w:rPr>
                <w:rFonts w:ascii="宋体" w:hAnsi="宋体" w:hint="eastAsia"/>
                <w:szCs w:val="24"/>
                <w:lang w:eastAsia="zh-Hans"/>
              </w:rPr>
              <w:lastRenderedPageBreak/>
              <w:t>加入摩根基金管理(中国)有限公司(原上投摩根基金管理有限公司)，历任研究员、研究员兼投资经理助理，现任指数及量化投资部基金经理。</w:t>
            </w:r>
          </w:p>
        </w:tc>
      </w:tr>
    </w:tbl>
    <w:p w:rsidR="007766B7" w:rsidRDefault="007D10FB">
      <w:pPr>
        <w:wordWrap w:val="0"/>
        <w:spacing w:line="360" w:lineRule="auto"/>
        <w:jc w:val="left"/>
      </w:pPr>
      <w:r>
        <w:rPr>
          <w:rFonts w:ascii="宋体" w:hAnsi="宋体" w:hint="eastAsia"/>
          <w:szCs w:val="21"/>
        </w:rPr>
        <w:lastRenderedPageBreak/>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7766B7" w:rsidRDefault="007D10FB">
      <w:pPr>
        <w:pStyle w:val="XBRLTitle2"/>
        <w:spacing w:before="156" w:line="360" w:lineRule="auto"/>
        <w:ind w:left="454"/>
      </w:pPr>
      <w:bookmarkStart w:id="66" w:name="_Toc513386591"/>
      <w:bookmarkStart w:id="67" w:name="_Toc512519489"/>
      <w:bookmarkStart w:id="68" w:name="_Toc490050010"/>
      <w:bookmarkStart w:id="69" w:name="_Toc438646460"/>
      <w:bookmarkStart w:id="70" w:name="_Toc481075056"/>
      <w:bookmarkStart w:id="71" w:name="m402"/>
      <w:proofErr w:type="spellStart"/>
      <w:r>
        <w:rPr>
          <w:rFonts w:hAnsi="宋体" w:hint="eastAsia"/>
        </w:rPr>
        <w:t>管理人对报告期内本基金运作遵规守信情况的说明</w:t>
      </w:r>
      <w:bookmarkEnd w:id="66"/>
      <w:bookmarkEnd w:id="67"/>
      <w:bookmarkEnd w:id="68"/>
      <w:bookmarkEnd w:id="69"/>
      <w:bookmarkEnd w:id="70"/>
      <w:proofErr w:type="spellEnd"/>
      <w:r>
        <w:rPr>
          <w:rFonts w:hAnsi="宋体" w:hint="eastAsia"/>
        </w:rPr>
        <w:t xml:space="preserve"> </w:t>
      </w:r>
    </w:p>
    <w:p w:rsidR="007766B7" w:rsidRDefault="007D10FB">
      <w:pPr>
        <w:spacing w:line="360" w:lineRule="auto"/>
        <w:ind w:firstLineChars="200" w:firstLine="420"/>
        <w:jc w:val="left"/>
      </w:pPr>
      <w:bookmarkStart w:id="72" w:name="m403"/>
      <w:bookmarkEnd w:id="71"/>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rsidR="007766B7" w:rsidRDefault="007D10FB">
      <w:pPr>
        <w:pStyle w:val="XBRLTitle2"/>
        <w:spacing w:before="156" w:line="360" w:lineRule="auto"/>
        <w:ind w:left="454"/>
      </w:pPr>
      <w:bookmarkStart w:id="73" w:name="_Toc513386592"/>
      <w:bookmarkStart w:id="74" w:name="_Toc512519490"/>
      <w:bookmarkStart w:id="75" w:name="_Toc490050011"/>
      <w:bookmarkStart w:id="76" w:name="_Toc438646462"/>
      <w:bookmarkStart w:id="77" w:name="_Toc481075057"/>
      <w:bookmarkEnd w:id="72"/>
      <w:proofErr w:type="spellStart"/>
      <w:r>
        <w:rPr>
          <w:rFonts w:hAnsi="宋体" w:hint="eastAsia"/>
        </w:rPr>
        <w:t>公平交易专项说明</w:t>
      </w:r>
      <w:bookmarkEnd w:id="73"/>
      <w:bookmarkEnd w:id="74"/>
      <w:bookmarkEnd w:id="75"/>
      <w:bookmarkEnd w:id="76"/>
      <w:bookmarkEnd w:id="77"/>
      <w:proofErr w:type="spellEnd"/>
      <w:r>
        <w:rPr>
          <w:rFonts w:hAnsi="宋体" w:hint="eastAsia"/>
        </w:rPr>
        <w:t xml:space="preserve"> </w:t>
      </w:r>
    </w:p>
    <w:p w:rsidR="007766B7" w:rsidRDefault="007D10FB">
      <w:pPr>
        <w:pStyle w:val="XBRLTitle3"/>
        <w:spacing w:before="156"/>
        <w:ind w:left="0"/>
      </w:pPr>
      <w:bookmarkStart w:id="78" w:name="_Toc513386593"/>
      <w:bookmarkStart w:id="79" w:name="_Toc512519491"/>
      <w:bookmarkStart w:id="80" w:name="_Toc490050012"/>
      <w:bookmarkStart w:id="81" w:name="_Toc481075058"/>
      <w:bookmarkStart w:id="82" w:name="m404_01_0570"/>
      <w:proofErr w:type="spellStart"/>
      <w:r>
        <w:rPr>
          <w:rFonts w:hint="eastAsia"/>
        </w:rPr>
        <w:t>公平交易制度的执行情况</w:t>
      </w:r>
      <w:bookmarkEnd w:id="78"/>
      <w:bookmarkEnd w:id="79"/>
      <w:bookmarkEnd w:id="80"/>
      <w:bookmarkEnd w:id="81"/>
      <w:proofErr w:type="spellEnd"/>
    </w:p>
    <w:p w:rsidR="007766B7" w:rsidRDefault="007D10FB">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rsidR="007766B7" w:rsidRDefault="007D10FB">
      <w:pPr>
        <w:pStyle w:val="XBRLTitle3"/>
        <w:spacing w:before="156"/>
        <w:ind w:left="0"/>
      </w:pPr>
      <w:bookmarkStart w:id="83" w:name="_Toc513386594"/>
      <w:bookmarkStart w:id="84" w:name="_Toc512519492"/>
      <w:bookmarkStart w:id="85" w:name="_Toc490050013"/>
      <w:bookmarkStart w:id="86" w:name="_Toc481075059"/>
      <w:bookmarkStart w:id="87" w:name="m404_01_0578"/>
      <w:bookmarkEnd w:id="82"/>
      <w:proofErr w:type="spellStart"/>
      <w:r>
        <w:rPr>
          <w:rFonts w:hint="eastAsia"/>
        </w:rPr>
        <w:t>异常交易行为的专项说明</w:t>
      </w:r>
      <w:bookmarkEnd w:id="83"/>
      <w:bookmarkEnd w:id="84"/>
      <w:bookmarkEnd w:id="85"/>
      <w:bookmarkEnd w:id="86"/>
      <w:proofErr w:type="spellEnd"/>
    </w:p>
    <w:p w:rsidR="007766B7" w:rsidRDefault="007D10FB">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w:t>
      </w:r>
      <w:r>
        <w:rPr>
          <w:rFonts w:ascii="宋体" w:hAnsi="宋体" w:cs="宋体" w:hint="eastAsia"/>
          <w:color w:val="000000"/>
          <w:kern w:val="0"/>
        </w:rPr>
        <w:lastRenderedPageBreak/>
        <w:t>交量的5%的情形：无。</w:t>
      </w:r>
    </w:p>
    <w:p w:rsidR="007766B7" w:rsidRDefault="007D10FB">
      <w:pPr>
        <w:pStyle w:val="XBRLTitle2"/>
        <w:spacing w:before="156" w:line="360" w:lineRule="auto"/>
        <w:ind w:left="454"/>
      </w:pPr>
      <w:bookmarkStart w:id="88" w:name="_Toc513386595"/>
      <w:bookmarkStart w:id="89" w:name="_Toc512519493"/>
      <w:bookmarkStart w:id="90" w:name="_Toc490050014"/>
      <w:bookmarkStart w:id="91" w:name="_Toc481075061"/>
      <w:bookmarkStart w:id="92" w:name="m405_01_2550"/>
      <w:bookmarkEnd w:id="87"/>
      <w:proofErr w:type="spellStart"/>
      <w:r>
        <w:rPr>
          <w:rFonts w:hAnsi="宋体" w:hint="eastAsia"/>
        </w:rPr>
        <w:t>报告期内基金的投资策略和运作分析</w:t>
      </w:r>
      <w:bookmarkEnd w:id="88"/>
      <w:bookmarkEnd w:id="89"/>
      <w:bookmarkEnd w:id="90"/>
      <w:bookmarkEnd w:id="91"/>
      <w:proofErr w:type="spellEnd"/>
      <w:r>
        <w:rPr>
          <w:rFonts w:hAnsi="宋体" w:hint="eastAsia"/>
        </w:rPr>
        <w:t xml:space="preserve"> </w:t>
      </w:r>
    </w:p>
    <w:p w:rsidR="007766B7" w:rsidRDefault="007D10FB">
      <w:pPr>
        <w:spacing w:line="360" w:lineRule="auto"/>
        <w:ind w:firstLineChars="200" w:firstLine="420"/>
        <w:jc w:val="left"/>
      </w:pPr>
      <w:r>
        <w:rPr>
          <w:rFonts w:ascii="宋体" w:hAnsi="宋体" w:cs="宋体" w:hint="eastAsia"/>
          <w:color w:val="000000"/>
          <w:kern w:val="0"/>
        </w:rPr>
        <w:t>截至2025年3月31日，今年中证A500指数小幅下跌0.37%，同期上证50下跌0.71%，沪深300下跌1.21%。我们回顾今年的市场行情，今年以来是一个明显的结构化行情。市场从去年12月13日到今年年初大幅下跌，</w:t>
      </w:r>
      <w:proofErr w:type="gramStart"/>
      <w:r>
        <w:rPr>
          <w:rFonts w:ascii="宋体" w:hAnsi="宋体" w:cs="宋体" w:hint="eastAsia"/>
          <w:color w:val="000000"/>
          <w:kern w:val="0"/>
        </w:rPr>
        <w:t>各宽基指数位</w:t>
      </w:r>
      <w:proofErr w:type="gramEnd"/>
      <w:r>
        <w:rPr>
          <w:rFonts w:ascii="宋体" w:hAnsi="宋体" w:cs="宋体" w:hint="eastAsia"/>
          <w:color w:val="000000"/>
          <w:kern w:val="0"/>
        </w:rPr>
        <w:t>于去年10月以来震荡区间下沿。</w:t>
      </w:r>
      <w:r>
        <w:rPr>
          <w:rFonts w:ascii="宋体" w:hAnsi="宋体" w:cs="宋体" w:hint="eastAsia"/>
          <w:color w:val="000000"/>
          <w:kern w:val="0"/>
        </w:rPr>
        <w:br/>
        <w:t xml:space="preserve">　　</w:t>
      </w:r>
      <w:proofErr w:type="spellStart"/>
      <w:r>
        <w:rPr>
          <w:rFonts w:ascii="宋体" w:hAnsi="宋体" w:cs="宋体" w:hint="eastAsia"/>
          <w:color w:val="000000"/>
          <w:kern w:val="0"/>
        </w:rPr>
        <w:t>DeepSeek</w:t>
      </w:r>
      <w:proofErr w:type="spellEnd"/>
      <w:r>
        <w:rPr>
          <w:rFonts w:ascii="宋体" w:hAnsi="宋体" w:cs="宋体" w:hint="eastAsia"/>
          <w:color w:val="000000"/>
          <w:kern w:val="0"/>
        </w:rPr>
        <w:t>的出现推动了春节以来的行情，科技强于消费，成长强于价值，港股强于A股。而由于风格的切换，市场整体倾向成长风格的股票。中证A500指数中新质生产力含量相对沪深300等大盘指数更高，有望更受益于成长风格。中证A500指数成分股中</w:t>
      </w:r>
      <w:proofErr w:type="spellStart"/>
      <w:r>
        <w:rPr>
          <w:rFonts w:ascii="宋体" w:hAnsi="宋体" w:cs="宋体" w:hint="eastAsia"/>
          <w:color w:val="000000"/>
          <w:kern w:val="0"/>
        </w:rPr>
        <w:t>Deepseek</w:t>
      </w:r>
      <w:proofErr w:type="spellEnd"/>
      <w:r>
        <w:rPr>
          <w:rFonts w:ascii="宋体" w:hAnsi="宋体" w:cs="宋体" w:hint="eastAsia"/>
          <w:color w:val="000000"/>
          <w:kern w:val="0"/>
        </w:rPr>
        <w:t>概念、机器人概念、智能驾驶概念板块的权重都显著高于沪深300。</w:t>
      </w:r>
      <w:r>
        <w:rPr>
          <w:rFonts w:ascii="宋体" w:hAnsi="宋体" w:cs="宋体" w:hint="eastAsia"/>
          <w:color w:val="000000"/>
          <w:kern w:val="0"/>
        </w:rPr>
        <w:br/>
        <w:t xml:space="preserve">　　3月以来，A股呈现“先抑后扬”态势，沪指于3月14日突破3400点，创年内新高，风格趋于均衡，大盘相对小盘、价值相对成长修复，前期领涨的科技板块出现回调，资金转向消费、红利等低估值蓝筹。中共中央办公厅、国务院办公厅印发的</w:t>
      </w:r>
      <w:proofErr w:type="gramStart"/>
      <w:r>
        <w:rPr>
          <w:rFonts w:ascii="宋体" w:hAnsi="宋体" w:cs="宋体" w:hint="eastAsia"/>
          <w:color w:val="000000"/>
          <w:kern w:val="0"/>
        </w:rPr>
        <w:t>的</w:t>
      </w:r>
      <w:proofErr w:type="gramEnd"/>
      <w:r>
        <w:rPr>
          <w:rFonts w:ascii="宋体" w:hAnsi="宋体" w:cs="宋体" w:hint="eastAsia"/>
          <w:color w:val="000000"/>
          <w:kern w:val="0"/>
        </w:rPr>
        <w:t>《提振消费专项行动方案》首次在促消费文件中强调稳股市、稳楼市，并提出相应举措，努力让老百姓的消费底气更足、预期更稳、信心更强。中证A500指数将会受益于诸多提</w:t>
      </w:r>
      <w:proofErr w:type="gramStart"/>
      <w:r>
        <w:rPr>
          <w:rFonts w:ascii="宋体" w:hAnsi="宋体" w:cs="宋体" w:hint="eastAsia"/>
          <w:color w:val="000000"/>
          <w:kern w:val="0"/>
        </w:rPr>
        <w:t>振消费</w:t>
      </w:r>
      <w:proofErr w:type="gramEnd"/>
      <w:r>
        <w:rPr>
          <w:rFonts w:ascii="宋体" w:hAnsi="宋体" w:cs="宋体" w:hint="eastAsia"/>
          <w:color w:val="000000"/>
          <w:kern w:val="0"/>
        </w:rPr>
        <w:t>的政策，有望率先看到</w:t>
      </w:r>
      <w:proofErr w:type="gramStart"/>
      <w:r>
        <w:rPr>
          <w:rFonts w:ascii="宋体" w:hAnsi="宋体" w:cs="宋体" w:hint="eastAsia"/>
          <w:color w:val="000000"/>
          <w:kern w:val="0"/>
        </w:rPr>
        <w:t>利润端企稳</w:t>
      </w:r>
      <w:proofErr w:type="gramEnd"/>
      <w:r>
        <w:rPr>
          <w:rFonts w:ascii="宋体" w:hAnsi="宋体" w:cs="宋体" w:hint="eastAsia"/>
          <w:color w:val="000000"/>
          <w:kern w:val="0"/>
        </w:rPr>
        <w:t>反弹。截止到2025年一季度末，中证A500 指数最新估值回落到14.4倍左右，股息率2.55%附近，仍然处于合理区间。本基金采用被动投资的方法跟踪标的指数，争取跟踪误差保持在合理范围内。</w:t>
      </w:r>
      <w:r>
        <w:rPr>
          <w:rFonts w:ascii="宋体" w:hAnsi="宋体" w:cs="宋体" w:hint="eastAsia"/>
          <w:color w:val="000000"/>
          <w:kern w:val="0"/>
        </w:rPr>
        <w:br/>
        <w:t xml:space="preserve">　　展望后市，随着全国两会后各项政策逐步落地，经济恢复动能逐步增强，</w:t>
      </w:r>
      <w:proofErr w:type="gramStart"/>
      <w:r>
        <w:rPr>
          <w:rFonts w:ascii="宋体" w:hAnsi="宋体" w:cs="宋体" w:hint="eastAsia"/>
          <w:color w:val="000000"/>
          <w:kern w:val="0"/>
        </w:rPr>
        <w:t>蓝筹类股票</w:t>
      </w:r>
      <w:proofErr w:type="gramEnd"/>
      <w:r>
        <w:rPr>
          <w:rFonts w:ascii="宋体" w:hAnsi="宋体" w:cs="宋体" w:hint="eastAsia"/>
          <w:color w:val="000000"/>
          <w:kern w:val="0"/>
        </w:rPr>
        <w:t>有望走出震荡上行的行情。2025年1月22日，为了增加长期资本参与股市，中央金融办、证监会等六部门印发《关于推动中长期资金入市工作的实施方案》，方案明确提出了两项量化目标，保费的30%投于股市，公募持仓在未来三年内每年至少增长10%。这部分政策将利好核心资产的估值提升。在短期增量政策真空、政策落地效果逐步兑现的宏观环境下，核心资产的短期相对价值提升。</w:t>
      </w:r>
      <w:r>
        <w:rPr>
          <w:rFonts w:ascii="宋体" w:hAnsi="宋体" w:cs="宋体" w:hint="eastAsia"/>
          <w:color w:val="000000"/>
          <w:kern w:val="0"/>
        </w:rPr>
        <w:br/>
        <w:t xml:space="preserve">　　我们认为有望看到2025年核心资产率先在</w:t>
      </w:r>
      <w:proofErr w:type="gramStart"/>
      <w:r>
        <w:rPr>
          <w:rFonts w:ascii="宋体" w:hAnsi="宋体" w:cs="宋体" w:hint="eastAsia"/>
          <w:color w:val="000000"/>
          <w:kern w:val="0"/>
        </w:rPr>
        <w:t>利润端企稳</w:t>
      </w:r>
      <w:proofErr w:type="gramEnd"/>
      <w:r>
        <w:rPr>
          <w:rFonts w:ascii="宋体" w:hAnsi="宋体" w:cs="宋体" w:hint="eastAsia"/>
          <w:color w:val="000000"/>
          <w:kern w:val="0"/>
        </w:rPr>
        <w:t>反弹，加之中证A500指数目前估值相当有竞争力。中证A500指数作为兼具均衡和代表性</w:t>
      </w:r>
      <w:proofErr w:type="gramStart"/>
      <w:r>
        <w:rPr>
          <w:rFonts w:ascii="宋体" w:hAnsi="宋体" w:cs="宋体" w:hint="eastAsia"/>
          <w:color w:val="000000"/>
          <w:kern w:val="0"/>
        </w:rPr>
        <w:t>的宽基指数</w:t>
      </w:r>
      <w:proofErr w:type="gramEnd"/>
      <w:r>
        <w:rPr>
          <w:rFonts w:ascii="宋体" w:hAnsi="宋体" w:cs="宋体" w:hint="eastAsia"/>
          <w:color w:val="000000"/>
          <w:kern w:val="0"/>
        </w:rPr>
        <w:t>，未来有望看到主动权益基金基准向中证A500转移。截至本季度末，中证A500指数当前估值处于近10年中位数附近，显著</w:t>
      </w:r>
      <w:proofErr w:type="gramStart"/>
      <w:r>
        <w:rPr>
          <w:rFonts w:ascii="宋体" w:hAnsi="宋体" w:cs="宋体" w:hint="eastAsia"/>
          <w:color w:val="000000"/>
          <w:kern w:val="0"/>
        </w:rPr>
        <w:t>低于科创</w:t>
      </w:r>
      <w:proofErr w:type="gramEnd"/>
      <w:r>
        <w:rPr>
          <w:rFonts w:ascii="宋体" w:hAnsi="宋体" w:cs="宋体" w:hint="eastAsia"/>
          <w:color w:val="000000"/>
          <w:kern w:val="0"/>
        </w:rPr>
        <w:t>50、中证1000、中证2000等指数。</w:t>
      </w:r>
      <w:r>
        <w:rPr>
          <w:rFonts w:ascii="宋体" w:hAnsi="宋体" w:cs="宋体" w:hint="eastAsia"/>
          <w:color w:val="000000"/>
          <w:kern w:val="0"/>
        </w:rPr>
        <w:br/>
        <w:t xml:space="preserve">　　海外方面美国经济放缓，同时</w:t>
      </w:r>
      <w:proofErr w:type="spellStart"/>
      <w:r>
        <w:rPr>
          <w:rFonts w:ascii="宋体" w:hAnsi="宋体" w:cs="宋体" w:hint="eastAsia"/>
          <w:color w:val="000000"/>
          <w:kern w:val="0"/>
        </w:rPr>
        <w:t>DeepSeek</w:t>
      </w:r>
      <w:proofErr w:type="spellEnd"/>
      <w:r>
        <w:rPr>
          <w:rFonts w:ascii="宋体" w:hAnsi="宋体" w:cs="宋体" w:hint="eastAsia"/>
          <w:color w:val="000000"/>
          <w:kern w:val="0"/>
        </w:rPr>
        <w:t>催动美国例外主义破损，资金有望从估值较高的美股流向相对低估的非美市场，配置</w:t>
      </w:r>
      <w:proofErr w:type="gramStart"/>
      <w:r>
        <w:rPr>
          <w:rFonts w:ascii="宋体" w:hAnsi="宋体" w:cs="宋体" w:hint="eastAsia"/>
          <w:color w:val="000000"/>
          <w:kern w:val="0"/>
        </w:rPr>
        <w:t>型外资</w:t>
      </w:r>
      <w:proofErr w:type="gramEnd"/>
      <w:r>
        <w:rPr>
          <w:rFonts w:ascii="宋体" w:hAnsi="宋体" w:cs="宋体" w:hint="eastAsia"/>
          <w:color w:val="000000"/>
          <w:kern w:val="0"/>
        </w:rPr>
        <w:t>转向净流入。海外投资者普遍对中国经济和消费的逐步复苏持更积极态度，中国核心资产的估值仍然在全球范围内相对低估，消费政策预期等催化下配</w:t>
      </w:r>
      <w:r>
        <w:rPr>
          <w:rFonts w:ascii="宋体" w:hAnsi="宋体" w:cs="宋体" w:hint="eastAsia"/>
          <w:color w:val="000000"/>
          <w:kern w:val="0"/>
        </w:rPr>
        <w:lastRenderedPageBreak/>
        <w:t>置</w:t>
      </w:r>
      <w:proofErr w:type="gramStart"/>
      <w:r>
        <w:rPr>
          <w:rFonts w:ascii="宋体" w:hAnsi="宋体" w:cs="宋体" w:hint="eastAsia"/>
          <w:color w:val="000000"/>
          <w:kern w:val="0"/>
        </w:rPr>
        <w:t>型海外</w:t>
      </w:r>
      <w:proofErr w:type="gramEnd"/>
      <w:r>
        <w:rPr>
          <w:rFonts w:ascii="宋体" w:hAnsi="宋体" w:cs="宋体" w:hint="eastAsia"/>
          <w:color w:val="000000"/>
          <w:kern w:val="0"/>
        </w:rPr>
        <w:t>资金有望进一步回流中国核心资产。</w:t>
      </w:r>
    </w:p>
    <w:p w:rsidR="007766B7" w:rsidRDefault="007D10FB">
      <w:pPr>
        <w:pStyle w:val="XBRLTitle2"/>
        <w:spacing w:before="156" w:line="360" w:lineRule="auto"/>
        <w:ind w:left="454"/>
      </w:pPr>
      <w:bookmarkStart w:id="93" w:name="_Toc513386596"/>
      <w:bookmarkStart w:id="94" w:name="_Toc512519494"/>
      <w:bookmarkStart w:id="95" w:name="_Toc481075062"/>
      <w:bookmarkStart w:id="96" w:name="_Toc490050015"/>
      <w:bookmarkStart w:id="97" w:name="m405_01_2549"/>
      <w:bookmarkEnd w:id="92"/>
      <w:proofErr w:type="spellStart"/>
      <w:r>
        <w:rPr>
          <w:rFonts w:hAnsi="宋体" w:hint="eastAsia"/>
        </w:rPr>
        <w:t>报告期内基金的业绩表现</w:t>
      </w:r>
      <w:bookmarkEnd w:id="93"/>
      <w:bookmarkEnd w:id="94"/>
      <w:bookmarkEnd w:id="95"/>
      <w:bookmarkEnd w:id="96"/>
      <w:proofErr w:type="spellEnd"/>
      <w:r>
        <w:rPr>
          <w:rFonts w:hAnsi="宋体" w:hint="eastAsia"/>
        </w:rPr>
        <w:t xml:space="preserve"> </w:t>
      </w:r>
      <w:bookmarkEnd w:id="97"/>
    </w:p>
    <w:p w:rsidR="007766B7" w:rsidRDefault="007D10FB">
      <w:pPr>
        <w:spacing w:line="360" w:lineRule="auto"/>
        <w:ind w:firstLineChars="200" w:firstLine="420"/>
        <w:divId w:val="534544290"/>
      </w:pPr>
      <w:r>
        <w:rPr>
          <w:rFonts w:ascii="宋体" w:hAnsi="宋体" w:hint="eastAsia"/>
        </w:rPr>
        <w:t>本报告期摩根中证A500ETF份额净值增长率为:-0.29%，同期业绩比较基准收益率为:-0.37%。</w:t>
      </w:r>
    </w:p>
    <w:p w:rsidR="007766B7" w:rsidRDefault="007D10FB">
      <w:pPr>
        <w:pStyle w:val="XBRLTitle2"/>
        <w:spacing w:before="156" w:line="360" w:lineRule="auto"/>
        <w:ind w:left="454"/>
      </w:pPr>
      <w:bookmarkStart w:id="98" w:name="m406"/>
      <w:bookmarkStart w:id="99" w:name="_Toc513386597"/>
      <w:bookmarkStart w:id="100" w:name="_Toc512519495"/>
      <w:bookmarkStart w:id="101" w:name="_Toc438646465"/>
      <w:bookmarkStart w:id="102" w:name="_Toc481075063"/>
      <w:bookmarkStart w:id="103" w:name="_Toc490050016"/>
      <w:bookmarkStart w:id="104" w:name="m407"/>
      <w:bookmarkEnd w:id="98"/>
      <w:proofErr w:type="spellStart"/>
      <w:r>
        <w:rPr>
          <w:rFonts w:hAnsi="宋体" w:hint="eastAsia"/>
        </w:rPr>
        <w:t>报告期内基金持有人数或基金资产净值预警说明</w:t>
      </w:r>
      <w:bookmarkEnd w:id="99"/>
      <w:bookmarkEnd w:id="100"/>
      <w:bookmarkEnd w:id="101"/>
      <w:bookmarkEnd w:id="102"/>
      <w:bookmarkEnd w:id="103"/>
      <w:proofErr w:type="spellEnd"/>
      <w:r>
        <w:rPr>
          <w:rFonts w:hAnsi="宋体" w:hint="eastAsia"/>
        </w:rPr>
        <w:t xml:space="preserve"> </w:t>
      </w:r>
    </w:p>
    <w:p w:rsidR="007766B7" w:rsidRDefault="007D10FB">
      <w:pPr>
        <w:spacing w:line="360" w:lineRule="auto"/>
        <w:ind w:firstLineChars="200" w:firstLine="420"/>
        <w:jc w:val="left"/>
      </w:pPr>
      <w:r>
        <w:rPr>
          <w:rFonts w:ascii="宋体" w:hAnsi="宋体" w:hint="eastAsia"/>
        </w:rPr>
        <w:t>无。</w:t>
      </w:r>
    </w:p>
    <w:p w:rsidR="007766B7" w:rsidRDefault="007D10FB">
      <w:pPr>
        <w:pStyle w:val="XBRLTitle1"/>
        <w:spacing w:before="156" w:line="360" w:lineRule="auto"/>
        <w:ind w:left="425"/>
      </w:pPr>
      <w:bookmarkStart w:id="105" w:name="_Toc513386598"/>
      <w:bookmarkStart w:id="106" w:name="_Toc490050017"/>
      <w:bookmarkStart w:id="107" w:name="_Toc438646466"/>
      <w:bookmarkStart w:id="108" w:name="_Toc481075064"/>
      <w:bookmarkStart w:id="109" w:name="_Toc512519496"/>
      <w:bookmarkEnd w:id="104"/>
      <w:proofErr w:type="spellStart"/>
      <w:r>
        <w:rPr>
          <w:rFonts w:hAnsi="宋体" w:hint="eastAsia"/>
        </w:rPr>
        <w:t>投资组合报告</w:t>
      </w:r>
      <w:bookmarkEnd w:id="105"/>
      <w:bookmarkEnd w:id="106"/>
      <w:bookmarkEnd w:id="107"/>
      <w:bookmarkEnd w:id="108"/>
      <w:bookmarkEnd w:id="109"/>
      <w:proofErr w:type="spellEnd"/>
      <w:r>
        <w:rPr>
          <w:rFonts w:hAnsi="宋体" w:hint="eastAsia"/>
        </w:rPr>
        <w:t xml:space="preserve"> </w:t>
      </w:r>
    </w:p>
    <w:p w:rsidR="007766B7" w:rsidRDefault="007D10FB">
      <w:pPr>
        <w:pStyle w:val="XBRLTitle2"/>
        <w:spacing w:before="156" w:line="360" w:lineRule="auto"/>
        <w:ind w:left="454"/>
      </w:pPr>
      <w:bookmarkStart w:id="110" w:name="_Toc513386599"/>
      <w:bookmarkStart w:id="111" w:name="_Toc512519497"/>
      <w:bookmarkStart w:id="112" w:name="_Toc490050018"/>
      <w:bookmarkStart w:id="113" w:name="_Toc438646467"/>
      <w:bookmarkStart w:id="114" w:name="_Toc481075065"/>
      <w:bookmarkStart w:id="115" w:name="m501"/>
      <w:proofErr w:type="spellStart"/>
      <w:r>
        <w:rPr>
          <w:rFonts w:hAnsi="宋体" w:hint="eastAsia"/>
        </w:rPr>
        <w:t>报告期末基金资产组合情况</w:t>
      </w:r>
      <w:bookmarkEnd w:id="110"/>
      <w:bookmarkEnd w:id="111"/>
      <w:bookmarkEnd w:id="112"/>
      <w:bookmarkEnd w:id="113"/>
      <w:bookmarkEnd w:id="114"/>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7766B7">
        <w:trPr>
          <w:divId w:val="1480803010"/>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766B7" w:rsidRDefault="007D10FB">
            <w:pPr>
              <w:jc w:val="center"/>
            </w:pPr>
            <w:bookmarkStart w:id="116" w:name="m08QD_01_tab"/>
            <w:bookmarkEnd w:id="116"/>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7766B7" w:rsidRDefault="007D10FB">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7766B7" w:rsidRDefault="007D10FB">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7766B7" w:rsidRDefault="007D10FB">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7766B7">
        <w:trPr>
          <w:divId w:val="148080301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7766B7" w:rsidRDefault="007D10FB">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9,188,217,459.67</w:t>
            </w:r>
          </w:p>
        </w:tc>
        <w:tc>
          <w:tcPr>
            <w:tcW w:w="1333" w:type="pct"/>
            <w:tcBorders>
              <w:top w:val="single" w:sz="4" w:space="0" w:color="auto"/>
              <w:left w:val="nil"/>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99.70</w:t>
            </w:r>
          </w:p>
        </w:tc>
      </w:tr>
      <w:tr w:rsidR="007766B7">
        <w:trPr>
          <w:divId w:val="148080301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7766B7" w:rsidRDefault="007D10FB">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9,188,217,459.67</w:t>
            </w:r>
          </w:p>
        </w:tc>
        <w:tc>
          <w:tcPr>
            <w:tcW w:w="1333" w:type="pct"/>
            <w:tcBorders>
              <w:top w:val="single" w:sz="4" w:space="0" w:color="auto"/>
              <w:left w:val="nil"/>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99.70</w:t>
            </w:r>
          </w:p>
        </w:tc>
      </w:tr>
      <w:tr w:rsidR="007766B7">
        <w:trPr>
          <w:divId w:val="148080301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7766B7" w:rsidRDefault="007D10FB">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w:t>
            </w:r>
          </w:p>
        </w:tc>
      </w:tr>
      <w:tr w:rsidR="007766B7">
        <w:trPr>
          <w:divId w:val="148080301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7766B7" w:rsidRDefault="007D10FB">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1,249,543.82</w:t>
            </w:r>
          </w:p>
        </w:tc>
        <w:tc>
          <w:tcPr>
            <w:tcW w:w="1333" w:type="pct"/>
            <w:tcBorders>
              <w:top w:val="single" w:sz="4" w:space="0" w:color="auto"/>
              <w:left w:val="nil"/>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0.01</w:t>
            </w:r>
          </w:p>
        </w:tc>
      </w:tr>
      <w:tr w:rsidR="007766B7">
        <w:trPr>
          <w:divId w:val="148080301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7766B7" w:rsidRDefault="007D10FB">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1,249,543.82</w:t>
            </w:r>
          </w:p>
        </w:tc>
        <w:tc>
          <w:tcPr>
            <w:tcW w:w="1333" w:type="pct"/>
            <w:tcBorders>
              <w:top w:val="single" w:sz="4" w:space="0" w:color="auto"/>
              <w:left w:val="nil"/>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0.01</w:t>
            </w:r>
          </w:p>
        </w:tc>
      </w:tr>
      <w:tr w:rsidR="007766B7">
        <w:trPr>
          <w:divId w:val="148080301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7766B7" w:rsidRDefault="007D10FB">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w:t>
            </w:r>
          </w:p>
        </w:tc>
      </w:tr>
      <w:tr w:rsidR="007766B7">
        <w:trPr>
          <w:divId w:val="148080301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7766B7" w:rsidRDefault="007D10FB">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w:t>
            </w:r>
          </w:p>
        </w:tc>
      </w:tr>
      <w:tr w:rsidR="007766B7">
        <w:trPr>
          <w:divId w:val="148080301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7766B7" w:rsidRDefault="007D10FB">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w:t>
            </w:r>
          </w:p>
        </w:tc>
      </w:tr>
      <w:tr w:rsidR="007766B7">
        <w:trPr>
          <w:divId w:val="148080301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7766B7" w:rsidRDefault="007D10FB">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w:t>
            </w:r>
          </w:p>
        </w:tc>
      </w:tr>
      <w:tr w:rsidR="007766B7">
        <w:trPr>
          <w:divId w:val="148080301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7766B7" w:rsidRDefault="007D10FB">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w:t>
            </w:r>
          </w:p>
        </w:tc>
      </w:tr>
      <w:tr w:rsidR="007766B7">
        <w:trPr>
          <w:divId w:val="148080301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7766B7" w:rsidRDefault="007D10FB">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26,242,974.86</w:t>
            </w:r>
          </w:p>
        </w:tc>
        <w:tc>
          <w:tcPr>
            <w:tcW w:w="1333" w:type="pct"/>
            <w:tcBorders>
              <w:top w:val="single" w:sz="4" w:space="0" w:color="auto"/>
              <w:left w:val="nil"/>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0.28</w:t>
            </w:r>
          </w:p>
        </w:tc>
      </w:tr>
      <w:tr w:rsidR="007766B7">
        <w:trPr>
          <w:divId w:val="148080301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7766B7" w:rsidRDefault="007D10FB">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w:t>
            </w:r>
          </w:p>
        </w:tc>
      </w:tr>
      <w:tr w:rsidR="007766B7">
        <w:trPr>
          <w:divId w:val="148080301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7766B7" w:rsidRDefault="007D10FB">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9,215,709,978.35</w:t>
            </w:r>
          </w:p>
        </w:tc>
        <w:tc>
          <w:tcPr>
            <w:tcW w:w="1333" w:type="pct"/>
            <w:tcBorders>
              <w:top w:val="single" w:sz="4" w:space="0" w:color="auto"/>
              <w:left w:val="nil"/>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100.00</w:t>
            </w:r>
          </w:p>
        </w:tc>
      </w:tr>
    </w:tbl>
    <w:p w:rsidR="007766B7" w:rsidRDefault="007D10FB">
      <w:pPr>
        <w:pStyle w:val="XBRLTitle2"/>
        <w:spacing w:before="156" w:line="360" w:lineRule="auto"/>
        <w:ind w:left="454"/>
      </w:pPr>
      <w:bookmarkStart w:id="117" w:name="_Toc513386600"/>
      <w:bookmarkStart w:id="118" w:name="_Toc490050019"/>
      <w:bookmarkStart w:id="119" w:name="_Toc438646468"/>
      <w:bookmarkStart w:id="120" w:name="_Toc481075066"/>
      <w:bookmarkStart w:id="121" w:name="_Toc512519498"/>
      <w:bookmarkEnd w:id="115"/>
      <w:proofErr w:type="spellStart"/>
      <w:r>
        <w:rPr>
          <w:rFonts w:hAnsi="宋体" w:hint="eastAsia"/>
        </w:rPr>
        <w:t>报告期末按行业分类的股票投资组合</w:t>
      </w:r>
      <w:bookmarkEnd w:id="117"/>
      <w:bookmarkEnd w:id="118"/>
      <w:bookmarkEnd w:id="119"/>
      <w:bookmarkEnd w:id="120"/>
      <w:bookmarkEnd w:id="121"/>
      <w:proofErr w:type="spellEnd"/>
      <w:r>
        <w:rPr>
          <w:rFonts w:hAnsi="宋体" w:hint="eastAsia"/>
          <w:lang w:eastAsia="zh-CN"/>
        </w:rPr>
        <w:t xml:space="preserve"> </w:t>
      </w:r>
    </w:p>
    <w:p w:rsidR="007766B7" w:rsidRDefault="007D10FB">
      <w:pPr>
        <w:pStyle w:val="XBRLTitle3"/>
        <w:spacing w:before="156"/>
        <w:ind w:left="0"/>
      </w:pPr>
      <w:bookmarkStart w:id="122" w:name="_Toc513386601"/>
      <w:bookmarkStart w:id="123" w:name="_Toc512519499"/>
      <w:bookmarkStart w:id="124" w:name="_Toc490050020"/>
      <w:bookmarkStart w:id="125" w:name="_Toc481075067"/>
      <w:proofErr w:type="spellStart"/>
      <w:r>
        <w:rPr>
          <w:rFonts w:hint="eastAsia"/>
        </w:rPr>
        <w:t>报告期末指数投资按行业分类的境内股票投资组合</w:t>
      </w:r>
      <w:bookmarkEnd w:id="122"/>
      <w:proofErr w:type="spellEnd"/>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665"/>
        <w:gridCol w:w="3078"/>
        <w:gridCol w:w="2285"/>
      </w:tblGrid>
      <w:tr w:rsidR="007766B7">
        <w:trPr>
          <w:divId w:val="1393771531"/>
        </w:trPr>
        <w:tc>
          <w:tcPr>
            <w:tcW w:w="457"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7766B7" w:rsidRDefault="007D10FB">
            <w:pPr>
              <w:jc w:val="center"/>
            </w:pPr>
            <w:bookmarkStart w:id="126" w:name="m502_tab"/>
            <w:r>
              <w:rPr>
                <w:rFonts w:ascii="宋体" w:hAnsi="宋体" w:hint="eastAsia"/>
              </w:rPr>
              <w:t xml:space="preserve">代码 </w:t>
            </w:r>
          </w:p>
        </w:tc>
        <w:tc>
          <w:tcPr>
            <w:tcW w:w="1508"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7766B7" w:rsidRDefault="007D10FB">
            <w:pPr>
              <w:jc w:val="center"/>
            </w:pPr>
            <w:r>
              <w:rPr>
                <w:rFonts w:ascii="宋体" w:hAnsi="宋体" w:hint="eastAsia"/>
              </w:rPr>
              <w:t xml:space="preserve">行业类别 </w:t>
            </w:r>
          </w:p>
        </w:tc>
        <w:tc>
          <w:tcPr>
            <w:tcW w:w="1742"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7766B7" w:rsidRDefault="007D10FB">
            <w:pPr>
              <w:jc w:val="center"/>
            </w:pPr>
            <w:r>
              <w:rPr>
                <w:rFonts w:ascii="宋体" w:hAnsi="宋体" w:hint="eastAsia"/>
              </w:rPr>
              <w:t xml:space="preserve">公允价值（元） </w:t>
            </w:r>
          </w:p>
        </w:tc>
        <w:tc>
          <w:tcPr>
            <w:tcW w:w="1292"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7766B7" w:rsidRDefault="007D10FB">
            <w:pPr>
              <w:jc w:val="center"/>
            </w:pPr>
            <w:r>
              <w:rPr>
                <w:rFonts w:ascii="宋体" w:hAnsi="宋体" w:hint="eastAsia"/>
              </w:rPr>
              <w:t xml:space="preserve">占基金资产净值比例(%) </w:t>
            </w:r>
          </w:p>
        </w:tc>
      </w:tr>
      <w:tr w:rsidR="007766B7">
        <w:trPr>
          <w:divId w:val="1393771531"/>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center"/>
            </w:pPr>
            <w:r>
              <w:rPr>
                <w:rFonts w:ascii="宋体" w:hAnsi="宋体" w:hint="eastAsia"/>
              </w:rPr>
              <w:t>A</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left"/>
            </w:pPr>
            <w:r>
              <w:rPr>
                <w:rFonts w:ascii="宋体" w:hAnsi="宋体" w:hint="eastAsia"/>
              </w:rPr>
              <w:t>农、林、牧、渔业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47,488,333.00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0.52</w:t>
            </w:r>
          </w:p>
        </w:tc>
      </w:tr>
      <w:tr w:rsidR="007766B7">
        <w:trPr>
          <w:divId w:val="1393771531"/>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center"/>
            </w:pPr>
            <w:r>
              <w:rPr>
                <w:rFonts w:ascii="宋体" w:hAnsi="宋体" w:hint="eastAsia"/>
              </w:rPr>
              <w:t>B</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left"/>
            </w:pPr>
            <w:r>
              <w:rPr>
                <w:rFonts w:ascii="宋体" w:hAnsi="宋体" w:hint="eastAsia"/>
              </w:rPr>
              <w:t>采矿业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439,080,109.20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4.77</w:t>
            </w:r>
          </w:p>
        </w:tc>
      </w:tr>
      <w:tr w:rsidR="007766B7">
        <w:trPr>
          <w:divId w:val="1393771531"/>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center"/>
            </w:pPr>
            <w:r>
              <w:rPr>
                <w:rFonts w:ascii="宋体" w:hAnsi="宋体" w:hint="eastAsia"/>
              </w:rPr>
              <w:t>C</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left"/>
            </w:pPr>
            <w:r>
              <w:rPr>
                <w:rFonts w:ascii="宋体" w:hAnsi="宋体" w:hint="eastAsia"/>
              </w:rPr>
              <w:t>制造业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5,477,227,092.61</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59.55</w:t>
            </w:r>
          </w:p>
        </w:tc>
      </w:tr>
      <w:tr w:rsidR="007766B7">
        <w:trPr>
          <w:divId w:val="1393771531"/>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center"/>
            </w:pPr>
            <w:r>
              <w:rPr>
                <w:rFonts w:ascii="宋体" w:hAnsi="宋体" w:hint="eastAsia"/>
              </w:rPr>
              <w:t>D</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left"/>
            </w:pPr>
            <w:r>
              <w:rPr>
                <w:rFonts w:ascii="宋体" w:hAnsi="宋体" w:hint="eastAsia"/>
              </w:rPr>
              <w:t>电力、热力、燃气及水生产和供应业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284,939,427.00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3.10</w:t>
            </w:r>
          </w:p>
        </w:tc>
      </w:tr>
      <w:tr w:rsidR="007766B7">
        <w:trPr>
          <w:divId w:val="1393771531"/>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center"/>
            </w:pPr>
            <w:r>
              <w:rPr>
                <w:rFonts w:ascii="宋体" w:hAnsi="宋体" w:hint="eastAsia"/>
              </w:rPr>
              <w:t>E</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left"/>
            </w:pPr>
            <w:r>
              <w:rPr>
                <w:rFonts w:ascii="宋体" w:hAnsi="宋体" w:hint="eastAsia"/>
              </w:rPr>
              <w:t>建筑业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170,299,446.20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1.85</w:t>
            </w:r>
          </w:p>
        </w:tc>
      </w:tr>
      <w:tr w:rsidR="007766B7">
        <w:trPr>
          <w:divId w:val="1393771531"/>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center"/>
            </w:pPr>
            <w:r>
              <w:rPr>
                <w:rFonts w:ascii="宋体" w:hAnsi="宋体" w:hint="eastAsia"/>
              </w:rPr>
              <w:t>F</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left"/>
            </w:pPr>
            <w:r>
              <w:rPr>
                <w:rFonts w:ascii="宋体" w:hAnsi="宋体" w:hint="eastAsia"/>
              </w:rPr>
              <w:t>批发和零售业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60,686,215.00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0.66</w:t>
            </w:r>
          </w:p>
        </w:tc>
      </w:tr>
      <w:tr w:rsidR="007766B7">
        <w:trPr>
          <w:divId w:val="1393771531"/>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center"/>
            </w:pPr>
            <w:r>
              <w:rPr>
                <w:rFonts w:ascii="宋体" w:hAnsi="宋体" w:hint="eastAsia"/>
              </w:rPr>
              <w:t>G</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left"/>
            </w:pPr>
            <w:r>
              <w:rPr>
                <w:rFonts w:ascii="宋体" w:hAnsi="宋体" w:hint="eastAsia"/>
              </w:rPr>
              <w:t>交通运输、仓储和邮政业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311,651,575.00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3.39</w:t>
            </w:r>
          </w:p>
        </w:tc>
      </w:tr>
      <w:tr w:rsidR="007766B7">
        <w:trPr>
          <w:divId w:val="1393771531"/>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center"/>
            </w:pPr>
            <w:r>
              <w:rPr>
                <w:rFonts w:ascii="宋体" w:hAnsi="宋体" w:hint="eastAsia"/>
              </w:rPr>
              <w:t>H</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left"/>
            </w:pPr>
            <w:r>
              <w:rPr>
                <w:rFonts w:ascii="宋体" w:hAnsi="宋体" w:hint="eastAsia"/>
              </w:rPr>
              <w:t>住宿和餐饮业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8,601,201.00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0.09</w:t>
            </w:r>
          </w:p>
        </w:tc>
      </w:tr>
      <w:tr w:rsidR="007766B7">
        <w:trPr>
          <w:divId w:val="1393771531"/>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center"/>
            </w:pPr>
            <w:r>
              <w:rPr>
                <w:rFonts w:ascii="宋体" w:hAnsi="宋体" w:hint="eastAsia"/>
              </w:rPr>
              <w:t>I</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left"/>
            </w:pPr>
            <w:r>
              <w:rPr>
                <w:rFonts w:ascii="宋体" w:hAnsi="宋体" w:hint="eastAsia"/>
              </w:rPr>
              <w:t>信息传输、软件和信息技术</w:t>
            </w:r>
            <w:r>
              <w:rPr>
                <w:rFonts w:ascii="宋体" w:hAnsi="宋体" w:hint="eastAsia"/>
              </w:rPr>
              <w:lastRenderedPageBreak/>
              <w:t>服务业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lastRenderedPageBreak/>
              <w:t>606,123,712.26</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6.59</w:t>
            </w:r>
          </w:p>
        </w:tc>
      </w:tr>
      <w:tr w:rsidR="007766B7">
        <w:trPr>
          <w:divId w:val="1393771531"/>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center"/>
            </w:pPr>
            <w:r>
              <w:rPr>
                <w:rFonts w:ascii="宋体" w:hAnsi="宋体" w:hint="eastAsia"/>
              </w:rPr>
              <w:t>J</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left"/>
            </w:pPr>
            <w:r>
              <w:rPr>
                <w:rFonts w:ascii="宋体" w:hAnsi="宋体" w:hint="eastAsia"/>
              </w:rPr>
              <w:t>金融业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1,379,992,294.00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15.00</w:t>
            </w:r>
          </w:p>
        </w:tc>
      </w:tr>
      <w:tr w:rsidR="007766B7">
        <w:trPr>
          <w:divId w:val="1393771531"/>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center"/>
            </w:pPr>
            <w:r>
              <w:rPr>
                <w:rFonts w:ascii="宋体" w:hAnsi="宋体" w:hint="eastAsia"/>
              </w:rPr>
              <w:t>K</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left"/>
            </w:pPr>
            <w:r>
              <w:rPr>
                <w:rFonts w:ascii="宋体" w:hAnsi="宋体" w:hint="eastAsia"/>
              </w:rPr>
              <w:t>房地产业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93,502,011.00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1.02</w:t>
            </w:r>
          </w:p>
        </w:tc>
      </w:tr>
      <w:tr w:rsidR="007766B7">
        <w:trPr>
          <w:divId w:val="1393771531"/>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center"/>
            </w:pPr>
            <w:r>
              <w:rPr>
                <w:rFonts w:ascii="宋体" w:hAnsi="宋体" w:hint="eastAsia"/>
              </w:rPr>
              <w:t>L</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left"/>
            </w:pPr>
            <w:r>
              <w:rPr>
                <w:rFonts w:ascii="宋体" w:hAnsi="宋体" w:hint="eastAsia"/>
              </w:rPr>
              <w:t>租赁和商务服务业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101,120,770.00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1.10</w:t>
            </w:r>
          </w:p>
        </w:tc>
      </w:tr>
      <w:tr w:rsidR="007766B7">
        <w:trPr>
          <w:divId w:val="1393771531"/>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center"/>
            </w:pPr>
            <w:r>
              <w:rPr>
                <w:rFonts w:ascii="宋体" w:hAnsi="宋体" w:hint="eastAsia"/>
              </w:rPr>
              <w:t>M</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left"/>
            </w:pPr>
            <w:r>
              <w:rPr>
                <w:rFonts w:ascii="宋体" w:hAnsi="宋体" w:hint="eastAsia"/>
              </w:rPr>
              <w:t>科学研究和技术服务业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105,203,710.00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1.14</w:t>
            </w:r>
          </w:p>
        </w:tc>
      </w:tr>
      <w:tr w:rsidR="007766B7">
        <w:trPr>
          <w:divId w:val="1393771531"/>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center"/>
            </w:pPr>
            <w:r>
              <w:rPr>
                <w:rFonts w:ascii="宋体" w:hAnsi="宋体" w:hint="eastAsia"/>
              </w:rPr>
              <w:t>N</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left"/>
            </w:pPr>
            <w:r>
              <w:rPr>
                <w:rFonts w:ascii="宋体" w:hAnsi="宋体" w:hint="eastAsia"/>
              </w:rPr>
              <w:t>水利、环境和公共设施管理业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24,584,659.00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0.27</w:t>
            </w:r>
          </w:p>
        </w:tc>
      </w:tr>
      <w:tr w:rsidR="007766B7">
        <w:trPr>
          <w:divId w:val="1393771531"/>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center"/>
            </w:pPr>
            <w:r>
              <w:rPr>
                <w:rFonts w:ascii="宋体" w:hAnsi="宋体" w:hint="eastAsia"/>
              </w:rPr>
              <w:t>O</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left"/>
            </w:pPr>
            <w:r>
              <w:rPr>
                <w:rFonts w:ascii="宋体" w:hAnsi="宋体" w:hint="eastAsia"/>
              </w:rPr>
              <w:t>居民服务、修理和其他服务业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w:t>
            </w:r>
          </w:p>
        </w:tc>
      </w:tr>
      <w:tr w:rsidR="007766B7">
        <w:trPr>
          <w:divId w:val="1393771531"/>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center"/>
            </w:pPr>
            <w:r>
              <w:rPr>
                <w:rFonts w:ascii="宋体" w:hAnsi="宋体" w:hint="eastAsia"/>
              </w:rPr>
              <w:t>P</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left"/>
            </w:pPr>
            <w:r>
              <w:rPr>
                <w:rFonts w:ascii="宋体" w:hAnsi="宋体" w:hint="eastAsia"/>
              </w:rPr>
              <w:t>教育</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6,343,804.00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0.07</w:t>
            </w:r>
          </w:p>
        </w:tc>
      </w:tr>
      <w:tr w:rsidR="007766B7">
        <w:trPr>
          <w:divId w:val="1393771531"/>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center"/>
            </w:pPr>
            <w:r>
              <w:rPr>
                <w:rFonts w:ascii="宋体" w:hAnsi="宋体" w:hint="eastAsia"/>
              </w:rPr>
              <w:t>Q</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left"/>
            </w:pPr>
            <w:r>
              <w:rPr>
                <w:rFonts w:ascii="宋体" w:hAnsi="宋体" w:hint="eastAsia"/>
              </w:rPr>
              <w:t>卫生和社会工作</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41,841,841.40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0.45</w:t>
            </w:r>
          </w:p>
        </w:tc>
      </w:tr>
      <w:tr w:rsidR="007766B7">
        <w:trPr>
          <w:divId w:val="1393771531"/>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center"/>
            </w:pPr>
            <w:r>
              <w:rPr>
                <w:rFonts w:ascii="宋体" w:hAnsi="宋体" w:hint="eastAsia"/>
              </w:rPr>
              <w:t>R</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left"/>
            </w:pPr>
            <w:r>
              <w:rPr>
                <w:rFonts w:ascii="宋体" w:hAnsi="宋体" w:hint="eastAsia"/>
              </w:rPr>
              <w:t>文化、体育和娱乐业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29,531,259.00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0.32</w:t>
            </w:r>
          </w:p>
        </w:tc>
      </w:tr>
      <w:tr w:rsidR="007766B7">
        <w:trPr>
          <w:divId w:val="1393771531"/>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center"/>
            </w:pPr>
            <w:r>
              <w:rPr>
                <w:rFonts w:ascii="宋体" w:hAnsi="宋体" w:hint="eastAsia"/>
              </w:rPr>
              <w:t>S</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left"/>
            </w:pPr>
            <w:r>
              <w:rPr>
                <w:rFonts w:ascii="宋体" w:hAnsi="宋体" w:hint="eastAsia"/>
              </w:rPr>
              <w:t>综合</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w:t>
            </w:r>
          </w:p>
        </w:tc>
      </w:tr>
      <w:tr w:rsidR="007766B7">
        <w:trPr>
          <w:divId w:val="1393771531"/>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766B7"/>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left"/>
            </w:pPr>
            <w:r>
              <w:rPr>
                <w:rFonts w:ascii="宋体" w:hAnsi="宋体" w:hint="eastAsia"/>
              </w:rPr>
              <w:t>合计</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9,188,217,459.67</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rPr>
              <w:t>99.90</w:t>
            </w:r>
          </w:p>
        </w:tc>
      </w:tr>
    </w:tbl>
    <w:p w:rsidR="007766B7" w:rsidRDefault="007D10FB">
      <w:pPr>
        <w:pStyle w:val="XBRLTitle3"/>
        <w:spacing w:before="156"/>
        <w:ind w:left="0"/>
      </w:pPr>
      <w:bookmarkStart w:id="127" w:name="_Toc513386602"/>
      <w:proofErr w:type="spellStart"/>
      <w:r>
        <w:rPr>
          <w:rFonts w:hint="eastAsia"/>
        </w:rPr>
        <w:t>报告期末积极投资按行业分类的境内股票投资组合</w:t>
      </w:r>
      <w:bookmarkEnd w:id="127"/>
      <w:proofErr w:type="spellEnd"/>
      <w:r>
        <w:rPr>
          <w:rFonts w:hint="eastAsia"/>
          <w:lang w:eastAsia="zh-CN"/>
        </w:rPr>
        <w:t xml:space="preserve"> </w:t>
      </w:r>
      <w:bookmarkEnd w:id="123"/>
      <w:bookmarkEnd w:id="124"/>
      <w:bookmarkEnd w:id="125"/>
    </w:p>
    <w:p w:rsidR="007766B7" w:rsidRDefault="007D10FB">
      <w:pPr>
        <w:spacing w:line="360" w:lineRule="auto"/>
        <w:ind w:firstLineChars="200" w:firstLine="420"/>
      </w:pPr>
      <w:r>
        <w:rPr>
          <w:rFonts w:ascii="宋体" w:hAnsi="宋体" w:hint="eastAsia"/>
          <w:szCs w:val="21"/>
          <w:lang w:eastAsia="zh-Hans"/>
        </w:rPr>
        <w:t>本基金本报告期末未持有积极投资股票。</w:t>
      </w:r>
    </w:p>
    <w:p w:rsidR="007766B7" w:rsidRDefault="007D10FB">
      <w:pPr>
        <w:pStyle w:val="XBRLTitle3"/>
        <w:spacing w:before="156"/>
        <w:ind w:left="0"/>
      </w:pPr>
      <w:bookmarkStart w:id="128" w:name="_Toc513386603"/>
      <w:bookmarkStart w:id="129" w:name="_Toc512519500"/>
      <w:bookmarkStart w:id="130" w:name="_Toc490050021"/>
      <w:bookmarkStart w:id="131" w:name="_Toc481075068"/>
      <w:proofErr w:type="spellStart"/>
      <w:r>
        <w:rPr>
          <w:rFonts w:hint="eastAsia"/>
        </w:rPr>
        <w:t>报告期末按行业分类的港股通投资股票投资组合</w:t>
      </w:r>
      <w:bookmarkEnd w:id="128"/>
      <w:bookmarkEnd w:id="129"/>
      <w:bookmarkEnd w:id="130"/>
      <w:bookmarkEnd w:id="131"/>
      <w:proofErr w:type="spellEnd"/>
      <w:r>
        <w:rPr>
          <w:rFonts w:hint="eastAsia"/>
          <w:szCs w:val="24"/>
        </w:rPr>
        <w:t xml:space="preserve"> </w:t>
      </w:r>
    </w:p>
    <w:p w:rsidR="007766B7" w:rsidRDefault="007D10FB">
      <w:pPr>
        <w:spacing w:line="360" w:lineRule="auto"/>
        <w:ind w:firstLineChars="200" w:firstLine="420"/>
      </w:pPr>
      <w:r>
        <w:rPr>
          <w:rFonts w:ascii="宋体" w:hAnsi="宋体" w:hint="eastAsia"/>
          <w:szCs w:val="21"/>
          <w:lang w:eastAsia="zh-Hans"/>
        </w:rPr>
        <w:t>本基金本报告期末未持有港股通股票 。</w:t>
      </w:r>
    </w:p>
    <w:p w:rsidR="007766B7" w:rsidRDefault="007D10FB">
      <w:pPr>
        <w:pStyle w:val="XBRLTitle2"/>
        <w:spacing w:before="156" w:line="360" w:lineRule="auto"/>
        <w:ind w:left="454"/>
      </w:pPr>
      <w:bookmarkStart w:id="132" w:name="_Toc513386604"/>
      <w:bookmarkStart w:id="133" w:name="_Toc481075437"/>
      <w:bookmarkStart w:id="134" w:name="_Toc512605774"/>
      <w:bookmarkStart w:id="135" w:name="_Toc512600998"/>
      <w:bookmarkStart w:id="136" w:name="_Toc512605565"/>
      <w:bookmarkStart w:id="137" w:name="_Toc512609352"/>
      <w:bookmarkStart w:id="138" w:name="_Toc512519502"/>
      <w:bookmarkStart w:id="139" w:name="_Toc490050023"/>
      <w:bookmarkStart w:id="140" w:name="_Toc438646471"/>
      <w:bookmarkStart w:id="141" w:name="_Toc481075070"/>
      <w:bookmarkStart w:id="142" w:name="m505"/>
      <w:proofErr w:type="spellStart"/>
      <w:r>
        <w:rPr>
          <w:rFonts w:hAnsi="宋体" w:hint="eastAsia"/>
        </w:rPr>
        <w:t>期末按公允价值占基金资产净值比例大小排序的股票投资明细</w:t>
      </w:r>
      <w:bookmarkEnd w:id="132"/>
      <w:bookmarkEnd w:id="133"/>
      <w:bookmarkEnd w:id="134"/>
      <w:bookmarkEnd w:id="135"/>
      <w:bookmarkEnd w:id="136"/>
      <w:bookmarkEnd w:id="137"/>
      <w:proofErr w:type="spellEnd"/>
      <w:r>
        <w:rPr>
          <w:rFonts w:hAnsi="宋体" w:hint="eastAsia"/>
        </w:rPr>
        <w:t xml:space="preserve"> </w:t>
      </w:r>
    </w:p>
    <w:p w:rsidR="007766B7" w:rsidRDefault="007D10FB">
      <w:pPr>
        <w:pStyle w:val="XBRLTitle3"/>
        <w:spacing w:before="156"/>
        <w:ind w:left="0"/>
      </w:pPr>
      <w:bookmarkStart w:id="143" w:name="_Toc513386605"/>
      <w:bookmarkStart w:id="144" w:name="m504_tab"/>
      <w:proofErr w:type="spellStart"/>
      <w:r>
        <w:rPr>
          <w:rFonts w:hint="eastAsia"/>
        </w:rPr>
        <w:t>报告期末指数投资按公允价值占基金资产净值比例大小排序的前十名股票投资明细</w:t>
      </w:r>
      <w:bookmarkEnd w:id="14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7766B7">
        <w:trPr>
          <w:divId w:val="1599630606"/>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766B7" w:rsidRDefault="007D10FB">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766B7" w:rsidRDefault="007D10FB">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766B7" w:rsidRDefault="007D10FB">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766B7" w:rsidRDefault="007D10FB">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766B7" w:rsidRDefault="007D10FB">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766B7" w:rsidRDefault="007D10FB">
            <w:pPr>
              <w:jc w:val="center"/>
            </w:pPr>
            <w:r>
              <w:rPr>
                <w:rFonts w:ascii="宋体" w:hAnsi="宋体" w:hint="eastAsia"/>
                <w:color w:val="000000"/>
              </w:rPr>
              <w:t xml:space="preserve">占基金资产净值比例（%） </w:t>
            </w:r>
          </w:p>
        </w:tc>
      </w:tr>
      <w:tr w:rsidR="007766B7">
        <w:trPr>
          <w:divId w:val="159963060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600519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贵州茅台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256,000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399,616,000.00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4.34</w:t>
            </w:r>
          </w:p>
        </w:tc>
      </w:tr>
      <w:tr w:rsidR="007766B7">
        <w:trPr>
          <w:divId w:val="159963060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1,079,690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273,096,788.60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2.97</w:t>
            </w:r>
          </w:p>
        </w:tc>
      </w:tr>
      <w:tr w:rsidR="007766B7">
        <w:trPr>
          <w:divId w:val="159963060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601318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中国平安</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4,394,400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226,882,872.00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2.47</w:t>
            </w:r>
          </w:p>
        </w:tc>
      </w:tr>
      <w:tr w:rsidR="007766B7">
        <w:trPr>
          <w:divId w:val="159963060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600036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招商银行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5,054,200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218,796,318.00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2.38</w:t>
            </w:r>
          </w:p>
        </w:tc>
      </w:tr>
      <w:tr w:rsidR="007766B7">
        <w:trPr>
          <w:divId w:val="159963060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000333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美的集团</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1,997,900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156,835,150.00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1.71</w:t>
            </w:r>
          </w:p>
        </w:tc>
      </w:tr>
      <w:tr w:rsidR="007766B7">
        <w:trPr>
          <w:divId w:val="159963060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600900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长江电力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4,997,000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138,966,570.00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1.51</w:t>
            </w:r>
          </w:p>
        </w:tc>
      </w:tr>
      <w:tr w:rsidR="007766B7">
        <w:trPr>
          <w:divId w:val="159963060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370,200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138,787,980.00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1.51</w:t>
            </w:r>
          </w:p>
        </w:tc>
      </w:tr>
      <w:tr w:rsidR="007766B7">
        <w:trPr>
          <w:divId w:val="159963060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601166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兴业银行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5,938,600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128,273,760.00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1.39</w:t>
            </w:r>
          </w:p>
        </w:tc>
      </w:tr>
      <w:tr w:rsidR="007766B7">
        <w:trPr>
          <w:divId w:val="159963060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601899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紫金矿业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6,724,300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121,844,316.00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1.32</w:t>
            </w:r>
          </w:p>
        </w:tc>
      </w:tr>
      <w:tr w:rsidR="007766B7">
        <w:trPr>
          <w:divId w:val="159963060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300059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东方财富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5,158,000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116,467,640.00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1.27</w:t>
            </w:r>
          </w:p>
        </w:tc>
      </w:tr>
    </w:tbl>
    <w:p w:rsidR="007766B7" w:rsidRDefault="007D10FB">
      <w:pPr>
        <w:pStyle w:val="XBRLTitle3"/>
        <w:spacing w:before="156"/>
        <w:ind w:left="0"/>
      </w:pPr>
      <w:bookmarkStart w:id="145" w:name="_Toc513386606"/>
      <w:proofErr w:type="spellStart"/>
      <w:r>
        <w:rPr>
          <w:rFonts w:hint="eastAsia"/>
        </w:rPr>
        <w:t>报告期末积极投资按公允价值占基金资产净值比例大小排序的前五名股票投资明细</w:t>
      </w:r>
      <w:bookmarkEnd w:id="145"/>
      <w:bookmarkEnd w:id="144"/>
      <w:proofErr w:type="spellEnd"/>
    </w:p>
    <w:p w:rsidR="007766B7" w:rsidRDefault="007D10FB">
      <w:pPr>
        <w:spacing w:line="360" w:lineRule="auto"/>
        <w:ind w:firstLineChars="200" w:firstLine="420"/>
        <w:jc w:val="left"/>
        <w:divId w:val="1266769809"/>
      </w:pPr>
      <w:r>
        <w:rPr>
          <w:rFonts w:ascii="宋体" w:hAnsi="宋体" w:hint="eastAsia"/>
          <w:color w:val="000000"/>
          <w:szCs w:val="21"/>
          <w:lang w:eastAsia="zh-Hans"/>
        </w:rPr>
        <w:t>本基金本报告期末未持有积极投资股票。</w:t>
      </w:r>
    </w:p>
    <w:p w:rsidR="007766B7" w:rsidRDefault="007D10FB">
      <w:pPr>
        <w:pStyle w:val="XBRLTitle2"/>
        <w:spacing w:before="156" w:line="360" w:lineRule="auto"/>
        <w:ind w:left="454"/>
      </w:pPr>
      <w:bookmarkStart w:id="146" w:name="_Toc513386607"/>
      <w:proofErr w:type="spellStart"/>
      <w:r>
        <w:rPr>
          <w:rFonts w:hAnsi="宋体" w:hint="eastAsia"/>
        </w:rPr>
        <w:lastRenderedPageBreak/>
        <w:t>报告期末按债券品种分类的债券投资组合</w:t>
      </w:r>
      <w:bookmarkEnd w:id="146"/>
      <w:bookmarkEnd w:id="138"/>
      <w:bookmarkEnd w:id="139"/>
      <w:bookmarkEnd w:id="140"/>
      <w:bookmarkEnd w:id="141"/>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7766B7">
        <w:trPr>
          <w:divId w:val="1839806239"/>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766B7" w:rsidRDefault="007D10FB">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766B7" w:rsidRDefault="007D10FB">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766B7" w:rsidRDefault="007D10FB">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766B7" w:rsidRDefault="007D10FB">
            <w:pPr>
              <w:jc w:val="center"/>
            </w:pPr>
            <w:r>
              <w:rPr>
                <w:rFonts w:ascii="宋体" w:hAnsi="宋体" w:hint="eastAsia"/>
                <w:color w:val="000000"/>
              </w:rPr>
              <w:t xml:space="preserve">占基金资产净值比例（%） </w:t>
            </w:r>
          </w:p>
        </w:tc>
      </w:tr>
      <w:tr w:rsidR="007766B7">
        <w:trPr>
          <w:divId w:val="18398062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rsidR="007766B7" w:rsidRDefault="007D10FB">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w:t>
            </w:r>
          </w:p>
        </w:tc>
      </w:tr>
      <w:tr w:rsidR="007766B7">
        <w:trPr>
          <w:divId w:val="18398062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rsidR="007766B7" w:rsidRDefault="007D10FB">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w:t>
            </w:r>
          </w:p>
        </w:tc>
      </w:tr>
      <w:tr w:rsidR="007766B7">
        <w:trPr>
          <w:divId w:val="18398062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rsidR="007766B7" w:rsidRDefault="007D10FB">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w:t>
            </w:r>
          </w:p>
        </w:tc>
      </w:tr>
      <w:tr w:rsidR="007766B7">
        <w:trPr>
          <w:divId w:val="18398062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rsidR="007766B7" w:rsidRDefault="007D10FB">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w:t>
            </w:r>
          </w:p>
        </w:tc>
      </w:tr>
      <w:tr w:rsidR="007766B7">
        <w:trPr>
          <w:divId w:val="18398062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rsidR="007766B7" w:rsidRDefault="007D10FB">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w:t>
            </w:r>
          </w:p>
        </w:tc>
      </w:tr>
      <w:tr w:rsidR="007766B7">
        <w:trPr>
          <w:divId w:val="18398062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rsidR="007766B7" w:rsidRDefault="007D10FB">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w:t>
            </w:r>
          </w:p>
        </w:tc>
      </w:tr>
      <w:tr w:rsidR="007766B7">
        <w:trPr>
          <w:divId w:val="18398062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rsidR="007766B7" w:rsidRDefault="007D10FB">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w:t>
            </w:r>
          </w:p>
        </w:tc>
      </w:tr>
      <w:tr w:rsidR="007766B7">
        <w:trPr>
          <w:divId w:val="18398062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rsidR="007766B7" w:rsidRDefault="007D10FB">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1,249,543.82</w:t>
            </w:r>
          </w:p>
        </w:tc>
        <w:tc>
          <w:tcPr>
            <w:tcW w:w="1932"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0.01</w:t>
            </w:r>
          </w:p>
        </w:tc>
      </w:tr>
      <w:tr w:rsidR="007766B7">
        <w:trPr>
          <w:divId w:val="18398062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rsidR="007766B7" w:rsidRDefault="007D10FB">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w:t>
            </w:r>
          </w:p>
        </w:tc>
      </w:tr>
      <w:tr w:rsidR="007766B7">
        <w:trPr>
          <w:divId w:val="18398062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rsidR="007766B7" w:rsidRDefault="007D10FB">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w:t>
            </w:r>
          </w:p>
        </w:tc>
      </w:tr>
      <w:tr w:rsidR="007766B7">
        <w:trPr>
          <w:divId w:val="18398062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rsidR="007766B7" w:rsidRDefault="007D10FB">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1,249,543.82</w:t>
            </w:r>
          </w:p>
        </w:tc>
        <w:tc>
          <w:tcPr>
            <w:tcW w:w="1932" w:type="pct"/>
            <w:tcBorders>
              <w:top w:val="single" w:sz="4" w:space="0" w:color="auto"/>
              <w:left w:val="single" w:sz="4" w:space="0" w:color="auto"/>
              <w:bottom w:val="single" w:sz="4" w:space="0" w:color="auto"/>
              <w:right w:val="single" w:sz="4" w:space="0" w:color="auto"/>
            </w:tcBorders>
            <w:vAlign w:val="center"/>
            <w:hideMark/>
          </w:tcPr>
          <w:p w:rsidR="007766B7" w:rsidRDefault="007D10FB">
            <w:pPr>
              <w:jc w:val="right"/>
            </w:pPr>
            <w:r>
              <w:rPr>
                <w:rFonts w:ascii="宋体" w:hAnsi="宋体" w:hint="eastAsia"/>
                <w:szCs w:val="24"/>
                <w:lang w:eastAsia="zh-Hans"/>
              </w:rPr>
              <w:t>0.01</w:t>
            </w:r>
          </w:p>
        </w:tc>
      </w:tr>
    </w:tbl>
    <w:p w:rsidR="007766B7" w:rsidRDefault="007D10FB">
      <w:pPr>
        <w:pStyle w:val="XBRLTitle2"/>
        <w:spacing w:before="156" w:line="360" w:lineRule="auto"/>
        <w:ind w:left="454"/>
      </w:pPr>
      <w:bookmarkStart w:id="147" w:name="_Toc513386608"/>
      <w:bookmarkStart w:id="148" w:name="_Toc512519503"/>
      <w:bookmarkStart w:id="149" w:name="_Toc490050024"/>
      <w:bookmarkStart w:id="150" w:name="_Toc438646472"/>
      <w:bookmarkStart w:id="151" w:name="_Toc481075071"/>
      <w:bookmarkStart w:id="152" w:name="m506"/>
      <w:bookmarkEnd w:id="142"/>
      <w:proofErr w:type="spellStart"/>
      <w:r>
        <w:rPr>
          <w:rFonts w:hAnsi="宋体" w:hint="eastAsia"/>
        </w:rPr>
        <w:t>报告期末按公允价值占基金资产净值比例大小排序的前五名债券投资明细</w:t>
      </w:r>
      <w:bookmarkEnd w:id="147"/>
      <w:bookmarkEnd w:id="148"/>
      <w:bookmarkEnd w:id="149"/>
      <w:bookmarkEnd w:id="150"/>
      <w:bookmarkEnd w:id="151"/>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7766B7">
        <w:trPr>
          <w:divId w:val="1989936037"/>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766B7" w:rsidRDefault="007D10FB">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766B7" w:rsidRDefault="007D10FB">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766B7" w:rsidRDefault="007D10FB">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766B7" w:rsidRDefault="007D10FB">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766B7" w:rsidRDefault="007D10FB">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766B7" w:rsidRDefault="007D10FB">
            <w:pPr>
              <w:jc w:val="center"/>
            </w:pPr>
            <w:r>
              <w:rPr>
                <w:rFonts w:ascii="宋体" w:hAnsi="宋体" w:hint="eastAsia"/>
                <w:color w:val="000000"/>
              </w:rPr>
              <w:t xml:space="preserve">占基金资产净值比例（%） </w:t>
            </w:r>
          </w:p>
        </w:tc>
      </w:tr>
      <w:tr w:rsidR="007766B7">
        <w:trPr>
          <w:divId w:val="198993603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123254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center"/>
            </w:pPr>
            <w:r>
              <w:rPr>
                <w:rFonts w:ascii="宋体" w:hAnsi="宋体" w:hint="eastAsia"/>
                <w:szCs w:val="24"/>
                <w:lang w:eastAsia="zh-Hans"/>
              </w:rPr>
              <w:t>亿纬转债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12,495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1,249,543.82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jc w:val="right"/>
            </w:pPr>
            <w:r>
              <w:rPr>
                <w:rFonts w:ascii="宋体" w:hAnsi="宋体" w:hint="eastAsia"/>
                <w:szCs w:val="24"/>
                <w:lang w:eastAsia="zh-Hans"/>
              </w:rPr>
              <w:t>0.01</w:t>
            </w:r>
          </w:p>
        </w:tc>
      </w:tr>
    </w:tbl>
    <w:p w:rsidR="007766B7" w:rsidRDefault="007D10FB">
      <w:pPr>
        <w:pStyle w:val="XBRLTitle2"/>
        <w:spacing w:before="156" w:line="360" w:lineRule="auto"/>
        <w:ind w:left="454"/>
      </w:pPr>
      <w:bookmarkStart w:id="153" w:name="_Toc513386609"/>
      <w:bookmarkStart w:id="154" w:name="_Toc512519504"/>
      <w:bookmarkStart w:id="155" w:name="_Toc490050025"/>
      <w:bookmarkStart w:id="156" w:name="_Toc438646473"/>
      <w:bookmarkStart w:id="157" w:name="_Toc481075072"/>
      <w:bookmarkStart w:id="158" w:name="m507"/>
      <w:bookmarkEnd w:id="152"/>
      <w:proofErr w:type="spellStart"/>
      <w:r>
        <w:rPr>
          <w:rFonts w:hAnsi="宋体" w:hint="eastAsia"/>
        </w:rPr>
        <w:t>报告期末按公允价值占基金资产净值比例大小排序的前十名资产支持证券投资明细</w:t>
      </w:r>
      <w:bookmarkEnd w:id="153"/>
      <w:bookmarkEnd w:id="154"/>
      <w:bookmarkEnd w:id="155"/>
      <w:bookmarkEnd w:id="156"/>
      <w:bookmarkEnd w:id="157"/>
      <w:proofErr w:type="spellEnd"/>
      <w:r>
        <w:rPr>
          <w:rFonts w:hAnsi="宋体" w:hint="eastAsia"/>
        </w:rPr>
        <w:t xml:space="preserve"> </w:t>
      </w:r>
    </w:p>
    <w:p w:rsidR="007766B7" w:rsidRDefault="007D10FB">
      <w:pPr>
        <w:spacing w:line="360" w:lineRule="auto"/>
        <w:ind w:firstLineChars="200" w:firstLine="420"/>
        <w:jc w:val="left"/>
        <w:divId w:val="1545101420"/>
      </w:pPr>
      <w:r>
        <w:rPr>
          <w:rFonts w:ascii="宋体" w:hAnsi="宋体" w:hint="eastAsia"/>
          <w:color w:val="000000"/>
          <w:szCs w:val="21"/>
          <w:lang w:eastAsia="zh-Hans"/>
        </w:rPr>
        <w:t>本基金本报告期末未持有资产支持证券。</w:t>
      </w:r>
    </w:p>
    <w:p w:rsidR="007766B7" w:rsidRDefault="007D10FB">
      <w:pPr>
        <w:pStyle w:val="XBRLTitle2"/>
        <w:spacing w:before="156" w:line="360" w:lineRule="auto"/>
        <w:ind w:left="454"/>
      </w:pPr>
      <w:bookmarkStart w:id="159" w:name="_Toc513386610"/>
      <w:bookmarkStart w:id="160" w:name="_Toc512519505"/>
      <w:bookmarkStart w:id="161" w:name="_Toc490050026"/>
      <w:bookmarkStart w:id="162" w:name="_Toc438646474"/>
      <w:bookmarkStart w:id="163" w:name="_Toc481075073"/>
      <w:bookmarkStart w:id="164" w:name="m508"/>
      <w:bookmarkEnd w:id="158"/>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159"/>
      <w:bookmarkEnd w:id="160"/>
      <w:bookmarkEnd w:id="161"/>
      <w:bookmarkEnd w:id="162"/>
      <w:bookmarkEnd w:id="163"/>
      <w:proofErr w:type="spellEnd"/>
      <w:r>
        <w:rPr>
          <w:rFonts w:hAnsi="宋体" w:hint="eastAsia"/>
        </w:rPr>
        <w:t xml:space="preserve"> </w:t>
      </w:r>
    </w:p>
    <w:p w:rsidR="007766B7" w:rsidRDefault="007D10FB">
      <w:pPr>
        <w:spacing w:line="360" w:lineRule="auto"/>
        <w:ind w:firstLineChars="200" w:firstLine="420"/>
      </w:pPr>
      <w:r>
        <w:rPr>
          <w:rFonts w:ascii="宋体" w:hAnsi="宋体" w:hint="eastAsia"/>
          <w:szCs w:val="21"/>
          <w:lang w:eastAsia="zh-Hans"/>
        </w:rPr>
        <w:t>本基金本报告期末未持有贵金属。</w:t>
      </w:r>
    </w:p>
    <w:p w:rsidR="007766B7" w:rsidRDefault="007D10FB">
      <w:pPr>
        <w:pStyle w:val="XBRLTitle2"/>
        <w:spacing w:before="156" w:line="360" w:lineRule="auto"/>
        <w:ind w:left="454"/>
      </w:pPr>
      <w:bookmarkStart w:id="165" w:name="_Toc513386611"/>
      <w:bookmarkStart w:id="166" w:name="_Toc512519506"/>
      <w:bookmarkStart w:id="167" w:name="_Toc490050027"/>
      <w:bookmarkStart w:id="168" w:name="_Toc438646475"/>
      <w:bookmarkStart w:id="169" w:name="_Toc481075074"/>
      <w:bookmarkStart w:id="170" w:name="m509"/>
      <w:bookmarkEnd w:id="164"/>
      <w:proofErr w:type="spellStart"/>
      <w:r>
        <w:rPr>
          <w:rFonts w:hAnsi="宋体" w:hint="eastAsia"/>
        </w:rPr>
        <w:t>报告期末按公允价值占基金资产净值比例大小排序的前五名权证投资明细</w:t>
      </w:r>
      <w:bookmarkEnd w:id="165"/>
      <w:bookmarkEnd w:id="166"/>
      <w:bookmarkEnd w:id="167"/>
      <w:bookmarkEnd w:id="168"/>
      <w:bookmarkEnd w:id="169"/>
      <w:proofErr w:type="spellEnd"/>
      <w:r>
        <w:rPr>
          <w:rFonts w:hAnsi="宋体" w:hint="eastAsia"/>
        </w:rPr>
        <w:t xml:space="preserve"> </w:t>
      </w:r>
    </w:p>
    <w:p w:rsidR="007766B7" w:rsidRDefault="007D10FB">
      <w:pPr>
        <w:spacing w:line="360" w:lineRule="auto"/>
        <w:ind w:firstLineChars="200" w:firstLine="420"/>
      </w:pPr>
      <w:r>
        <w:rPr>
          <w:rFonts w:ascii="宋体" w:hAnsi="宋体" w:hint="eastAsia"/>
          <w:szCs w:val="21"/>
          <w:lang w:eastAsia="zh-Hans"/>
        </w:rPr>
        <w:t>本基金本报告期末未持有权证。</w:t>
      </w:r>
    </w:p>
    <w:p w:rsidR="007766B7" w:rsidRDefault="007D10FB">
      <w:pPr>
        <w:pStyle w:val="XBRLTitle2"/>
        <w:spacing w:before="156" w:line="360" w:lineRule="auto"/>
        <w:ind w:left="454"/>
      </w:pPr>
      <w:bookmarkStart w:id="171" w:name="_Toc513386612"/>
      <w:bookmarkStart w:id="172" w:name="_Toc490050028"/>
      <w:bookmarkStart w:id="173" w:name="_Toc481075075"/>
      <w:bookmarkStart w:id="174" w:name="_Toc512519507"/>
      <w:proofErr w:type="spellStart"/>
      <w:r>
        <w:rPr>
          <w:rFonts w:hAnsi="宋体" w:hint="eastAsia"/>
        </w:rPr>
        <w:t>报告期末本基金投资的股指期货交易情况说明</w:t>
      </w:r>
      <w:bookmarkEnd w:id="171"/>
      <w:bookmarkEnd w:id="172"/>
      <w:bookmarkEnd w:id="173"/>
      <w:bookmarkEnd w:id="174"/>
      <w:proofErr w:type="spellEnd"/>
      <w:r>
        <w:rPr>
          <w:rFonts w:hAnsi="宋体" w:hint="eastAsia"/>
        </w:rPr>
        <w:t xml:space="preserve"> </w:t>
      </w:r>
      <w:bookmarkEnd w:id="170"/>
    </w:p>
    <w:p w:rsidR="007766B7" w:rsidRDefault="007D10FB">
      <w:pPr>
        <w:spacing w:line="360" w:lineRule="auto"/>
        <w:ind w:firstLineChars="200" w:firstLine="420"/>
      </w:pPr>
      <w:r>
        <w:rPr>
          <w:rFonts w:ascii="宋体" w:hAnsi="宋体" w:hint="eastAsia"/>
          <w:szCs w:val="21"/>
          <w:lang w:eastAsia="zh-Hans"/>
        </w:rPr>
        <w:t>本基金本报告期末未持有股指期货。</w:t>
      </w:r>
    </w:p>
    <w:p w:rsidR="007766B7" w:rsidRDefault="007D10FB">
      <w:pPr>
        <w:pStyle w:val="XBRLTitle2"/>
        <w:spacing w:before="156" w:line="360" w:lineRule="auto"/>
        <w:ind w:left="454"/>
      </w:pPr>
      <w:bookmarkStart w:id="175" w:name="_Toc513386615"/>
      <w:bookmarkStart w:id="176" w:name="_Toc490050031"/>
      <w:bookmarkStart w:id="177" w:name="_Toc481075078"/>
      <w:bookmarkStart w:id="178" w:name="_Toc512519510"/>
      <w:bookmarkStart w:id="179" w:name="_Toc438646476"/>
      <w:proofErr w:type="spellStart"/>
      <w:r>
        <w:rPr>
          <w:rFonts w:hAnsi="宋体" w:hint="eastAsia"/>
        </w:rPr>
        <w:t>报告期末本基金投资的国债期货交易情况说明</w:t>
      </w:r>
      <w:bookmarkEnd w:id="175"/>
      <w:bookmarkEnd w:id="176"/>
      <w:bookmarkEnd w:id="177"/>
      <w:bookmarkEnd w:id="178"/>
      <w:bookmarkEnd w:id="179"/>
      <w:proofErr w:type="spellEnd"/>
      <w:r>
        <w:rPr>
          <w:rFonts w:hAnsi="宋体" w:hint="eastAsia"/>
        </w:rPr>
        <w:t xml:space="preserve"> </w:t>
      </w:r>
    </w:p>
    <w:p w:rsidR="007766B7" w:rsidRDefault="007D10FB">
      <w:pPr>
        <w:spacing w:line="360" w:lineRule="auto"/>
        <w:ind w:firstLineChars="200" w:firstLine="420"/>
      </w:pPr>
      <w:bookmarkStart w:id="180" w:name="m510_01_1597"/>
      <w:bookmarkStart w:id="181" w:name="m510_01_1598"/>
      <w:bookmarkEnd w:id="180"/>
      <w:r>
        <w:rPr>
          <w:rFonts w:ascii="宋体" w:hAnsi="宋体" w:hint="eastAsia"/>
          <w:szCs w:val="21"/>
          <w:lang w:eastAsia="zh-Hans"/>
        </w:rPr>
        <w:t>本基金本报告期末未持有国债期货。</w:t>
      </w:r>
    </w:p>
    <w:p w:rsidR="007766B7" w:rsidRDefault="007D10FB">
      <w:pPr>
        <w:pStyle w:val="XBRLTitle2"/>
        <w:spacing w:before="156" w:line="360" w:lineRule="auto"/>
        <w:ind w:left="454"/>
      </w:pPr>
      <w:bookmarkStart w:id="182" w:name="_Toc513386619"/>
      <w:bookmarkStart w:id="183" w:name="_Toc490050035"/>
      <w:bookmarkStart w:id="184" w:name="_Toc481075082"/>
      <w:bookmarkStart w:id="185" w:name="_Toc512519514"/>
      <w:proofErr w:type="spellStart"/>
      <w:r>
        <w:rPr>
          <w:rFonts w:hAnsi="宋体" w:hint="eastAsia"/>
        </w:rPr>
        <w:t>投资组合报告附注</w:t>
      </w:r>
      <w:bookmarkEnd w:id="182"/>
      <w:bookmarkEnd w:id="183"/>
      <w:bookmarkEnd w:id="184"/>
      <w:bookmarkEnd w:id="185"/>
      <w:proofErr w:type="spellEnd"/>
      <w:r>
        <w:rPr>
          <w:rFonts w:hAnsi="宋体" w:hint="eastAsia"/>
        </w:rPr>
        <w:t xml:space="preserve"> </w:t>
      </w:r>
    </w:p>
    <w:p w:rsidR="007766B7" w:rsidRDefault="007D10FB">
      <w:pPr>
        <w:pStyle w:val="XBRLTitle3"/>
        <w:spacing w:before="156"/>
        <w:ind w:left="0"/>
      </w:pPr>
      <w:bookmarkStart w:id="186" w:name="_Toc512519515"/>
      <w:bookmarkStart w:id="187" w:name="_Toc481075083"/>
      <w:bookmarkStart w:id="188" w:name="_Toc490050036"/>
      <w:bookmarkStart w:id="189" w:name="_Toc513295927"/>
      <w:bookmarkStart w:id="190" w:name="_Toc514507543"/>
      <w:bookmarkEnd w:id="186"/>
      <w:bookmarkEnd w:id="187"/>
      <w:bookmarkEnd w:id="188"/>
      <w:bookmarkEnd w:id="189"/>
      <w:r>
        <w:rPr>
          <w:rFonts w:hint="eastAsia"/>
          <w:lang w:eastAsia="zh-CN"/>
        </w:rPr>
        <w:t xml:space="preserve"> </w:t>
      </w:r>
      <w:bookmarkEnd w:id="190"/>
    </w:p>
    <w:p w:rsidR="007766B7" w:rsidRDefault="007D10FB">
      <w:pPr>
        <w:spacing w:line="360" w:lineRule="auto"/>
        <w:ind w:firstLineChars="200" w:firstLine="420"/>
      </w:pPr>
      <w:r>
        <w:rPr>
          <w:rFonts w:ascii="宋体" w:hAnsi="宋体" w:hint="eastAsia"/>
        </w:rPr>
        <w:t>本基金投资的前十名证券的发行主体中，兴业银行股份有限公司报告编制日前一年内曾受到国家金融监督管理总局福建监管局的处罚，招商银行股份有限公司报告编制日前一年内曾受到国家金融监督管理总局的处罚。</w:t>
      </w:r>
      <w:r>
        <w:rPr>
          <w:rFonts w:ascii="宋体" w:hAnsi="宋体" w:hint="eastAsia"/>
        </w:rPr>
        <w:br/>
      </w:r>
      <w:r>
        <w:rPr>
          <w:rFonts w:ascii="宋体" w:hAnsi="宋体" w:hint="eastAsia"/>
        </w:rPr>
        <w:lastRenderedPageBreak/>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rsidR="007766B7" w:rsidRDefault="007D10FB">
      <w:pPr>
        <w:pStyle w:val="XBRLTitle3"/>
        <w:spacing w:before="156"/>
        <w:ind w:left="0"/>
      </w:pPr>
      <w:bookmarkStart w:id="191" w:name="_Toc512519516"/>
      <w:bookmarkStart w:id="192" w:name="_Toc481075084"/>
      <w:bookmarkStart w:id="193" w:name="_Toc490050037"/>
      <w:bookmarkStart w:id="194" w:name="_Toc513295928"/>
      <w:bookmarkStart w:id="195" w:name="_Toc514507544"/>
      <w:bookmarkEnd w:id="191"/>
      <w:bookmarkEnd w:id="192"/>
      <w:bookmarkEnd w:id="193"/>
      <w:bookmarkEnd w:id="194"/>
      <w:r>
        <w:rPr>
          <w:rFonts w:hint="eastAsia"/>
          <w:lang w:eastAsia="zh-CN"/>
        </w:rPr>
        <w:t xml:space="preserve"> </w:t>
      </w:r>
      <w:bookmarkEnd w:id="195"/>
    </w:p>
    <w:p w:rsidR="007766B7" w:rsidRDefault="007D10FB">
      <w:pPr>
        <w:spacing w:line="360" w:lineRule="auto"/>
        <w:ind w:firstLineChars="200" w:firstLine="420"/>
      </w:pPr>
      <w:r>
        <w:rPr>
          <w:rFonts w:ascii="宋体" w:hAnsi="宋体" w:hint="eastAsia"/>
        </w:rPr>
        <w:t>报告期内本基金投资的前十名股票中没有在基金合同规定备选股票库之外的股票。</w:t>
      </w:r>
    </w:p>
    <w:p w:rsidR="007766B7" w:rsidRDefault="007D10FB">
      <w:pPr>
        <w:pStyle w:val="XBRLTitle3"/>
        <w:spacing w:before="156"/>
        <w:ind w:left="0"/>
      </w:pPr>
      <w:bookmarkStart w:id="196" w:name="_Toc513386622"/>
      <w:bookmarkStart w:id="197" w:name="_Toc512519517"/>
      <w:bookmarkStart w:id="198" w:name="_Toc490050038"/>
      <w:bookmarkStart w:id="199" w:name="_Toc481075085"/>
      <w:bookmarkStart w:id="200" w:name="m510_02"/>
      <w:bookmarkEnd w:id="181"/>
      <w:proofErr w:type="spellStart"/>
      <w:r>
        <w:rPr>
          <w:rFonts w:hint="eastAsia"/>
        </w:rPr>
        <w:t>其他资产构成</w:t>
      </w:r>
      <w:bookmarkEnd w:id="196"/>
      <w:bookmarkEnd w:id="197"/>
      <w:bookmarkEnd w:id="198"/>
      <w:bookmarkEnd w:id="199"/>
      <w:proofErr w:type="spellEnd"/>
    </w:p>
    <w:p w:rsidR="007766B7" w:rsidRDefault="007D10FB">
      <w:pPr>
        <w:spacing w:line="360" w:lineRule="auto"/>
        <w:ind w:firstLineChars="200" w:firstLine="420"/>
        <w:jc w:val="left"/>
      </w:pPr>
      <w:r>
        <w:rPr>
          <w:rFonts w:ascii="宋体" w:hAnsi="宋体" w:hint="eastAsia"/>
        </w:rPr>
        <w:t>本基金本报告期末无其他资产构成。</w:t>
      </w:r>
    </w:p>
    <w:p w:rsidR="007766B7" w:rsidRDefault="007D10FB">
      <w:pPr>
        <w:pStyle w:val="XBRLTitle3"/>
        <w:spacing w:before="156"/>
        <w:ind w:left="0"/>
      </w:pPr>
      <w:bookmarkStart w:id="201" w:name="_Toc513386623"/>
      <w:bookmarkStart w:id="202" w:name="_Toc512519518"/>
      <w:bookmarkStart w:id="203" w:name="_Toc490050039"/>
      <w:bookmarkStart w:id="204" w:name="_Toc481075086"/>
      <w:bookmarkStart w:id="205" w:name="m510_03"/>
      <w:bookmarkEnd w:id="200"/>
      <w:proofErr w:type="spellStart"/>
      <w:r>
        <w:rPr>
          <w:rFonts w:hint="eastAsia"/>
        </w:rPr>
        <w:t>报告期末持有的处于转股期的可转换债券明细</w:t>
      </w:r>
      <w:bookmarkEnd w:id="201"/>
      <w:bookmarkEnd w:id="202"/>
      <w:bookmarkEnd w:id="203"/>
      <w:bookmarkEnd w:id="204"/>
      <w:proofErr w:type="spellEnd"/>
    </w:p>
    <w:p w:rsidR="007766B7" w:rsidRDefault="007D10FB">
      <w:pPr>
        <w:spacing w:line="360" w:lineRule="auto"/>
        <w:ind w:firstLineChars="200" w:firstLine="420"/>
        <w:jc w:val="left"/>
        <w:divId w:val="1031764290"/>
      </w:pPr>
      <w:r>
        <w:rPr>
          <w:rFonts w:ascii="宋体" w:hAnsi="宋体" w:hint="eastAsia"/>
        </w:rPr>
        <w:t xml:space="preserve">本基金本报告期末未持有处于转股期的可转换债券。 </w:t>
      </w:r>
    </w:p>
    <w:p w:rsidR="007766B7" w:rsidRDefault="007D10FB">
      <w:pPr>
        <w:pStyle w:val="XBRLTitle3"/>
        <w:spacing w:before="156"/>
        <w:ind w:left="0"/>
      </w:pPr>
      <w:bookmarkStart w:id="206" w:name="_Toc513386624"/>
      <w:bookmarkStart w:id="207" w:name="_Toc512519519"/>
      <w:bookmarkStart w:id="208" w:name="_Toc490050040"/>
      <w:bookmarkStart w:id="209" w:name="_Toc481075087"/>
      <w:bookmarkStart w:id="210" w:name="m510_04"/>
      <w:bookmarkEnd w:id="205"/>
      <w:proofErr w:type="spellStart"/>
      <w:r>
        <w:rPr>
          <w:rFonts w:hint="eastAsia"/>
        </w:rPr>
        <w:t>报告期末前十名股票中存在流通受限情况的说明</w:t>
      </w:r>
      <w:bookmarkEnd w:id="206"/>
      <w:bookmarkEnd w:id="207"/>
      <w:bookmarkEnd w:id="208"/>
      <w:bookmarkEnd w:id="209"/>
      <w:proofErr w:type="spellEnd"/>
    </w:p>
    <w:p w:rsidR="007766B7" w:rsidRDefault="007D10FB">
      <w:pPr>
        <w:pStyle w:val="XBRLTitle4"/>
        <w:spacing w:before="156"/>
        <w:ind w:left="794"/>
      </w:pPr>
      <w:bookmarkStart w:id="211" w:name="_Toc513386625"/>
      <w:r>
        <w:rPr>
          <w:rFonts w:hAnsi="宋体" w:hint="eastAsia"/>
          <w:lang w:eastAsia="zh-CN"/>
        </w:rPr>
        <w:t>报告期末指数投资前十名股票中存在流通受限情况的说明</w:t>
      </w:r>
      <w:bookmarkEnd w:id="211"/>
      <w:r>
        <w:rPr>
          <w:rFonts w:hAnsi="宋体" w:hint="eastAsia"/>
          <w:lang w:eastAsia="zh-CN"/>
        </w:rPr>
        <w:t xml:space="preserve"> </w:t>
      </w:r>
    </w:p>
    <w:p w:rsidR="007766B7" w:rsidRDefault="007D10FB">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p>
    <w:p w:rsidR="007766B7" w:rsidRDefault="007D10FB">
      <w:pPr>
        <w:pStyle w:val="XBRLTitle4"/>
        <w:spacing w:before="156"/>
        <w:ind w:left="794"/>
      </w:pPr>
      <w:bookmarkStart w:id="212" w:name="_Toc513386626"/>
      <w:r>
        <w:rPr>
          <w:rFonts w:hAnsi="宋体" w:hint="eastAsia"/>
          <w:lang w:eastAsia="zh-CN"/>
        </w:rPr>
        <w:t>报告期末积极投资前五名股票中存在流通受限情况的说明</w:t>
      </w:r>
      <w:bookmarkEnd w:id="212"/>
      <w:r>
        <w:rPr>
          <w:rFonts w:hAnsi="宋体" w:hint="eastAsia"/>
          <w:lang w:eastAsia="zh-CN"/>
        </w:rPr>
        <w:t xml:space="preserve"> </w:t>
      </w:r>
    </w:p>
    <w:p w:rsidR="007766B7" w:rsidRDefault="007D10FB">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五名积极投资中不存在流通受限情况。</w:t>
      </w:r>
      <w:bookmarkEnd w:id="14"/>
      <w:bookmarkEnd w:id="15"/>
      <w:bookmarkEnd w:id="16"/>
      <w:bookmarkEnd w:id="17"/>
    </w:p>
    <w:p w:rsidR="007766B7" w:rsidRDefault="007D10FB">
      <w:pPr>
        <w:pStyle w:val="XBRLTitle3"/>
        <w:spacing w:before="156"/>
        <w:ind w:left="0"/>
      </w:pPr>
      <w:bookmarkStart w:id="213" w:name="_Toc513386627"/>
      <w:bookmarkStart w:id="214" w:name="_Toc490050041"/>
      <w:bookmarkStart w:id="215" w:name="_Toc481075088"/>
      <w:bookmarkStart w:id="216" w:name="_Toc512519520"/>
      <w:bookmarkStart w:id="217" w:name="m510_05_1678"/>
      <w:bookmarkEnd w:id="210"/>
      <w:proofErr w:type="spellStart"/>
      <w:r>
        <w:rPr>
          <w:rFonts w:hint="eastAsia"/>
        </w:rPr>
        <w:t>投资组合报告附注的其他文字描述部分</w:t>
      </w:r>
      <w:bookmarkEnd w:id="213"/>
      <w:bookmarkEnd w:id="214"/>
      <w:bookmarkEnd w:id="215"/>
      <w:bookmarkEnd w:id="216"/>
      <w:proofErr w:type="spellEnd"/>
      <w:r>
        <w:rPr>
          <w:rFonts w:hint="eastAsia"/>
          <w:sz w:val="21"/>
        </w:rPr>
        <w:t xml:space="preserve"> </w:t>
      </w:r>
    </w:p>
    <w:p w:rsidR="007766B7" w:rsidRDefault="007D10FB">
      <w:pPr>
        <w:spacing w:line="360" w:lineRule="auto"/>
        <w:ind w:firstLineChars="200" w:firstLine="420"/>
        <w:jc w:val="left"/>
      </w:pPr>
      <w:r>
        <w:rPr>
          <w:rFonts w:ascii="宋体" w:hAnsi="宋体" w:hint="eastAsia"/>
        </w:rPr>
        <w:t>因四舍五入原因，投资组合报告中分项之和与合计可能存在尾差。</w:t>
      </w:r>
    </w:p>
    <w:p w:rsidR="007766B7" w:rsidRDefault="007D10FB">
      <w:pPr>
        <w:pStyle w:val="XBRLTitle1"/>
        <w:spacing w:before="156" w:line="360" w:lineRule="auto"/>
        <w:ind w:left="425"/>
      </w:pPr>
      <w:bookmarkStart w:id="218" w:name="_Toc513386628"/>
      <w:bookmarkStart w:id="219" w:name="_Toc490050042"/>
      <w:bookmarkStart w:id="220" w:name="_Toc438646477"/>
      <w:bookmarkStart w:id="221" w:name="_Toc481075089"/>
      <w:bookmarkStart w:id="222" w:name="_Toc512519521"/>
      <w:bookmarkStart w:id="223" w:name="m601"/>
      <w:bookmarkEnd w:id="126"/>
      <w:bookmarkEnd w:id="217"/>
      <w:proofErr w:type="spellStart"/>
      <w:r>
        <w:rPr>
          <w:rFonts w:hAnsi="宋体" w:hint="eastAsia"/>
        </w:rPr>
        <w:t>开放式基金份额变动</w:t>
      </w:r>
      <w:bookmarkStart w:id="224" w:name="m601_tab"/>
      <w:bookmarkEnd w:id="218"/>
      <w:bookmarkEnd w:id="219"/>
      <w:bookmarkEnd w:id="220"/>
      <w:bookmarkEnd w:id="221"/>
      <w:bookmarkEnd w:id="222"/>
      <w:proofErr w:type="spellEnd"/>
    </w:p>
    <w:p w:rsidR="007766B7" w:rsidRDefault="007D10FB">
      <w:pPr>
        <w:wordWrap w:val="0"/>
        <w:spacing w:line="360" w:lineRule="auto"/>
        <w:jc w:val="right"/>
      </w:pPr>
      <w:bookmarkStart w:id="225" w:name="m10_01_tab"/>
      <w:bookmarkEnd w:id="13"/>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5301"/>
      </w:tblGrid>
      <w:tr w:rsidR="007766B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bookmarkEnd w:id="225"/>
          <w:p w:rsidR="007766B7" w:rsidRDefault="007D10F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初基金</w:t>
            </w:r>
            <w:proofErr w:type="gramEnd"/>
            <w:r>
              <w:rPr>
                <w:rFonts w:ascii="宋体" w:hAnsi="宋体" w:hint="eastAsia"/>
                <w:kern w:val="2"/>
                <w:sz w:val="21"/>
              </w:rPr>
              <w:t>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kern w:val="0"/>
                <w:szCs w:val="24"/>
                <w:lang w:eastAsia="zh-Hans"/>
              </w:rPr>
              <w:t>11,599,623,668.00</w:t>
            </w:r>
          </w:p>
        </w:tc>
      </w:tr>
      <w:tr w:rsidR="007766B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报告期期间基金总申购份额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lang w:eastAsia="zh-Hans"/>
              </w:rPr>
              <w:t>1,575,000,000.00</w:t>
            </w:r>
          </w:p>
        </w:tc>
      </w:tr>
      <w:tr w:rsidR="007766B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减：报告期期间基金总赎回份额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lang w:eastAsia="zh-Hans"/>
              </w:rPr>
              <w:t>3,783,000,000.00</w:t>
            </w:r>
          </w:p>
        </w:tc>
      </w:tr>
      <w:tr w:rsidR="007766B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报告期期间基金拆分变动份额（份额减少以“-”填列）</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lang w:eastAsia="zh-Hans"/>
              </w:rPr>
              <w:t>-</w:t>
            </w:r>
          </w:p>
        </w:tc>
      </w:tr>
      <w:tr w:rsidR="007766B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766B7" w:rsidRDefault="007D10FB">
            <w:pPr>
              <w:jc w:val="right"/>
            </w:pPr>
            <w:r>
              <w:rPr>
                <w:rFonts w:ascii="宋体" w:hAnsi="宋体" w:hint="eastAsia"/>
                <w:szCs w:val="24"/>
                <w:lang w:eastAsia="zh-Hans"/>
              </w:rPr>
              <w:t>9,391,623,668.00</w:t>
            </w:r>
            <w:r>
              <w:rPr>
                <w:rFonts w:ascii="宋体" w:hAnsi="宋体" w:hint="eastAsia"/>
                <w:lang w:eastAsia="zh-Hans"/>
              </w:rPr>
              <w:t xml:space="preserve"> </w:t>
            </w:r>
          </w:p>
        </w:tc>
      </w:tr>
    </w:tbl>
    <w:p w:rsidR="007766B7" w:rsidRDefault="007D10FB">
      <w:pPr>
        <w:spacing w:line="360" w:lineRule="auto"/>
        <w:jc w:val="left"/>
      </w:pPr>
      <w:r>
        <w:rPr>
          <w:rFonts w:ascii="宋体" w:hAnsi="宋体" w:hint="eastAsia"/>
          <w:szCs w:val="21"/>
        </w:rPr>
        <w:t>注：</w:t>
      </w:r>
      <w:r>
        <w:rPr>
          <w:rFonts w:ascii="宋体" w:hAnsi="宋体" w:hint="eastAsia"/>
          <w:szCs w:val="21"/>
          <w:lang w:eastAsia="zh-Hans"/>
        </w:rPr>
        <w:t>总申购份额包含红利再投、转换入份额，总赎回份额包含转换出份额。</w:t>
      </w:r>
      <w:r>
        <w:rPr>
          <w:rFonts w:ascii="宋体" w:hAnsi="宋体" w:hint="eastAsia"/>
        </w:rPr>
        <w:t xml:space="preserve"> </w:t>
      </w:r>
    </w:p>
    <w:p w:rsidR="007766B7" w:rsidRDefault="007D10FB">
      <w:pPr>
        <w:pStyle w:val="XBRLTitle1"/>
        <w:spacing w:before="156" w:line="360" w:lineRule="auto"/>
        <w:ind w:left="425"/>
      </w:pPr>
      <w:bookmarkStart w:id="226" w:name="_Toc513386629"/>
      <w:bookmarkStart w:id="227" w:name="_Toc490050043"/>
      <w:bookmarkStart w:id="228" w:name="_Toc438646478"/>
      <w:bookmarkStart w:id="229" w:name="_Toc481075090"/>
      <w:bookmarkStart w:id="230" w:name="_Toc512519522"/>
      <w:bookmarkStart w:id="231" w:name="m7manage01"/>
      <w:bookmarkEnd w:id="223"/>
      <w:bookmarkEnd w:id="224"/>
      <w:proofErr w:type="spellStart"/>
      <w:r>
        <w:rPr>
          <w:rFonts w:hAnsi="宋体" w:hint="eastAsia"/>
        </w:rPr>
        <w:t>基金管理人运用固有资金投资本基金情况</w:t>
      </w:r>
      <w:bookmarkEnd w:id="226"/>
      <w:bookmarkEnd w:id="227"/>
      <w:bookmarkEnd w:id="228"/>
      <w:bookmarkEnd w:id="229"/>
      <w:bookmarkEnd w:id="230"/>
      <w:bookmarkEnd w:id="231"/>
      <w:proofErr w:type="spellEnd"/>
      <w:r>
        <w:rPr>
          <w:rFonts w:hAnsi="宋体" w:hint="eastAsia"/>
        </w:rPr>
        <w:t xml:space="preserve"> </w:t>
      </w:r>
    </w:p>
    <w:p w:rsidR="007766B7" w:rsidRDefault="007D10FB">
      <w:pPr>
        <w:pStyle w:val="XBRLTitle2"/>
        <w:spacing w:before="156" w:line="360" w:lineRule="auto"/>
        <w:ind w:left="454"/>
      </w:pPr>
      <w:bookmarkStart w:id="232" w:name="_Toc513386630"/>
      <w:bookmarkStart w:id="233" w:name="_Toc490050044"/>
      <w:bookmarkStart w:id="234" w:name="_Toc458599606"/>
      <w:bookmarkStart w:id="235" w:name="_Toc481075091"/>
      <w:bookmarkStart w:id="236" w:name="_Toc512519523"/>
      <w:proofErr w:type="spellStart"/>
      <w:r>
        <w:rPr>
          <w:rFonts w:hAnsi="宋体" w:hint="eastAsia"/>
        </w:rPr>
        <w:t>基金管理人持有本基金份额变动情况</w:t>
      </w:r>
      <w:bookmarkEnd w:id="232"/>
      <w:bookmarkEnd w:id="233"/>
      <w:bookmarkEnd w:id="234"/>
      <w:bookmarkEnd w:id="235"/>
      <w:bookmarkEnd w:id="236"/>
      <w:proofErr w:type="spellEnd"/>
      <w:r>
        <w:rPr>
          <w:rFonts w:hAnsi="宋体" w:hint="eastAsia"/>
          <w:lang w:eastAsia="zh-CN"/>
        </w:rPr>
        <w:t xml:space="preserve"> </w:t>
      </w:r>
    </w:p>
    <w:p w:rsidR="007766B7" w:rsidRDefault="007D10FB">
      <w:pPr>
        <w:spacing w:line="360" w:lineRule="auto"/>
        <w:ind w:firstLineChars="200" w:firstLine="420"/>
        <w:jc w:val="left"/>
      </w:pPr>
      <w:r>
        <w:rPr>
          <w:rFonts w:ascii="宋体" w:hAnsi="宋体" w:hint="eastAsia"/>
          <w:szCs w:val="21"/>
          <w:lang w:eastAsia="zh-Hans"/>
        </w:rPr>
        <w:t>无。</w:t>
      </w:r>
      <w:r>
        <w:rPr>
          <w:rFonts w:ascii="宋体" w:hAnsi="宋体" w:hint="eastAsia"/>
        </w:rPr>
        <w:t xml:space="preserve"> </w:t>
      </w:r>
    </w:p>
    <w:p w:rsidR="007766B7" w:rsidRDefault="007D10FB">
      <w:pPr>
        <w:pStyle w:val="XBRLTitle2"/>
        <w:spacing w:before="156" w:line="360" w:lineRule="auto"/>
        <w:ind w:left="454"/>
      </w:pPr>
      <w:bookmarkStart w:id="237" w:name="_Toc513386631"/>
      <w:bookmarkStart w:id="238" w:name="_Toc490050045"/>
      <w:bookmarkStart w:id="239" w:name="_Toc458599607"/>
      <w:bookmarkStart w:id="240" w:name="_Toc481075092"/>
      <w:bookmarkStart w:id="241" w:name="_Toc512519524"/>
      <w:proofErr w:type="spellStart"/>
      <w:r>
        <w:rPr>
          <w:rFonts w:hAnsi="宋体" w:hint="eastAsia"/>
        </w:rPr>
        <w:lastRenderedPageBreak/>
        <w:t>基金管理人运用固有资金投资本基金交易明细</w:t>
      </w:r>
      <w:bookmarkEnd w:id="237"/>
      <w:bookmarkEnd w:id="238"/>
      <w:bookmarkEnd w:id="239"/>
      <w:bookmarkEnd w:id="240"/>
      <w:bookmarkEnd w:id="241"/>
      <w:proofErr w:type="spellEnd"/>
      <w:r>
        <w:rPr>
          <w:rFonts w:hAnsi="宋体" w:hint="eastAsia"/>
          <w:lang w:eastAsia="zh-CN"/>
        </w:rPr>
        <w:t xml:space="preserve"> </w:t>
      </w:r>
    </w:p>
    <w:p w:rsidR="007766B7" w:rsidRDefault="007D10FB">
      <w:pPr>
        <w:spacing w:line="360" w:lineRule="auto"/>
        <w:ind w:firstLineChars="200" w:firstLine="420"/>
        <w:jc w:val="left"/>
      </w:pPr>
      <w:r>
        <w:rPr>
          <w:rFonts w:ascii="宋体" w:hAnsi="宋体" w:hint="eastAsia"/>
          <w:lang w:eastAsia="zh-Hans"/>
        </w:rPr>
        <w:t>无。</w:t>
      </w:r>
      <w:r>
        <w:rPr>
          <w:rFonts w:ascii="宋体" w:hAnsi="宋体" w:hint="eastAsia"/>
        </w:rPr>
        <w:t xml:space="preserve"> </w:t>
      </w:r>
    </w:p>
    <w:p w:rsidR="007766B7" w:rsidRDefault="007D10FB">
      <w:pPr>
        <w:pStyle w:val="XBRLTitle1"/>
        <w:spacing w:before="156" w:line="360" w:lineRule="auto"/>
        <w:ind w:left="425"/>
      </w:pPr>
      <w:bookmarkStart w:id="242" w:name="_Toc513386632"/>
      <w:bookmarkStart w:id="243" w:name="_Toc479856294"/>
      <w:bookmarkStart w:id="244" w:name="_Toc481075094"/>
      <w:bookmarkStart w:id="245" w:name="_Toc490050046"/>
      <w:bookmarkStart w:id="246" w:name="_Toc512519526"/>
      <w:bookmarkStart w:id="247" w:name="m701"/>
      <w:proofErr w:type="spellStart"/>
      <w:r>
        <w:rPr>
          <w:rFonts w:hAnsi="宋体" w:hint="eastAsia"/>
        </w:rPr>
        <w:t>影响投资者决策的其他重要信息</w:t>
      </w:r>
      <w:bookmarkEnd w:id="242"/>
      <w:bookmarkEnd w:id="243"/>
      <w:bookmarkEnd w:id="244"/>
      <w:bookmarkEnd w:id="245"/>
      <w:bookmarkEnd w:id="246"/>
      <w:proofErr w:type="spellEnd"/>
      <w:r>
        <w:rPr>
          <w:rFonts w:hAnsi="宋体" w:hint="eastAsia"/>
          <w:lang w:eastAsia="zh-CN"/>
        </w:rPr>
        <w:t xml:space="preserve"> </w:t>
      </w:r>
    </w:p>
    <w:p w:rsidR="007766B7" w:rsidRDefault="007D10FB">
      <w:pPr>
        <w:pStyle w:val="XBRLTitle2"/>
        <w:spacing w:before="156" w:line="360" w:lineRule="auto"/>
        <w:ind w:left="454"/>
      </w:pPr>
      <w:bookmarkStart w:id="248" w:name="_Toc513386633"/>
      <w:bookmarkStart w:id="249" w:name="_Toc490050047"/>
      <w:bookmarkStart w:id="250" w:name="_Toc481075095"/>
      <w:bookmarkStart w:id="251" w:name="_Toc512519527"/>
      <w:r>
        <w:rPr>
          <w:rFonts w:hAnsi="宋体" w:hint="eastAsia"/>
          <w:kern w:val="0"/>
        </w:rPr>
        <w:t>报告期内单一投资者持有基金份额比例达到或超过20%的情况</w:t>
      </w:r>
      <w:bookmarkEnd w:id="248"/>
      <w:bookmarkEnd w:id="249"/>
      <w:bookmarkEnd w:id="250"/>
      <w:bookmarkEnd w:id="251"/>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
        <w:gridCol w:w="736"/>
        <w:gridCol w:w="955"/>
        <w:gridCol w:w="1690"/>
        <w:gridCol w:w="755"/>
        <w:gridCol w:w="1480"/>
        <w:gridCol w:w="1690"/>
        <w:gridCol w:w="1103"/>
      </w:tblGrid>
      <w:tr w:rsidR="007766B7">
        <w:trPr>
          <w:divId w:val="1047726405"/>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66B7" w:rsidRDefault="007D10FB">
            <w:pPr>
              <w:jc w:val="center"/>
            </w:pPr>
            <w:bookmarkStart w:id="252" w:name="m12_01"/>
            <w:bookmarkStart w:id="253" w:name="_Toc433036733"/>
            <w:bookmarkStart w:id="254" w:name="m13_01_01"/>
            <w:bookmarkStart w:id="255" w:name="m13_01"/>
            <w:bookmarkStart w:id="256" w:name="OLE_LINK41"/>
            <w:bookmarkStart w:id="257" w:name="OLE_LINK42"/>
            <w:bookmarkEnd w:id="32"/>
            <w:bookmarkEnd w:id="33"/>
            <w:r>
              <w:rPr>
                <w:rFonts w:ascii="宋体" w:hAnsi="宋体" w:hint="eastAsia"/>
                <w:color w:val="000000"/>
                <w:kern w:val="0"/>
              </w:rPr>
              <w:t xml:space="preserve">投资者类别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66B7" w:rsidRDefault="007D10FB">
            <w:pPr>
              <w:widowControl/>
              <w:jc w:val="center"/>
            </w:pPr>
            <w:r>
              <w:rPr>
                <w:rFonts w:ascii="宋体" w:hAnsi="宋体" w:hint="eastAsia"/>
                <w:color w:val="000000"/>
                <w:kern w:val="0"/>
              </w:rPr>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66B7" w:rsidRDefault="007D10FB">
            <w:pPr>
              <w:widowControl/>
              <w:jc w:val="center"/>
            </w:pPr>
            <w:r>
              <w:rPr>
                <w:rFonts w:ascii="宋体" w:hAnsi="宋体" w:hint="eastAsia"/>
                <w:color w:val="000000"/>
                <w:kern w:val="0"/>
              </w:rPr>
              <w:t xml:space="preserve">报告期末持有基金情况 </w:t>
            </w:r>
          </w:p>
        </w:tc>
      </w:tr>
      <w:tr w:rsidR="007766B7">
        <w:trPr>
          <w:divId w:val="1047726405"/>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66B7" w:rsidRDefault="007766B7">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66B7" w:rsidRDefault="007D10FB">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66B7" w:rsidRDefault="007D10FB">
            <w:pPr>
              <w:widowControl/>
              <w:jc w:val="center"/>
            </w:pPr>
            <w:r>
              <w:rPr>
                <w:rFonts w:ascii="宋体" w:hAnsi="宋体" w:hint="eastAsia"/>
                <w:color w:val="000000"/>
                <w:kern w:val="0"/>
              </w:rPr>
              <w:t xml:space="preserve">持有基金份额比例达到或者超过20%的时间区间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66B7" w:rsidRDefault="007D10FB">
            <w:pPr>
              <w:widowControl/>
              <w:jc w:val="center"/>
            </w:pPr>
            <w:r>
              <w:rPr>
                <w:rFonts w:ascii="宋体" w:hAnsi="宋体" w:hint="eastAsia"/>
                <w:color w:val="000000"/>
                <w:kern w:val="0"/>
              </w:rPr>
              <w:t xml:space="preserve">期初 </w:t>
            </w:r>
          </w:p>
          <w:p w:rsidR="007766B7" w:rsidRDefault="007D10FB">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66B7" w:rsidRDefault="007D10FB">
            <w:pPr>
              <w:widowControl/>
              <w:jc w:val="center"/>
            </w:pPr>
            <w:r>
              <w:rPr>
                <w:rFonts w:ascii="宋体" w:hAnsi="宋体" w:hint="eastAsia"/>
                <w:color w:val="000000"/>
                <w:kern w:val="0"/>
              </w:rPr>
              <w:t xml:space="preserve">申购 </w:t>
            </w:r>
          </w:p>
          <w:p w:rsidR="007766B7" w:rsidRDefault="007D10FB">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66B7" w:rsidRDefault="007D10FB">
            <w:pPr>
              <w:widowControl/>
              <w:jc w:val="center"/>
            </w:pPr>
            <w:r>
              <w:rPr>
                <w:rFonts w:ascii="宋体" w:hAnsi="宋体" w:hint="eastAsia"/>
                <w:color w:val="000000"/>
                <w:kern w:val="0"/>
              </w:rPr>
              <w:t xml:space="preserve">赎回 </w:t>
            </w:r>
          </w:p>
          <w:p w:rsidR="007766B7" w:rsidRDefault="007D10FB">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66B7" w:rsidRDefault="007D10FB">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66B7" w:rsidRDefault="007D10FB">
            <w:pPr>
              <w:widowControl/>
              <w:jc w:val="center"/>
            </w:pPr>
            <w:r>
              <w:rPr>
                <w:rFonts w:ascii="宋体" w:hAnsi="宋体" w:hint="eastAsia"/>
                <w:color w:val="000000"/>
                <w:kern w:val="0"/>
              </w:rPr>
              <w:t xml:space="preserve">份额占比 </w:t>
            </w:r>
          </w:p>
        </w:tc>
      </w:tr>
      <w:tr w:rsidR="007766B7">
        <w:trPr>
          <w:divId w:val="1047726405"/>
          <w:trHeight w:val="460"/>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766B7" w:rsidRDefault="007D10FB">
            <w:pPr>
              <w:widowControl/>
              <w:jc w:val="center"/>
            </w:pPr>
            <w:r>
              <w:rPr>
                <w:rFonts w:ascii="宋体" w:hAnsi="宋体" w:hint="eastAsia"/>
                <w:color w:val="000000"/>
                <w:szCs w:val="21"/>
              </w:rPr>
              <w:t>联接基金</w:t>
            </w:r>
            <w:r>
              <w:rPr>
                <w:rFonts w:ascii="宋体" w:hAnsi="宋体" w:hint="eastAsia"/>
                <w:color w:val="000000"/>
                <w:kern w:val="0"/>
                <w:sz w:val="22"/>
              </w:rPr>
              <w:t xml:space="preserve"> </w:t>
            </w:r>
          </w:p>
        </w:tc>
        <w:tc>
          <w:tcPr>
            <w:tcW w:w="71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7766B7" w:rsidRDefault="007D10FB">
            <w:pPr>
              <w:widowControl/>
              <w:jc w:val="center"/>
            </w:pPr>
            <w:r>
              <w:rPr>
                <w:rFonts w:ascii="宋体" w:hAnsi="宋体" w:hint="eastAsia"/>
                <w:color w:val="000000"/>
                <w:szCs w:val="21"/>
              </w:rPr>
              <w:t>1</w:t>
            </w:r>
            <w:r>
              <w:rPr>
                <w:rFonts w:ascii="宋体" w:hAnsi="宋体" w:hint="eastAsia"/>
                <w:color w:val="000000"/>
                <w:kern w:val="0"/>
                <w:sz w:val="22"/>
              </w:rPr>
              <w:t xml:space="preserve"> </w:t>
            </w:r>
          </w:p>
        </w:tc>
        <w:tc>
          <w:tcPr>
            <w:tcW w:w="701" w:type="dxa"/>
            <w:tcBorders>
              <w:top w:val="nil"/>
              <w:left w:val="nil"/>
              <w:bottom w:val="single" w:sz="4" w:space="0" w:color="auto"/>
              <w:right w:val="single" w:sz="4" w:space="0" w:color="auto"/>
            </w:tcBorders>
            <w:vAlign w:val="center"/>
            <w:hideMark/>
          </w:tcPr>
          <w:p w:rsidR="007766B7" w:rsidRDefault="007D10FB">
            <w:pPr>
              <w:widowControl/>
              <w:jc w:val="center"/>
            </w:pPr>
            <w:r>
              <w:rPr>
                <w:rFonts w:ascii="宋体" w:hAnsi="宋体" w:hint="eastAsia"/>
                <w:color w:val="000000"/>
                <w:szCs w:val="21"/>
              </w:rPr>
              <w:t>20250101-20250331</w:t>
            </w:r>
            <w:r>
              <w:rPr>
                <w:rFonts w:ascii="宋体" w:hAnsi="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hideMark/>
          </w:tcPr>
          <w:p w:rsidR="007766B7" w:rsidRDefault="007D10FB">
            <w:pPr>
              <w:widowControl/>
              <w:jc w:val="right"/>
            </w:pPr>
            <w:r>
              <w:rPr>
                <w:rFonts w:ascii="宋体" w:hAnsi="宋体" w:hint="eastAsia"/>
                <w:color w:val="000000"/>
                <w:szCs w:val="21"/>
              </w:rPr>
              <w:t>3,104,407,142.00</w:t>
            </w:r>
            <w:r>
              <w:rPr>
                <w:rFonts w:ascii="宋体" w:hAnsi="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hideMark/>
          </w:tcPr>
          <w:p w:rsidR="007766B7" w:rsidRDefault="007D10FB">
            <w:pPr>
              <w:widowControl/>
              <w:jc w:val="right"/>
            </w:pPr>
            <w:r>
              <w:rPr>
                <w:rFonts w:ascii="宋体" w:hAnsi="宋体" w:hint="eastAsia"/>
                <w:color w:val="000000"/>
                <w:szCs w:val="21"/>
              </w:rPr>
              <w:t>0.00</w:t>
            </w:r>
            <w:r>
              <w:rPr>
                <w:rFonts w:ascii="宋体" w:hAnsi="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hideMark/>
          </w:tcPr>
          <w:p w:rsidR="007766B7" w:rsidRDefault="007D10FB">
            <w:pPr>
              <w:widowControl/>
              <w:jc w:val="right"/>
            </w:pPr>
            <w:r>
              <w:rPr>
                <w:rFonts w:ascii="宋体" w:hAnsi="宋体" w:hint="eastAsia"/>
                <w:color w:val="000000"/>
                <w:szCs w:val="21"/>
              </w:rPr>
              <w:t>304,399,903.00</w:t>
            </w:r>
            <w:r>
              <w:rPr>
                <w:rFonts w:ascii="宋体" w:hAnsi="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hideMark/>
          </w:tcPr>
          <w:p w:rsidR="007766B7" w:rsidRDefault="007D10FB">
            <w:pPr>
              <w:widowControl/>
              <w:jc w:val="right"/>
            </w:pPr>
            <w:r>
              <w:rPr>
                <w:rFonts w:ascii="宋体" w:hAnsi="宋体" w:hint="eastAsia"/>
                <w:color w:val="000000"/>
                <w:szCs w:val="21"/>
              </w:rPr>
              <w:t>2,800,007,239.00</w:t>
            </w:r>
            <w:r>
              <w:rPr>
                <w:rFonts w:ascii="宋体" w:hAnsi="宋体" w:hint="eastAsia"/>
                <w:color w:val="000000"/>
                <w:kern w:val="0"/>
                <w:sz w:val="22"/>
              </w:rPr>
              <w:t xml:space="preserve"> </w:t>
            </w:r>
          </w:p>
        </w:tc>
        <w:tc>
          <w:tcPr>
            <w:tcW w:w="700" w:type="dxa"/>
            <w:tcBorders>
              <w:top w:val="nil"/>
              <w:left w:val="nil"/>
              <w:bottom w:val="single" w:sz="4" w:space="0" w:color="auto"/>
              <w:right w:val="single" w:sz="4" w:space="0" w:color="auto"/>
            </w:tcBorders>
            <w:vAlign w:val="center"/>
            <w:hideMark/>
          </w:tcPr>
          <w:p w:rsidR="007766B7" w:rsidRDefault="007D10FB">
            <w:pPr>
              <w:widowControl/>
              <w:jc w:val="right"/>
            </w:pPr>
            <w:r>
              <w:rPr>
                <w:rFonts w:ascii="宋体" w:hAnsi="宋体" w:hint="eastAsia"/>
                <w:color w:val="000000"/>
                <w:szCs w:val="21"/>
              </w:rPr>
              <w:t>29.8100</w:t>
            </w:r>
            <w:r>
              <w:rPr>
                <w:szCs w:val="21"/>
              </w:rPr>
              <w:t>%</w:t>
            </w:r>
            <w:r>
              <w:t xml:space="preserve"> </w:t>
            </w:r>
            <w:bookmarkEnd w:id="18"/>
            <w:bookmarkEnd w:id="252"/>
            <w:bookmarkEnd w:id="253"/>
            <w:bookmarkEnd w:id="254"/>
            <w:bookmarkEnd w:id="255"/>
            <w:bookmarkEnd w:id="256"/>
            <w:bookmarkEnd w:id="257"/>
          </w:p>
        </w:tc>
      </w:tr>
      <w:bookmarkEnd w:id="19"/>
      <w:bookmarkEnd w:id="54"/>
      <w:tr w:rsidR="007766B7">
        <w:trPr>
          <w:divId w:val="1047726405"/>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widowControl/>
              <w:jc w:val="center"/>
            </w:pPr>
            <w:r>
              <w:rPr>
                <w:rFonts w:ascii="宋体" w:hAnsi="宋体" w:hint="eastAsia"/>
                <w:color w:val="000000"/>
                <w:kern w:val="0"/>
              </w:rPr>
              <w:t xml:space="preserve">产品特有风险 </w:t>
            </w:r>
          </w:p>
        </w:tc>
      </w:tr>
      <w:tr w:rsidR="007766B7">
        <w:trPr>
          <w:divId w:val="1047726405"/>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6B7" w:rsidRDefault="007D10FB">
            <w:pPr>
              <w:widowControl/>
              <w:jc w:val="left"/>
            </w:pPr>
            <w:r>
              <w:rPr>
                <w:rFonts w:ascii="宋体" w:hAnsi="宋体" w:hint="eastAsia"/>
                <w:color w:val="00000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rsidR="007766B7" w:rsidRDefault="007D10FB">
      <w:pPr>
        <w:pStyle w:val="XBRLTitle1"/>
        <w:spacing w:before="156" w:line="360" w:lineRule="auto"/>
        <w:ind w:left="425"/>
      </w:pPr>
      <w:bookmarkStart w:id="258" w:name="_Toc513386635"/>
      <w:bookmarkStart w:id="259" w:name="_Toc438646481"/>
      <w:bookmarkStart w:id="260" w:name="_Toc481075097"/>
      <w:bookmarkStart w:id="261" w:name="_Toc490050049"/>
      <w:bookmarkStart w:id="262" w:name="_Toc512519529"/>
      <w:bookmarkEnd w:id="247"/>
      <w:proofErr w:type="spellStart"/>
      <w:r>
        <w:rPr>
          <w:rFonts w:hAnsi="宋体" w:hint="eastAsia"/>
        </w:rPr>
        <w:t>备查文件目录</w:t>
      </w:r>
      <w:bookmarkEnd w:id="258"/>
      <w:bookmarkEnd w:id="259"/>
      <w:bookmarkEnd w:id="260"/>
      <w:bookmarkEnd w:id="261"/>
      <w:bookmarkEnd w:id="262"/>
      <w:proofErr w:type="spellEnd"/>
      <w:r>
        <w:rPr>
          <w:rFonts w:hAnsi="宋体" w:hint="eastAsia"/>
        </w:rPr>
        <w:t xml:space="preserve"> </w:t>
      </w:r>
    </w:p>
    <w:p w:rsidR="007766B7" w:rsidRDefault="007D10FB">
      <w:pPr>
        <w:pStyle w:val="XBRLTitle2"/>
        <w:spacing w:before="156" w:line="360" w:lineRule="auto"/>
        <w:ind w:left="454"/>
      </w:pPr>
      <w:bookmarkStart w:id="263" w:name="_Toc438646482"/>
      <w:bookmarkStart w:id="264" w:name="_Toc513386636"/>
      <w:bookmarkStart w:id="265" w:name="_Toc490050050"/>
      <w:bookmarkStart w:id="266" w:name="_Toc481075098"/>
      <w:bookmarkStart w:id="267" w:name="_Toc512519530"/>
      <w:bookmarkStart w:id="268" w:name="m801_01_1733"/>
      <w:proofErr w:type="spellStart"/>
      <w:r>
        <w:rPr>
          <w:rFonts w:hAnsi="宋体" w:hint="eastAsia"/>
        </w:rPr>
        <w:t>备查文件目录</w:t>
      </w:r>
      <w:bookmarkEnd w:id="263"/>
      <w:bookmarkEnd w:id="264"/>
      <w:bookmarkEnd w:id="265"/>
      <w:bookmarkEnd w:id="266"/>
      <w:bookmarkEnd w:id="267"/>
      <w:proofErr w:type="spellEnd"/>
      <w:r>
        <w:rPr>
          <w:rFonts w:hAnsi="宋体" w:hint="eastAsia"/>
        </w:rPr>
        <w:t xml:space="preserve"> </w:t>
      </w:r>
    </w:p>
    <w:p w:rsidR="007766B7" w:rsidRDefault="007D10FB">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)中国证监会准予摩根中证A500交易型开放式指数证券投资基金募集注册的文件</w:t>
      </w:r>
      <w:r>
        <w:rPr>
          <w:rFonts w:ascii="宋体" w:hAnsi="宋体" w:cs="宋体" w:hint="eastAsia"/>
          <w:color w:val="000000"/>
          <w:kern w:val="0"/>
        </w:rPr>
        <w:br/>
        <w:t xml:space="preserve">　　(二)摩根中证A500交易型开放式指数证券投资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(三)摩根中证A500交易型开放式指数证券投资基金托管协议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rsidR="007766B7" w:rsidRDefault="007D10FB">
      <w:pPr>
        <w:pStyle w:val="XBRLTitle2"/>
        <w:spacing w:before="156" w:line="360" w:lineRule="auto"/>
        <w:ind w:left="454"/>
      </w:pPr>
      <w:bookmarkStart w:id="269" w:name="_Toc438646483"/>
      <w:bookmarkStart w:id="270" w:name="_Toc513386637"/>
      <w:bookmarkStart w:id="271" w:name="_Toc490050051"/>
      <w:bookmarkStart w:id="272" w:name="_Toc481075099"/>
      <w:bookmarkStart w:id="273" w:name="_Toc512519531"/>
      <w:bookmarkStart w:id="274" w:name="m801_01_1734"/>
      <w:bookmarkEnd w:id="268"/>
      <w:proofErr w:type="spellStart"/>
      <w:r>
        <w:rPr>
          <w:rFonts w:hAnsi="宋体" w:hint="eastAsia"/>
        </w:rPr>
        <w:t>存放地点</w:t>
      </w:r>
      <w:bookmarkEnd w:id="269"/>
      <w:bookmarkEnd w:id="270"/>
      <w:bookmarkEnd w:id="271"/>
      <w:bookmarkEnd w:id="272"/>
      <w:bookmarkEnd w:id="273"/>
      <w:proofErr w:type="spellEnd"/>
      <w:r>
        <w:rPr>
          <w:rFonts w:hAnsi="宋体" w:hint="eastAsia"/>
        </w:rPr>
        <w:t xml:space="preserve"> </w:t>
      </w:r>
    </w:p>
    <w:p w:rsidR="007766B7" w:rsidRDefault="007D10FB">
      <w:pPr>
        <w:spacing w:line="360" w:lineRule="auto"/>
        <w:ind w:firstLineChars="200" w:firstLine="420"/>
        <w:jc w:val="left"/>
      </w:pPr>
      <w:r>
        <w:rPr>
          <w:rFonts w:ascii="宋体" w:hAnsi="宋体" w:cs="宋体" w:hint="eastAsia"/>
          <w:color w:val="000000"/>
          <w:kern w:val="0"/>
        </w:rPr>
        <w:t>基金管理人或基金托管人住所。</w:t>
      </w:r>
    </w:p>
    <w:p w:rsidR="007766B7" w:rsidRDefault="007D10FB">
      <w:pPr>
        <w:pStyle w:val="XBRLTitle2"/>
        <w:spacing w:before="156" w:line="360" w:lineRule="auto"/>
        <w:ind w:left="454"/>
      </w:pPr>
      <w:bookmarkStart w:id="275" w:name="_Toc438646484"/>
      <w:bookmarkStart w:id="276" w:name="_Toc513386638"/>
      <w:bookmarkStart w:id="277" w:name="_Toc490050052"/>
      <w:bookmarkStart w:id="278" w:name="_Toc481075100"/>
      <w:bookmarkStart w:id="279" w:name="_Toc512519532"/>
      <w:bookmarkStart w:id="280" w:name="m801_01_1735"/>
      <w:bookmarkEnd w:id="274"/>
      <w:proofErr w:type="spellStart"/>
      <w:r>
        <w:rPr>
          <w:rFonts w:hAnsi="宋体" w:hint="eastAsia"/>
        </w:rPr>
        <w:t>查阅方式</w:t>
      </w:r>
      <w:bookmarkEnd w:id="275"/>
      <w:bookmarkEnd w:id="276"/>
      <w:bookmarkEnd w:id="277"/>
      <w:bookmarkEnd w:id="278"/>
      <w:bookmarkEnd w:id="279"/>
      <w:proofErr w:type="spellEnd"/>
      <w:r>
        <w:rPr>
          <w:rFonts w:hAnsi="宋体" w:hint="eastAsia"/>
        </w:rPr>
        <w:t xml:space="preserve"> </w:t>
      </w:r>
    </w:p>
    <w:p w:rsidR="007766B7" w:rsidRDefault="007D10FB">
      <w:pPr>
        <w:spacing w:line="360" w:lineRule="auto"/>
        <w:ind w:firstLineChars="200" w:firstLine="420"/>
        <w:jc w:val="left"/>
      </w:pPr>
      <w:r>
        <w:rPr>
          <w:rFonts w:ascii="宋体" w:hAnsi="宋体" w:cs="宋体" w:hint="eastAsia"/>
          <w:color w:val="000000"/>
          <w:kern w:val="0"/>
        </w:rPr>
        <w:lastRenderedPageBreak/>
        <w:t>投资者可在营业时间免费查阅，也可按工本费购买复印件。</w:t>
      </w:r>
    </w:p>
    <w:bookmarkEnd w:id="280"/>
    <w:p w:rsidR="007766B7" w:rsidRDefault="007D10FB">
      <w:pPr>
        <w:spacing w:line="360" w:lineRule="auto"/>
        <w:ind w:firstLineChars="600" w:firstLine="1687"/>
        <w:jc w:val="left"/>
      </w:pPr>
      <w:r>
        <w:rPr>
          <w:rFonts w:ascii="宋体" w:hAnsi="宋体" w:hint="eastAsia"/>
          <w:b/>
          <w:bCs/>
          <w:sz w:val="28"/>
          <w:szCs w:val="30"/>
        </w:rPr>
        <w:t xml:space="preserve">　 </w:t>
      </w:r>
    </w:p>
    <w:p w:rsidR="007766B7" w:rsidRDefault="007D10FB">
      <w:pPr>
        <w:spacing w:line="360" w:lineRule="auto"/>
        <w:ind w:firstLineChars="600" w:firstLine="1687"/>
        <w:jc w:val="left"/>
      </w:pPr>
      <w:r>
        <w:rPr>
          <w:rFonts w:ascii="宋体" w:hAnsi="宋体" w:hint="eastAsia"/>
          <w:b/>
          <w:bCs/>
          <w:sz w:val="28"/>
          <w:szCs w:val="30"/>
        </w:rPr>
        <w:t xml:space="preserve">　 </w:t>
      </w:r>
    </w:p>
    <w:p w:rsidR="007766B7" w:rsidRDefault="007D10FB">
      <w:pPr>
        <w:spacing w:line="360" w:lineRule="auto"/>
        <w:ind w:firstLineChars="600" w:firstLine="1446"/>
        <w:jc w:val="right"/>
      </w:pPr>
      <w:r>
        <w:rPr>
          <w:rFonts w:ascii="宋体" w:hAnsi="宋体" w:hint="eastAsia"/>
          <w:b/>
          <w:bCs/>
          <w:sz w:val="24"/>
          <w:szCs w:val="24"/>
        </w:rPr>
        <w:t>摩根基金管理（中国）有限公司</w:t>
      </w:r>
    </w:p>
    <w:p w:rsidR="007766B7" w:rsidRDefault="007D10FB">
      <w:pPr>
        <w:spacing w:line="360" w:lineRule="auto"/>
        <w:ind w:firstLineChars="600" w:firstLine="1446"/>
        <w:jc w:val="right"/>
      </w:pPr>
      <w:r>
        <w:rPr>
          <w:rFonts w:ascii="宋体" w:hAnsi="宋体" w:hint="eastAsia"/>
          <w:b/>
          <w:bCs/>
          <w:sz w:val="24"/>
          <w:szCs w:val="24"/>
        </w:rPr>
        <w:t>2025年4月22日</w:t>
      </w:r>
      <w:bookmarkEnd w:id="20"/>
    </w:p>
    <w:sectPr w:rsidR="007766B7">
      <w:headerReference w:type="default" r:id="rId9"/>
      <w:footerReference w:type="default" r:id="rId10"/>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6B7" w:rsidRDefault="007D10FB">
      <w:pPr>
        <w:rPr>
          <w:szCs w:val="21"/>
        </w:rPr>
      </w:pPr>
      <w:r>
        <w:rPr>
          <w:szCs w:val="21"/>
        </w:rPr>
        <w:separator/>
      </w:r>
      <w:r>
        <w:rPr>
          <w:szCs w:val="21"/>
        </w:rPr>
        <w:t xml:space="preserve"> </w:t>
      </w:r>
    </w:p>
  </w:endnote>
  <w:endnote w:type="continuationSeparator" w:id="0">
    <w:p w:rsidR="007766B7" w:rsidRDefault="007D10FB">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6B7" w:rsidRDefault="007D10FB">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CC2D04">
      <w:rPr>
        <w:rFonts w:ascii="宋体" w:hAnsi="宋体"/>
        <w:noProof/>
        <w:sz w:val="18"/>
        <w:szCs w:val="18"/>
      </w:rPr>
      <w:t>12</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CC2D04">
      <w:rPr>
        <w:rFonts w:ascii="宋体" w:hAnsi="宋体"/>
        <w:noProof/>
        <w:sz w:val="18"/>
        <w:szCs w:val="18"/>
      </w:rPr>
      <w:t>12</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6B7" w:rsidRDefault="007D10FB">
      <w:pPr>
        <w:rPr>
          <w:szCs w:val="21"/>
        </w:rPr>
      </w:pPr>
      <w:r>
        <w:rPr>
          <w:szCs w:val="21"/>
        </w:rPr>
        <w:separator/>
      </w:r>
      <w:r>
        <w:rPr>
          <w:szCs w:val="21"/>
        </w:rPr>
        <w:t xml:space="preserve"> </w:t>
      </w:r>
    </w:p>
  </w:footnote>
  <w:footnote w:type="continuationSeparator" w:id="0">
    <w:p w:rsidR="007766B7" w:rsidRDefault="007D10FB">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6B7" w:rsidRDefault="007D10FB">
    <w:pPr>
      <w:pStyle w:val="a8"/>
      <w:jc w:val="right"/>
    </w:pPr>
    <w:r>
      <w:rPr>
        <w:rFonts w:ascii="宋体" w:hAnsi="宋体" w:hint="eastAsia"/>
      </w:rPr>
      <w:t>摩根中证A500交易型开放式指数证券投资基金2025年第1季度报告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B6825186"/>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1078" w:hanging="794"/>
      </w:pPr>
      <w:rPr>
        <w:sz w:val="24"/>
        <w:szCs w:val="24"/>
      </w:r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0FB"/>
    <w:rsid w:val="007766B7"/>
    <w:rsid w:val="007D10FB"/>
    <w:rsid w:val="00CC2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FF01B4AC-D195-4A1C-8D6F-2489DFDB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42">
    <w:name w:val="toc 4"/>
    <w:basedOn w:val="a"/>
    <w:next w:val="a"/>
    <w:autoRedefine/>
    <w:uiPriority w:val="39"/>
    <w:semiHidden/>
    <w:unhideWhenUsed/>
    <w:pPr>
      <w:ind w:leftChars="600" w:left="1260"/>
    </w:pPr>
  </w:style>
  <w:style w:type="paragraph" w:styleId="a6">
    <w:name w:val="footnote text"/>
    <w:basedOn w:val="a"/>
    <w:link w:val="13"/>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7"/>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8"/>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keepNext w:val="0"/>
      <w:keepLines w:val="0"/>
      <w:numPr>
        <w:ilvl w:val="3"/>
        <w:numId w:val="2"/>
      </w:numPr>
      <w:spacing w:beforeLines="50" w:before="0" w:after="0" w:line="240" w:lineRule="auto"/>
      <w:ind w:left="1872"/>
      <w:outlineLvl w:val="9"/>
    </w:pPr>
    <w:rPr>
      <w:rFonts w:ascii="宋体"/>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23">
    <w:name w:val="页眉 字符2"/>
    <w:basedOn w:val="a0"/>
    <w:link w:val="a8"/>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Times New Roman" w:hint="default"/>
      <w:b/>
      <w:bCs/>
      <w:sz w:val="32"/>
      <w:szCs w:val="32"/>
    </w:rPr>
  </w:style>
  <w:style w:type="character" w:customStyle="1" w:styleId="16">
    <w:name w:val="副标题 字符1"/>
    <w:link w:val="ae"/>
    <w:locked/>
    <w:rPr>
      <w:rFonts w:ascii="Cambria" w:eastAsia="宋体" w:hAnsi="Cambria" w:cs="Times New Roman" w:hint="default"/>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a">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5566">
      <w:marLeft w:val="0"/>
      <w:marRight w:val="0"/>
      <w:marTop w:val="0"/>
      <w:marBottom w:val="0"/>
      <w:divBdr>
        <w:top w:val="none" w:sz="0" w:space="0" w:color="auto"/>
        <w:left w:val="none" w:sz="0" w:space="0" w:color="auto"/>
        <w:bottom w:val="none" w:sz="0" w:space="0" w:color="auto"/>
        <w:right w:val="none" w:sz="0" w:space="0" w:color="auto"/>
      </w:divBdr>
    </w:div>
    <w:div w:id="120342343">
      <w:marLeft w:val="0"/>
      <w:marRight w:val="0"/>
      <w:marTop w:val="0"/>
      <w:marBottom w:val="0"/>
      <w:divBdr>
        <w:top w:val="none" w:sz="0" w:space="0" w:color="auto"/>
        <w:left w:val="none" w:sz="0" w:space="0" w:color="auto"/>
        <w:bottom w:val="none" w:sz="0" w:space="0" w:color="auto"/>
        <w:right w:val="none" w:sz="0" w:space="0" w:color="auto"/>
      </w:divBdr>
      <w:divsChild>
        <w:div w:id="153182962">
          <w:marLeft w:val="0"/>
          <w:marRight w:val="0"/>
          <w:marTop w:val="0"/>
          <w:marBottom w:val="0"/>
          <w:divBdr>
            <w:top w:val="none" w:sz="0" w:space="0" w:color="auto"/>
            <w:left w:val="none" w:sz="0" w:space="0" w:color="auto"/>
            <w:bottom w:val="none" w:sz="0" w:space="0" w:color="auto"/>
            <w:right w:val="none" w:sz="0" w:space="0" w:color="auto"/>
          </w:divBdr>
        </w:div>
      </w:divsChild>
    </w:div>
    <w:div w:id="534544290">
      <w:marLeft w:val="0"/>
      <w:marRight w:val="0"/>
      <w:marTop w:val="0"/>
      <w:marBottom w:val="0"/>
      <w:divBdr>
        <w:top w:val="none" w:sz="0" w:space="0" w:color="auto"/>
        <w:left w:val="none" w:sz="0" w:space="0" w:color="auto"/>
        <w:bottom w:val="none" w:sz="0" w:space="0" w:color="auto"/>
        <w:right w:val="none" w:sz="0" w:space="0" w:color="auto"/>
      </w:divBdr>
    </w:div>
    <w:div w:id="624773279">
      <w:marLeft w:val="0"/>
      <w:marRight w:val="0"/>
      <w:marTop w:val="0"/>
      <w:marBottom w:val="0"/>
      <w:divBdr>
        <w:top w:val="none" w:sz="0" w:space="0" w:color="auto"/>
        <w:left w:val="none" w:sz="0" w:space="0" w:color="auto"/>
        <w:bottom w:val="none" w:sz="0" w:space="0" w:color="auto"/>
        <w:right w:val="none" w:sz="0" w:space="0" w:color="auto"/>
      </w:divBdr>
    </w:div>
    <w:div w:id="837232129">
      <w:marLeft w:val="0"/>
      <w:marRight w:val="0"/>
      <w:marTop w:val="0"/>
      <w:marBottom w:val="0"/>
      <w:divBdr>
        <w:top w:val="none" w:sz="0" w:space="0" w:color="auto"/>
        <w:left w:val="none" w:sz="0" w:space="0" w:color="auto"/>
        <w:bottom w:val="none" w:sz="0" w:space="0" w:color="auto"/>
        <w:right w:val="none" w:sz="0" w:space="0" w:color="auto"/>
      </w:divBdr>
    </w:div>
    <w:div w:id="1031764290">
      <w:marLeft w:val="0"/>
      <w:marRight w:val="0"/>
      <w:marTop w:val="0"/>
      <w:marBottom w:val="0"/>
      <w:divBdr>
        <w:top w:val="none" w:sz="0" w:space="0" w:color="auto"/>
        <w:left w:val="none" w:sz="0" w:space="0" w:color="auto"/>
        <w:bottom w:val="none" w:sz="0" w:space="0" w:color="auto"/>
        <w:right w:val="none" w:sz="0" w:space="0" w:color="auto"/>
      </w:divBdr>
    </w:div>
    <w:div w:id="1047726405">
      <w:marLeft w:val="0"/>
      <w:marRight w:val="0"/>
      <w:marTop w:val="0"/>
      <w:marBottom w:val="0"/>
      <w:divBdr>
        <w:top w:val="none" w:sz="0" w:space="0" w:color="auto"/>
        <w:left w:val="none" w:sz="0" w:space="0" w:color="auto"/>
        <w:bottom w:val="none" w:sz="0" w:space="0" w:color="auto"/>
        <w:right w:val="none" w:sz="0" w:space="0" w:color="auto"/>
      </w:divBdr>
    </w:div>
    <w:div w:id="1193495900">
      <w:marLeft w:val="0"/>
      <w:marRight w:val="0"/>
      <w:marTop w:val="0"/>
      <w:marBottom w:val="0"/>
      <w:divBdr>
        <w:top w:val="none" w:sz="0" w:space="0" w:color="auto"/>
        <w:left w:val="none" w:sz="0" w:space="0" w:color="auto"/>
        <w:bottom w:val="none" w:sz="0" w:space="0" w:color="auto"/>
        <w:right w:val="none" w:sz="0" w:space="0" w:color="auto"/>
      </w:divBdr>
      <w:divsChild>
        <w:div w:id="1839806239">
          <w:marLeft w:val="0"/>
          <w:marRight w:val="0"/>
          <w:marTop w:val="0"/>
          <w:marBottom w:val="0"/>
          <w:divBdr>
            <w:top w:val="none" w:sz="0" w:space="0" w:color="auto"/>
            <w:left w:val="none" w:sz="0" w:space="0" w:color="auto"/>
            <w:bottom w:val="none" w:sz="0" w:space="0" w:color="auto"/>
            <w:right w:val="none" w:sz="0" w:space="0" w:color="auto"/>
          </w:divBdr>
        </w:div>
      </w:divsChild>
    </w:div>
    <w:div w:id="1266769809">
      <w:marLeft w:val="0"/>
      <w:marRight w:val="0"/>
      <w:marTop w:val="0"/>
      <w:marBottom w:val="0"/>
      <w:divBdr>
        <w:top w:val="none" w:sz="0" w:space="0" w:color="auto"/>
        <w:left w:val="none" w:sz="0" w:space="0" w:color="auto"/>
        <w:bottom w:val="none" w:sz="0" w:space="0" w:color="auto"/>
        <w:right w:val="none" w:sz="0" w:space="0" w:color="auto"/>
      </w:divBdr>
    </w:div>
    <w:div w:id="1277787566">
      <w:marLeft w:val="0"/>
      <w:marRight w:val="0"/>
      <w:marTop w:val="0"/>
      <w:marBottom w:val="0"/>
      <w:divBdr>
        <w:top w:val="none" w:sz="0" w:space="0" w:color="auto"/>
        <w:left w:val="none" w:sz="0" w:space="0" w:color="auto"/>
        <w:bottom w:val="none" w:sz="0" w:space="0" w:color="auto"/>
        <w:right w:val="none" w:sz="0" w:space="0" w:color="auto"/>
      </w:divBdr>
    </w:div>
    <w:div w:id="1393771531">
      <w:marLeft w:val="0"/>
      <w:marRight w:val="0"/>
      <w:marTop w:val="0"/>
      <w:marBottom w:val="0"/>
      <w:divBdr>
        <w:top w:val="none" w:sz="0" w:space="0" w:color="auto"/>
        <w:left w:val="none" w:sz="0" w:space="0" w:color="auto"/>
        <w:bottom w:val="none" w:sz="0" w:space="0" w:color="auto"/>
        <w:right w:val="none" w:sz="0" w:space="0" w:color="auto"/>
      </w:divBdr>
    </w:div>
    <w:div w:id="1480803010">
      <w:marLeft w:val="0"/>
      <w:marRight w:val="0"/>
      <w:marTop w:val="0"/>
      <w:marBottom w:val="0"/>
      <w:divBdr>
        <w:top w:val="none" w:sz="0" w:space="0" w:color="auto"/>
        <w:left w:val="none" w:sz="0" w:space="0" w:color="auto"/>
        <w:bottom w:val="none" w:sz="0" w:space="0" w:color="auto"/>
        <w:right w:val="none" w:sz="0" w:space="0" w:color="auto"/>
      </w:divBdr>
    </w:div>
    <w:div w:id="1545101420">
      <w:marLeft w:val="0"/>
      <w:marRight w:val="0"/>
      <w:marTop w:val="0"/>
      <w:marBottom w:val="0"/>
      <w:divBdr>
        <w:top w:val="none" w:sz="0" w:space="0" w:color="auto"/>
        <w:left w:val="none" w:sz="0" w:space="0" w:color="auto"/>
        <w:bottom w:val="none" w:sz="0" w:space="0" w:color="auto"/>
        <w:right w:val="none" w:sz="0" w:space="0" w:color="auto"/>
      </w:divBdr>
    </w:div>
    <w:div w:id="1666283253">
      <w:marLeft w:val="0"/>
      <w:marRight w:val="0"/>
      <w:marTop w:val="0"/>
      <w:marBottom w:val="0"/>
      <w:divBdr>
        <w:top w:val="none" w:sz="0" w:space="0" w:color="auto"/>
        <w:left w:val="none" w:sz="0" w:space="0" w:color="auto"/>
        <w:bottom w:val="none" w:sz="0" w:space="0" w:color="auto"/>
        <w:right w:val="none" w:sz="0" w:space="0" w:color="auto"/>
      </w:divBdr>
      <w:divsChild>
        <w:div w:id="1599630606">
          <w:marLeft w:val="0"/>
          <w:marRight w:val="0"/>
          <w:marTop w:val="0"/>
          <w:marBottom w:val="0"/>
          <w:divBdr>
            <w:top w:val="none" w:sz="0" w:space="0" w:color="auto"/>
            <w:left w:val="none" w:sz="0" w:space="0" w:color="auto"/>
            <w:bottom w:val="none" w:sz="0" w:space="0" w:color="auto"/>
            <w:right w:val="none" w:sz="0" w:space="0" w:color="auto"/>
          </w:divBdr>
        </w:div>
      </w:divsChild>
    </w:div>
    <w:div w:id="1696929626">
      <w:marLeft w:val="0"/>
      <w:marRight w:val="0"/>
      <w:marTop w:val="0"/>
      <w:marBottom w:val="0"/>
      <w:divBdr>
        <w:top w:val="none" w:sz="0" w:space="0" w:color="auto"/>
        <w:left w:val="none" w:sz="0" w:space="0" w:color="auto"/>
        <w:bottom w:val="none" w:sz="0" w:space="0" w:color="auto"/>
        <w:right w:val="none" w:sz="0" w:space="0" w:color="auto"/>
      </w:divBdr>
      <w:divsChild>
        <w:div w:id="1989936037">
          <w:marLeft w:val="0"/>
          <w:marRight w:val="0"/>
          <w:marTop w:val="0"/>
          <w:marBottom w:val="0"/>
          <w:divBdr>
            <w:top w:val="none" w:sz="0" w:space="0" w:color="auto"/>
            <w:left w:val="none" w:sz="0" w:space="0" w:color="auto"/>
            <w:bottom w:val="none" w:sz="0" w:space="0" w:color="auto"/>
            <w:right w:val="none" w:sz="0" w:space="0" w:color="auto"/>
          </w:divBdr>
        </w:div>
      </w:divsChild>
    </w:div>
    <w:div w:id="21104188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D2892-7B96-4346-94C3-13862CFC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6266</Words>
  <Characters>2109</Characters>
  <Application>Microsoft Office Word</Application>
  <DocSecurity>0</DocSecurity>
  <Lines>17</Lines>
  <Paragraphs>16</Paragraphs>
  <ScaleCrop>false</ScaleCrop>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Heming.Huang@TA</cp:lastModifiedBy>
  <cp:revision>3</cp:revision>
  <dcterms:created xsi:type="dcterms:W3CDTF">2025-04-15T12:20:00Z</dcterms:created>
  <dcterms:modified xsi:type="dcterms:W3CDTF">2025-04-21T07:41:00Z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