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A82" w:rsidRPr="00473486" w:rsidRDefault="00881A82">
      <w:pPr>
        <w:autoSpaceDE w:val="0"/>
        <w:autoSpaceDN w:val="0"/>
        <w:adjustRightInd w:val="0"/>
        <w:spacing w:line="360" w:lineRule="auto"/>
        <w:jc w:val="left"/>
        <w:rPr>
          <w:rFonts w:eastAsiaTheme="minorEastAsia"/>
          <w:color w:val="000000" w:themeColor="text1"/>
          <w:kern w:val="0"/>
          <w:sz w:val="24"/>
        </w:rPr>
      </w:pPr>
      <w:bookmarkStart w:id="0" w:name="_GoBack"/>
      <w:bookmarkEnd w:id="0"/>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881A82">
      <w:pPr>
        <w:autoSpaceDE w:val="0"/>
        <w:autoSpaceDN w:val="0"/>
        <w:adjustRightInd w:val="0"/>
        <w:spacing w:line="360" w:lineRule="auto"/>
        <w:jc w:val="left"/>
        <w:rPr>
          <w:rFonts w:eastAsiaTheme="minorEastAsia"/>
          <w:color w:val="000000" w:themeColor="text1"/>
          <w:kern w:val="0"/>
          <w:sz w:val="36"/>
          <w:szCs w:val="36"/>
        </w:rPr>
      </w:pPr>
    </w:p>
    <w:p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上投摩根中证创新药产业交易型开放式指数证券投资基金</w:t>
      </w:r>
    </w:p>
    <w:p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2022</w:t>
      </w:r>
      <w:r w:rsidRPr="00473486">
        <w:rPr>
          <w:rFonts w:eastAsiaTheme="minorEastAsia"/>
          <w:b/>
          <w:color w:val="000000" w:themeColor="text1"/>
          <w:sz w:val="36"/>
          <w:szCs w:val="36"/>
        </w:rPr>
        <w:t>年第</w:t>
      </w:r>
      <w:r w:rsidRPr="00473486">
        <w:rPr>
          <w:rFonts w:eastAsiaTheme="minorEastAsia"/>
          <w:b/>
          <w:color w:val="000000" w:themeColor="text1"/>
          <w:sz w:val="36"/>
          <w:szCs w:val="36"/>
        </w:rPr>
        <w:t>3</w:t>
      </w:r>
      <w:r w:rsidRPr="00473486">
        <w:rPr>
          <w:rFonts w:eastAsiaTheme="minorEastAsia"/>
          <w:b/>
          <w:color w:val="000000" w:themeColor="text1"/>
          <w:sz w:val="36"/>
          <w:szCs w:val="36"/>
        </w:rPr>
        <w:t>季度报告</w:t>
      </w:r>
    </w:p>
    <w:p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2022</w:t>
      </w:r>
      <w:r w:rsidRPr="00473486">
        <w:rPr>
          <w:rFonts w:eastAsiaTheme="minorEastAsia"/>
          <w:b/>
          <w:color w:val="000000" w:themeColor="text1"/>
          <w:sz w:val="36"/>
          <w:szCs w:val="36"/>
        </w:rPr>
        <w:t>年</w:t>
      </w:r>
      <w:r w:rsidRPr="00473486">
        <w:rPr>
          <w:rFonts w:eastAsiaTheme="minorEastAsia"/>
          <w:b/>
          <w:color w:val="000000" w:themeColor="text1"/>
          <w:sz w:val="36"/>
          <w:szCs w:val="36"/>
        </w:rPr>
        <w:t>9</w:t>
      </w:r>
      <w:r w:rsidRPr="00473486">
        <w:rPr>
          <w:rFonts w:eastAsiaTheme="minorEastAsia"/>
          <w:b/>
          <w:color w:val="000000" w:themeColor="text1"/>
          <w:sz w:val="36"/>
          <w:szCs w:val="36"/>
        </w:rPr>
        <w:t>月</w:t>
      </w:r>
      <w:r w:rsidRPr="00473486">
        <w:rPr>
          <w:rFonts w:eastAsiaTheme="minorEastAsia"/>
          <w:b/>
          <w:color w:val="000000" w:themeColor="text1"/>
          <w:sz w:val="36"/>
          <w:szCs w:val="36"/>
        </w:rPr>
        <w:t>30</w:t>
      </w:r>
      <w:r w:rsidRPr="00473486">
        <w:rPr>
          <w:rFonts w:eastAsiaTheme="minorEastAsia"/>
          <w:b/>
          <w:color w:val="000000" w:themeColor="text1"/>
          <w:sz w:val="36"/>
          <w:szCs w:val="36"/>
        </w:rPr>
        <w:t>日</w:t>
      </w: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rPr>
          <w:rFonts w:eastAsiaTheme="minorEastAsia"/>
          <w:b/>
          <w:color w:val="000000" w:themeColor="text1"/>
          <w:sz w:val="24"/>
        </w:rPr>
      </w:pPr>
    </w:p>
    <w:p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基金管理人：上投摩根基金管理有限公司</w:t>
      </w:r>
    </w:p>
    <w:p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基金托管人：中信建投证券股份有限公司</w:t>
      </w:r>
    </w:p>
    <w:p w:rsidR="00881A82" w:rsidRPr="00473486" w:rsidRDefault="007D1E3A">
      <w:pPr>
        <w:spacing w:line="360" w:lineRule="auto"/>
        <w:ind w:firstLineChars="900" w:firstLine="2168"/>
        <w:rPr>
          <w:rFonts w:eastAsiaTheme="minorEastAsia"/>
          <w:b/>
          <w:color w:val="000000" w:themeColor="text1"/>
          <w:sz w:val="24"/>
        </w:rPr>
        <w:sectPr w:rsidR="00881A82" w:rsidRPr="00473486">
          <w:headerReference w:type="default" r:id="rId7"/>
          <w:footerReference w:type="default" r:id="rId8"/>
          <w:pgSz w:w="11926" w:h="15840"/>
          <w:pgMar w:top="1418" w:right="1418" w:bottom="851" w:left="1418" w:header="851" w:footer="992" w:gutter="0"/>
          <w:cols w:space="720"/>
        </w:sectPr>
      </w:pPr>
      <w:r w:rsidRPr="00473486">
        <w:rPr>
          <w:rFonts w:eastAsiaTheme="minorEastAsia"/>
          <w:b/>
          <w:color w:val="000000" w:themeColor="text1"/>
          <w:sz w:val="24"/>
        </w:rPr>
        <w:t>报告送出日期：二〇二二年十月二十六日</w:t>
      </w:r>
    </w:p>
    <w:p w:rsidR="00881A82" w:rsidRPr="00473486" w:rsidRDefault="007D1E3A">
      <w:pPr>
        <w:pStyle w:val="1"/>
        <w:spacing w:beforeLines="100" w:before="312" w:afterLines="100" w:after="312" w:line="360" w:lineRule="auto"/>
        <w:jc w:val="center"/>
        <w:rPr>
          <w:rFonts w:eastAsiaTheme="minorEastAsia"/>
          <w:b w:val="0"/>
          <w:color w:val="000000" w:themeColor="text1"/>
          <w:kern w:val="0"/>
          <w:sz w:val="24"/>
          <w:szCs w:val="24"/>
        </w:rPr>
      </w:pPr>
      <w:r w:rsidRPr="00473486">
        <w:rPr>
          <w:rFonts w:eastAsiaTheme="minorEastAsia"/>
          <w:color w:val="000000" w:themeColor="text1"/>
          <w:kern w:val="0"/>
          <w:sz w:val="24"/>
          <w:szCs w:val="24"/>
        </w:rPr>
        <w:lastRenderedPageBreak/>
        <w:t xml:space="preserve">§1  </w:t>
      </w:r>
      <w:r w:rsidRPr="00473486">
        <w:rPr>
          <w:rFonts w:eastAsiaTheme="minorEastAsia"/>
          <w:color w:val="000000" w:themeColor="text1"/>
          <w:kern w:val="0"/>
          <w:sz w:val="24"/>
          <w:szCs w:val="24"/>
        </w:rPr>
        <w:t>重要提示</w:t>
      </w:r>
    </w:p>
    <w:p w:rsidR="00843E9B" w:rsidRDefault="00943E9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843E9B" w:rsidRDefault="00943E9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基金托管人中信建投证券股份有限公司根据本基金合同规定，于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843E9B" w:rsidRDefault="00943E9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843E9B" w:rsidRDefault="00943E9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843E9B" w:rsidRDefault="00943E9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本报告期自</w:t>
      </w:r>
      <w:r w:rsidRPr="00473486">
        <w:rPr>
          <w:rFonts w:eastAsiaTheme="minorEastAsia"/>
          <w:color w:val="000000" w:themeColor="text1"/>
          <w:szCs w:val="21"/>
        </w:rPr>
        <w:t>2022</w:t>
      </w:r>
      <w:r w:rsidRPr="00473486">
        <w:rPr>
          <w:rFonts w:eastAsiaTheme="minorEastAsia"/>
          <w:color w:val="000000" w:themeColor="text1"/>
          <w:szCs w:val="21"/>
        </w:rPr>
        <w:t>年</w:t>
      </w:r>
      <w:r w:rsidRPr="00473486">
        <w:rPr>
          <w:rFonts w:eastAsiaTheme="minorEastAsia"/>
          <w:color w:val="000000" w:themeColor="text1"/>
          <w:szCs w:val="21"/>
        </w:rPr>
        <w:t>7</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日起至</w:t>
      </w:r>
      <w:r w:rsidRPr="00473486">
        <w:rPr>
          <w:rFonts w:eastAsiaTheme="minorEastAsia"/>
          <w:color w:val="000000" w:themeColor="text1"/>
          <w:szCs w:val="21"/>
        </w:rPr>
        <w:t>9</w:t>
      </w:r>
      <w:r w:rsidRPr="00473486">
        <w:rPr>
          <w:rFonts w:eastAsiaTheme="minorEastAsia"/>
          <w:color w:val="000000" w:themeColor="text1"/>
          <w:szCs w:val="21"/>
        </w:rPr>
        <w:t>月</w:t>
      </w:r>
      <w:r w:rsidRPr="00473486">
        <w:rPr>
          <w:rFonts w:eastAsiaTheme="minorEastAsia"/>
          <w:color w:val="000000" w:themeColor="text1"/>
          <w:szCs w:val="21"/>
        </w:rPr>
        <w:t>30</w:t>
      </w:r>
      <w:r w:rsidRPr="00473486">
        <w:rPr>
          <w:rFonts w:eastAsiaTheme="minorEastAsia"/>
          <w:color w:val="000000" w:themeColor="text1"/>
          <w:szCs w:val="21"/>
        </w:rPr>
        <w:t>日止。</w:t>
      </w: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§2  </w:t>
      </w:r>
      <w:r w:rsidRPr="00473486">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基金简称</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上投摩根中证创新药产业</w:t>
            </w:r>
            <w:r w:rsidRPr="00473486">
              <w:rPr>
                <w:rFonts w:eastAsiaTheme="minorEastAsia"/>
                <w:color w:val="000000" w:themeColor="text1"/>
                <w:kern w:val="0"/>
                <w:szCs w:val="21"/>
              </w:rPr>
              <w:t>ETF</w:t>
            </w:r>
          </w:p>
        </w:tc>
      </w:tr>
      <w:tr w:rsidR="00881A82" w:rsidRPr="00473486">
        <w:tc>
          <w:tcPr>
            <w:tcW w:w="2835"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560900</w:t>
            </w:r>
          </w:p>
        </w:tc>
      </w:tr>
      <w:tr w:rsidR="00881A82" w:rsidRPr="00473486">
        <w:tc>
          <w:tcPr>
            <w:tcW w:w="2835"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560900</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基金运作方式</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交易型开放式</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基金合同生效日</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2022</w:t>
            </w:r>
            <w:r w:rsidRPr="00473486">
              <w:rPr>
                <w:rFonts w:eastAsiaTheme="minorEastAsia"/>
                <w:color w:val="000000" w:themeColor="text1"/>
                <w:kern w:val="0"/>
                <w:szCs w:val="21"/>
              </w:rPr>
              <w:t>年</w:t>
            </w:r>
            <w:r w:rsidRPr="00473486">
              <w:rPr>
                <w:rFonts w:eastAsiaTheme="minorEastAsia"/>
                <w:color w:val="000000" w:themeColor="text1"/>
                <w:kern w:val="0"/>
                <w:szCs w:val="21"/>
              </w:rPr>
              <w:t>5</w:t>
            </w:r>
            <w:r w:rsidRPr="00473486">
              <w:rPr>
                <w:rFonts w:eastAsiaTheme="minorEastAsia"/>
                <w:color w:val="000000" w:themeColor="text1"/>
                <w:kern w:val="0"/>
                <w:szCs w:val="21"/>
              </w:rPr>
              <w:t>月</w:t>
            </w:r>
            <w:r w:rsidRPr="00473486">
              <w:rPr>
                <w:rFonts w:eastAsiaTheme="minorEastAsia"/>
                <w:color w:val="000000" w:themeColor="text1"/>
                <w:kern w:val="0"/>
                <w:szCs w:val="21"/>
              </w:rPr>
              <w:t>19</w:t>
            </w:r>
            <w:r w:rsidRPr="00473486">
              <w:rPr>
                <w:rFonts w:eastAsiaTheme="minorEastAsia"/>
                <w:color w:val="000000" w:themeColor="text1"/>
                <w:kern w:val="0"/>
                <w:szCs w:val="21"/>
              </w:rPr>
              <w:t>日</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报告期末基金份额总额</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209,969,080.00</w:t>
            </w:r>
            <w:r w:rsidRPr="00473486">
              <w:rPr>
                <w:rFonts w:eastAsiaTheme="minorEastAsia"/>
                <w:color w:val="000000" w:themeColor="text1"/>
                <w:kern w:val="0"/>
                <w:szCs w:val="21"/>
              </w:rPr>
              <w:t>份</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投资目标</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本基金进行被动式指数化投资，紧密跟踪标的指数，追求跟踪偏离度和跟踪误差最小化。本基金力争日均跟踪偏离度的绝对值不超过</w:t>
            </w:r>
            <w:r w:rsidRPr="00473486">
              <w:rPr>
                <w:rFonts w:eastAsiaTheme="minorEastAsia"/>
                <w:color w:val="000000" w:themeColor="text1"/>
                <w:kern w:val="0"/>
                <w:szCs w:val="21"/>
              </w:rPr>
              <w:t>0.2%</w:t>
            </w:r>
            <w:r w:rsidRPr="00473486">
              <w:rPr>
                <w:rFonts w:eastAsiaTheme="minorEastAsia"/>
                <w:color w:val="000000" w:themeColor="text1"/>
                <w:kern w:val="0"/>
                <w:szCs w:val="21"/>
              </w:rPr>
              <w:t>，年跟踪误差不超过</w:t>
            </w:r>
            <w:r w:rsidRPr="00473486">
              <w:rPr>
                <w:rFonts w:eastAsiaTheme="minorEastAsia"/>
                <w:color w:val="000000" w:themeColor="text1"/>
                <w:kern w:val="0"/>
                <w:szCs w:val="21"/>
              </w:rPr>
              <w:t>2%</w:t>
            </w:r>
            <w:r w:rsidRPr="00473486">
              <w:rPr>
                <w:rFonts w:eastAsiaTheme="minorEastAsia"/>
                <w:color w:val="000000" w:themeColor="text1"/>
                <w:kern w:val="0"/>
                <w:szCs w:val="21"/>
              </w:rPr>
              <w:t>。</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投资策略</w:t>
            </w:r>
          </w:p>
        </w:tc>
        <w:tc>
          <w:tcPr>
            <w:tcW w:w="5479" w:type="dxa"/>
            <w:vAlign w:val="center"/>
          </w:tcPr>
          <w:p w:rsidR="00843E9B" w:rsidRDefault="00943E9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843E9B" w:rsidRDefault="00943E9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为了实现追踪误差最小化，本基金投资于标的指数的成份股及其备选成份股的比例不低于基金资产净值的</w:t>
            </w:r>
            <w:r>
              <w:rPr>
                <w:rFonts w:eastAsiaTheme="minorEastAsia"/>
                <w:color w:val="000000" w:themeColor="text1"/>
                <w:kern w:val="0"/>
                <w:szCs w:val="21"/>
              </w:rPr>
              <w:t>90%</w:t>
            </w:r>
            <w:r>
              <w:rPr>
                <w:rFonts w:eastAsiaTheme="minorEastAsia"/>
                <w:color w:val="000000" w:themeColor="text1"/>
                <w:kern w:val="0"/>
                <w:szCs w:val="21"/>
              </w:rPr>
              <w:t>，且不低于非现金基金资产</w:t>
            </w:r>
            <w:r>
              <w:rPr>
                <w:rFonts w:eastAsiaTheme="minorEastAsia"/>
                <w:color w:val="000000" w:themeColor="text1"/>
                <w:kern w:val="0"/>
                <w:szCs w:val="21"/>
              </w:rPr>
              <w:t>80%</w:t>
            </w:r>
            <w:r>
              <w:rPr>
                <w:rFonts w:eastAsiaTheme="minorEastAsia"/>
                <w:color w:val="000000" w:themeColor="text1"/>
                <w:kern w:val="0"/>
                <w:szCs w:val="21"/>
              </w:rPr>
              <w:t>。</w:t>
            </w:r>
          </w:p>
          <w:p w:rsidR="00843E9B" w:rsidRDefault="00943E9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843E9B" w:rsidRDefault="00943E9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）投资组合构建</w:t>
            </w:r>
          </w:p>
          <w:p w:rsidR="00843E9B" w:rsidRDefault="00943E9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被动式指数基金，采用完全复制法，按照成份股在标的指数中的基准权重构建股票资产组合，当预期成份股发生调整和成份股发生配股、增发、分红、长期停牌等行为时，或因基金的申购和赎回等对本基金跟踪标的指数的效果可能带来影响时，或因某些特殊情况导致流动性不足时，或其他原因导致无法有效复制和跟踪标的指数时，基金经理将配合使用其他合理的投资方法作为完全复制法的补充，构建本基金实际的投资组合，以追求尽可能贴近标的指数的表现，有效控制跟踪误差。本基金将根据市场情况，结合经验判断，综合考虑相关性、估值、流动性等因素挑选标的</w:t>
            </w:r>
            <w:r>
              <w:rPr>
                <w:rFonts w:eastAsiaTheme="minorEastAsia"/>
                <w:color w:val="000000" w:themeColor="text1"/>
                <w:kern w:val="0"/>
                <w:szCs w:val="21"/>
              </w:rPr>
              <w:t>指数中其他成份股或备选成份股进行替代，以期在规定的风险承受限度内，尽量缩小跟踪误差。</w:t>
            </w:r>
          </w:p>
          <w:p w:rsidR="00843E9B" w:rsidRDefault="00943E9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）投资组合调整</w:t>
            </w:r>
          </w:p>
          <w:p w:rsidR="00843E9B" w:rsidRDefault="00943E9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）定期调整</w:t>
            </w:r>
          </w:p>
          <w:p w:rsidR="00843E9B" w:rsidRDefault="00943E9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p>
          <w:p w:rsidR="00843E9B" w:rsidRDefault="00943E9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）不定期调整</w:t>
            </w:r>
          </w:p>
          <w:p w:rsidR="00843E9B" w:rsidRDefault="00943E9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①</w:t>
            </w:r>
            <w:r>
              <w:rPr>
                <w:rFonts w:eastAsiaTheme="minorEastAsia"/>
                <w:color w:val="000000" w:themeColor="text1"/>
                <w:kern w:val="0"/>
                <w:szCs w:val="21"/>
              </w:rPr>
              <w:t>根据指数编制规则，当标的指数成份股因增发、送配等股权变动而需进行成份股权重调整时，本基金将根据标的指数权重比例的变化，进行相应调整。</w:t>
            </w:r>
          </w:p>
          <w:p w:rsidR="00843E9B" w:rsidRDefault="00943E9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②</w:t>
            </w:r>
            <w:r>
              <w:rPr>
                <w:rFonts w:eastAsiaTheme="minorEastAsia"/>
                <w:color w:val="000000" w:themeColor="text1"/>
                <w:kern w:val="0"/>
                <w:szCs w:val="21"/>
              </w:rPr>
              <w:t>当标的指数成份股因停牌、流动性不足等因素导致基金无法按照指数权重进行配置，基金管理人将综合考虑跟踪误差和投资者利益，选择相关股票进行适当的替代。</w:t>
            </w:r>
          </w:p>
          <w:p w:rsidR="00843E9B" w:rsidRDefault="00943E9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③</w:t>
            </w:r>
            <w:r>
              <w:rPr>
                <w:rFonts w:eastAsiaTheme="minorEastAsia"/>
                <w:color w:val="000000" w:themeColor="text1"/>
                <w:kern w:val="0"/>
                <w:szCs w:val="21"/>
              </w:rPr>
              <w:t>本基金将根据申购和赎回情况对股票投资组合进行调整，保证基金正常运行，从而有效跟踪标的指数。</w:t>
            </w:r>
          </w:p>
          <w:p w:rsidR="00843E9B" w:rsidRDefault="00943E9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本基金力争日均跟踪偏离度的绝对值不超过</w:t>
            </w:r>
            <w:r>
              <w:rPr>
                <w:rFonts w:eastAsiaTheme="minorEastAsia"/>
                <w:color w:val="000000" w:themeColor="text1"/>
                <w:kern w:val="0"/>
                <w:szCs w:val="21"/>
              </w:rPr>
              <w:t>0.2%</w:t>
            </w:r>
            <w:r>
              <w:rPr>
                <w:rFonts w:eastAsiaTheme="minorEastAsia"/>
                <w:color w:val="000000" w:themeColor="text1"/>
                <w:kern w:val="0"/>
                <w:szCs w:val="21"/>
              </w:rPr>
              <w:t>，年跟踪误差不超过</w:t>
            </w:r>
            <w:r>
              <w:rPr>
                <w:rFonts w:eastAsiaTheme="minorEastAsia"/>
                <w:color w:val="000000" w:themeColor="text1"/>
                <w:kern w:val="0"/>
                <w:szCs w:val="21"/>
              </w:rPr>
              <w:t>2%</w:t>
            </w:r>
            <w:r>
              <w:rPr>
                <w:rFonts w:eastAsiaTheme="minorEastAsia"/>
                <w:color w:val="000000" w:themeColor="text1"/>
                <w:kern w:val="0"/>
                <w:szCs w:val="21"/>
              </w:rPr>
              <w:t>。如因标的指数编制规则调整等其他原因，导致基金跟踪偏离度和跟踪误差超过上述范围，基金管理人应采取合理措施，避免跟踪偏离度和跟踪误差的进一步扩大。</w:t>
            </w:r>
          </w:p>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3</w:t>
            </w:r>
            <w:r w:rsidRPr="00473486">
              <w:rPr>
                <w:rFonts w:eastAsiaTheme="minorEastAsia"/>
                <w:color w:val="000000" w:themeColor="text1"/>
                <w:kern w:val="0"/>
                <w:szCs w:val="21"/>
              </w:rPr>
              <w:t>、其他投资策略：包括股指期货投资策略、股票期权投资策略、债券投资策略、资产支持证券投资策略、融资及转融通证券出借策略。</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业绩比较基准</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本基金的业绩比较基准为标的指数，即中证创新药产业指数收益率。本基金标的指数变更的，相应更换基金名称和业绩比较基准，并在履行适当程序后及时公告。</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风险收益特征</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本基金为股票型指数基金，其预期风险和预期收益高于货币市场基金、债券型基金和混合型基金。本基金主要投资于标的指数成份股及备选成份股，具有与标的指数相似的风险收益特征。</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基金管理人</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上投摩根基金管理有限公司</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基金托管人</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中信建投证券股份有限公司</w:t>
            </w:r>
          </w:p>
        </w:tc>
      </w:tr>
    </w:tbl>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§3  </w:t>
      </w:r>
      <w:r w:rsidRPr="00473486">
        <w:rPr>
          <w:rFonts w:eastAsiaTheme="minorEastAsia"/>
          <w:color w:val="000000" w:themeColor="text1"/>
          <w:kern w:val="0"/>
          <w:sz w:val="24"/>
          <w:szCs w:val="24"/>
        </w:rPr>
        <w:t>主要财务指标和基金净值表现</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3.1 </w:t>
      </w:r>
      <w:r w:rsidRPr="00473486">
        <w:rPr>
          <w:rFonts w:eastAsiaTheme="minorEastAsia"/>
          <w:b/>
          <w:color w:val="000000" w:themeColor="text1"/>
          <w:kern w:val="0"/>
          <w:sz w:val="24"/>
        </w:rPr>
        <w:t>主要财务指标</w:t>
      </w:r>
    </w:p>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943E9B" w:rsidRPr="00473486" w:rsidTr="00943E9B">
        <w:tc>
          <w:tcPr>
            <w:tcW w:w="3402" w:type="dxa"/>
            <w:vAlign w:val="center"/>
          </w:tcPr>
          <w:p w:rsidR="00881A82" w:rsidRPr="00473486" w:rsidRDefault="007D1E3A">
            <w:pPr>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主要财务指标</w:t>
            </w:r>
          </w:p>
        </w:tc>
        <w:tc>
          <w:tcPr>
            <w:tcW w:w="4962" w:type="dxa"/>
            <w:vAlign w:val="center"/>
          </w:tcPr>
          <w:p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报告期</w:t>
            </w:r>
          </w:p>
          <w:p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(2022</w:t>
            </w:r>
            <w:r w:rsidRPr="00473486">
              <w:rPr>
                <w:rFonts w:eastAsiaTheme="minorEastAsia"/>
                <w:color w:val="000000" w:themeColor="text1"/>
                <w:szCs w:val="21"/>
              </w:rPr>
              <w:t>年</w:t>
            </w:r>
            <w:r w:rsidRPr="00473486">
              <w:rPr>
                <w:rFonts w:eastAsiaTheme="minorEastAsia"/>
                <w:color w:val="000000" w:themeColor="text1"/>
                <w:szCs w:val="21"/>
              </w:rPr>
              <w:t>7</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w:t>
            </w:r>
            <w:r w:rsidRPr="00473486">
              <w:rPr>
                <w:rFonts w:eastAsiaTheme="minorEastAsia"/>
                <w:color w:val="000000" w:themeColor="text1"/>
                <w:szCs w:val="21"/>
              </w:rPr>
              <w:t>-2022</w:t>
            </w:r>
            <w:r w:rsidRPr="00473486">
              <w:rPr>
                <w:rFonts w:eastAsiaTheme="minorEastAsia"/>
                <w:color w:val="000000" w:themeColor="text1"/>
                <w:szCs w:val="21"/>
              </w:rPr>
              <w:t>年</w:t>
            </w:r>
            <w:r w:rsidRPr="00473486">
              <w:rPr>
                <w:rFonts w:eastAsiaTheme="minorEastAsia"/>
                <w:color w:val="000000" w:themeColor="text1"/>
                <w:szCs w:val="21"/>
              </w:rPr>
              <w:t>9</w:t>
            </w:r>
            <w:r w:rsidRPr="00473486">
              <w:rPr>
                <w:rFonts w:eastAsiaTheme="minorEastAsia"/>
                <w:color w:val="000000" w:themeColor="text1"/>
                <w:szCs w:val="21"/>
              </w:rPr>
              <w:t>月</w:t>
            </w:r>
            <w:r w:rsidRPr="00473486">
              <w:rPr>
                <w:rFonts w:eastAsiaTheme="minorEastAsia"/>
                <w:color w:val="000000" w:themeColor="text1"/>
                <w:szCs w:val="21"/>
              </w:rPr>
              <w:t>30</w:t>
            </w:r>
            <w:r w:rsidRPr="00473486">
              <w:rPr>
                <w:rFonts w:eastAsiaTheme="minorEastAsia"/>
                <w:color w:val="000000" w:themeColor="text1"/>
                <w:szCs w:val="21"/>
              </w:rPr>
              <w:t>日</w:t>
            </w:r>
            <w:r w:rsidRPr="00473486">
              <w:rPr>
                <w:rFonts w:eastAsiaTheme="minorEastAsia"/>
                <w:color w:val="000000" w:themeColor="text1"/>
                <w:szCs w:val="21"/>
              </w:rPr>
              <w:t>)</w:t>
            </w:r>
          </w:p>
        </w:tc>
      </w:tr>
      <w:tr w:rsidR="00943E9B" w:rsidRPr="00473486" w:rsidTr="00943E9B">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1.</w:t>
            </w:r>
            <w:r w:rsidRPr="00473486">
              <w:rPr>
                <w:rFonts w:eastAsiaTheme="minorEastAsia"/>
                <w:color w:val="000000" w:themeColor="text1"/>
                <w:kern w:val="0"/>
                <w:szCs w:val="21"/>
              </w:rPr>
              <w:t>本期已实现收益</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221,936.75</w:t>
            </w:r>
          </w:p>
        </w:tc>
      </w:tr>
      <w:tr w:rsidR="00943E9B" w:rsidRPr="00473486" w:rsidTr="00943E9B">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2.</w:t>
            </w:r>
            <w:r w:rsidRPr="00473486">
              <w:rPr>
                <w:rFonts w:eastAsiaTheme="minorEastAsia"/>
                <w:color w:val="000000" w:themeColor="text1"/>
                <w:kern w:val="0"/>
                <w:szCs w:val="21"/>
              </w:rPr>
              <w:t>本期利润</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-47,906,238.44</w:t>
            </w:r>
          </w:p>
        </w:tc>
      </w:tr>
      <w:tr w:rsidR="00943E9B" w:rsidRPr="00473486" w:rsidTr="00943E9B">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3.</w:t>
            </w:r>
            <w:r w:rsidRPr="00473486">
              <w:rPr>
                <w:rFonts w:eastAsiaTheme="minorEastAsia"/>
                <w:color w:val="000000" w:themeColor="text1"/>
                <w:kern w:val="0"/>
                <w:szCs w:val="21"/>
              </w:rPr>
              <w:t>加权平均基金份额本期利润</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-0.2283</w:t>
            </w:r>
          </w:p>
        </w:tc>
      </w:tr>
      <w:tr w:rsidR="00943E9B" w:rsidRPr="00473486" w:rsidTr="00943E9B">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4.</w:t>
            </w:r>
            <w:r w:rsidRPr="00473486">
              <w:rPr>
                <w:rFonts w:eastAsiaTheme="minorEastAsia"/>
                <w:color w:val="000000" w:themeColor="text1"/>
                <w:kern w:val="0"/>
                <w:szCs w:val="21"/>
              </w:rPr>
              <w:t>期末基金资产净值</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193,204,890.71</w:t>
            </w:r>
          </w:p>
        </w:tc>
      </w:tr>
      <w:tr w:rsidR="00943E9B" w:rsidRPr="00473486" w:rsidTr="00943E9B">
        <w:trPr>
          <w:trHeight w:val="158"/>
        </w:trPr>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w:t>
            </w:r>
            <w:r w:rsidRPr="00473486">
              <w:rPr>
                <w:rFonts w:eastAsiaTheme="minorEastAsia"/>
                <w:color w:val="000000" w:themeColor="text1"/>
                <w:kern w:val="0"/>
                <w:szCs w:val="21"/>
              </w:rPr>
              <w:t>期末基金份额净值</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0.9202</w:t>
            </w:r>
          </w:p>
        </w:tc>
      </w:tr>
    </w:tbl>
    <w:p w:rsidR="00843E9B" w:rsidRDefault="00943E9B">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3.2 </w:t>
      </w:r>
      <w:r w:rsidRPr="00473486">
        <w:rPr>
          <w:rFonts w:eastAsiaTheme="minorEastAsia"/>
          <w:b/>
          <w:color w:val="000000" w:themeColor="text1"/>
          <w:kern w:val="0"/>
          <w:sz w:val="24"/>
        </w:rPr>
        <w:t>基金净值表现</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3.2.1</w:t>
      </w:r>
      <w:r w:rsidRPr="00473486">
        <w:rPr>
          <w:rFonts w:eastAsiaTheme="minorEastAsia"/>
          <w:b/>
          <w:color w:val="000000" w:themeColor="text1"/>
          <w:kern w:val="0"/>
          <w:sz w:val="24"/>
        </w:rPr>
        <w:t>本报告期基金份额净值增长率及其与同期业绩比较基准收益率的比较</w:t>
      </w:r>
    </w:p>
    <w:tbl>
      <w:tblPr>
        <w:tblStyle w:val="afa"/>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881A82" w:rsidRPr="00473486">
        <w:tc>
          <w:tcPr>
            <w:tcW w:w="1395"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阶段</w:t>
            </w:r>
          </w:p>
        </w:tc>
        <w:tc>
          <w:tcPr>
            <w:tcW w:w="1092"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w:t>
            </w:r>
            <w:r w:rsidRPr="00473486">
              <w:rPr>
                <w:rFonts w:ascii="宋体" w:hAnsi="宋体" w:cs="宋体" w:hint="eastAsia"/>
                <w:color w:val="000000" w:themeColor="text1"/>
                <w:szCs w:val="21"/>
              </w:rPr>
              <w:t>①</w:t>
            </w:r>
          </w:p>
        </w:tc>
        <w:tc>
          <w:tcPr>
            <w:tcW w:w="1161"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净值增长率标准差</w:t>
            </w:r>
            <w:r w:rsidRPr="00473486">
              <w:rPr>
                <w:rFonts w:ascii="宋体" w:hAnsi="宋体" w:cs="宋体" w:hint="eastAsia"/>
                <w:color w:val="000000" w:themeColor="text1"/>
                <w:szCs w:val="21"/>
              </w:rPr>
              <w:t>②</w:t>
            </w:r>
          </w:p>
        </w:tc>
        <w:tc>
          <w:tcPr>
            <w:tcW w:w="1181"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w:t>
            </w:r>
            <w:r w:rsidRPr="00473486">
              <w:rPr>
                <w:rFonts w:ascii="宋体" w:hAnsi="宋体" w:cs="宋体" w:hint="eastAsia"/>
                <w:color w:val="000000" w:themeColor="text1"/>
                <w:szCs w:val="21"/>
              </w:rPr>
              <w:t>③</w:t>
            </w:r>
          </w:p>
        </w:tc>
        <w:tc>
          <w:tcPr>
            <w:tcW w:w="1188"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业绩比较基准收益率标准差</w:t>
            </w:r>
            <w:r w:rsidRPr="00473486">
              <w:rPr>
                <w:rFonts w:ascii="宋体" w:hAnsi="宋体" w:cs="宋体" w:hint="eastAsia"/>
                <w:color w:val="000000" w:themeColor="text1"/>
                <w:szCs w:val="21"/>
              </w:rPr>
              <w:t>④</w:t>
            </w:r>
          </w:p>
        </w:tc>
        <w:tc>
          <w:tcPr>
            <w:tcW w:w="1199"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①</w:t>
            </w:r>
            <w:r w:rsidRPr="00473486">
              <w:rPr>
                <w:rFonts w:eastAsiaTheme="minorEastAsia"/>
                <w:color w:val="000000" w:themeColor="text1"/>
                <w:szCs w:val="21"/>
              </w:rPr>
              <w:t>-</w:t>
            </w:r>
            <w:r w:rsidRPr="00473486">
              <w:rPr>
                <w:rFonts w:ascii="宋体" w:hAnsi="宋体" w:cs="宋体" w:hint="eastAsia"/>
                <w:color w:val="000000" w:themeColor="text1"/>
                <w:szCs w:val="21"/>
              </w:rPr>
              <w:t>③</w:t>
            </w:r>
          </w:p>
        </w:tc>
        <w:tc>
          <w:tcPr>
            <w:tcW w:w="1204"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②</w:t>
            </w:r>
            <w:r w:rsidRPr="00473486">
              <w:rPr>
                <w:rFonts w:eastAsiaTheme="minorEastAsia"/>
                <w:color w:val="000000" w:themeColor="text1"/>
                <w:szCs w:val="21"/>
              </w:rPr>
              <w:t>-</w:t>
            </w:r>
            <w:r w:rsidRPr="00473486">
              <w:rPr>
                <w:rFonts w:ascii="宋体" w:hAnsi="宋体" w:cs="宋体" w:hint="eastAsia"/>
                <w:color w:val="000000" w:themeColor="text1"/>
                <w:szCs w:val="21"/>
              </w:rPr>
              <w:t>④</w:t>
            </w:r>
          </w:p>
        </w:tc>
      </w:tr>
      <w:tr w:rsidR="00843E9B">
        <w:tc>
          <w:tcPr>
            <w:tcW w:w="1395" w:type="dxa"/>
            <w:vAlign w:val="center"/>
          </w:tcPr>
          <w:p w:rsidR="00843E9B" w:rsidRDefault="00943E9B">
            <w:pPr>
              <w:jc w:val="left"/>
            </w:pPr>
            <w:r>
              <w:rPr>
                <w:rFonts w:eastAsiaTheme="minorEastAsia"/>
                <w:color w:val="000000" w:themeColor="text1"/>
                <w:szCs w:val="21"/>
              </w:rPr>
              <w:t>过去三个月</w:t>
            </w:r>
          </w:p>
        </w:tc>
        <w:tc>
          <w:tcPr>
            <w:tcW w:w="1092" w:type="dxa"/>
            <w:vAlign w:val="center"/>
          </w:tcPr>
          <w:p w:rsidR="00843E9B" w:rsidRDefault="00943E9B">
            <w:pPr>
              <w:jc w:val="center"/>
            </w:pPr>
            <w:r>
              <w:rPr>
                <w:rFonts w:eastAsiaTheme="minorEastAsia"/>
                <w:color w:val="000000" w:themeColor="text1"/>
                <w:szCs w:val="21"/>
              </w:rPr>
              <w:t>-19.90%</w:t>
            </w:r>
          </w:p>
        </w:tc>
        <w:tc>
          <w:tcPr>
            <w:tcW w:w="1161" w:type="dxa"/>
            <w:vAlign w:val="center"/>
          </w:tcPr>
          <w:p w:rsidR="00843E9B" w:rsidRDefault="00943E9B">
            <w:pPr>
              <w:jc w:val="center"/>
            </w:pPr>
            <w:r>
              <w:rPr>
                <w:rFonts w:eastAsiaTheme="minorEastAsia"/>
                <w:color w:val="000000" w:themeColor="text1"/>
                <w:szCs w:val="21"/>
              </w:rPr>
              <w:t>1.63%</w:t>
            </w:r>
          </w:p>
        </w:tc>
        <w:tc>
          <w:tcPr>
            <w:tcW w:w="1181" w:type="dxa"/>
            <w:vAlign w:val="center"/>
          </w:tcPr>
          <w:p w:rsidR="00843E9B" w:rsidRDefault="00943E9B">
            <w:pPr>
              <w:jc w:val="center"/>
            </w:pPr>
            <w:r>
              <w:rPr>
                <w:rFonts w:eastAsiaTheme="minorEastAsia"/>
                <w:color w:val="000000" w:themeColor="text1"/>
                <w:szCs w:val="21"/>
              </w:rPr>
              <w:t>-21.08%</w:t>
            </w:r>
          </w:p>
        </w:tc>
        <w:tc>
          <w:tcPr>
            <w:tcW w:w="1188" w:type="dxa"/>
            <w:vAlign w:val="center"/>
          </w:tcPr>
          <w:p w:rsidR="00843E9B" w:rsidRDefault="00943E9B">
            <w:pPr>
              <w:jc w:val="center"/>
            </w:pPr>
            <w:r>
              <w:rPr>
                <w:rFonts w:eastAsiaTheme="minorEastAsia"/>
                <w:color w:val="000000" w:themeColor="text1"/>
                <w:szCs w:val="21"/>
              </w:rPr>
              <w:t>1.73%</w:t>
            </w:r>
          </w:p>
        </w:tc>
        <w:tc>
          <w:tcPr>
            <w:tcW w:w="1199" w:type="dxa"/>
            <w:vAlign w:val="center"/>
          </w:tcPr>
          <w:p w:rsidR="00843E9B" w:rsidRDefault="00943E9B">
            <w:pPr>
              <w:jc w:val="center"/>
            </w:pPr>
            <w:r>
              <w:rPr>
                <w:rFonts w:eastAsiaTheme="minorEastAsia"/>
                <w:color w:val="000000" w:themeColor="text1"/>
                <w:szCs w:val="21"/>
              </w:rPr>
              <w:t>1.18%</w:t>
            </w:r>
          </w:p>
        </w:tc>
        <w:tc>
          <w:tcPr>
            <w:tcW w:w="1204" w:type="dxa"/>
            <w:vAlign w:val="center"/>
          </w:tcPr>
          <w:p w:rsidR="00843E9B" w:rsidRDefault="00943E9B">
            <w:pPr>
              <w:jc w:val="center"/>
            </w:pPr>
            <w:r>
              <w:rPr>
                <w:rFonts w:eastAsiaTheme="minorEastAsia"/>
                <w:color w:val="000000" w:themeColor="text1"/>
                <w:szCs w:val="21"/>
              </w:rPr>
              <w:t>-0.10%</w:t>
            </w:r>
          </w:p>
        </w:tc>
      </w:tr>
      <w:tr w:rsidR="00843E9B">
        <w:tc>
          <w:tcPr>
            <w:tcW w:w="1395" w:type="dxa"/>
            <w:vAlign w:val="center"/>
          </w:tcPr>
          <w:p w:rsidR="00843E9B" w:rsidRDefault="00943E9B">
            <w:pPr>
              <w:jc w:val="left"/>
            </w:pPr>
            <w:r>
              <w:rPr>
                <w:rFonts w:eastAsiaTheme="minorEastAsia"/>
                <w:color w:val="000000" w:themeColor="text1"/>
                <w:szCs w:val="21"/>
              </w:rPr>
              <w:t>过去六个月</w:t>
            </w:r>
          </w:p>
        </w:tc>
        <w:tc>
          <w:tcPr>
            <w:tcW w:w="1092" w:type="dxa"/>
            <w:vAlign w:val="center"/>
          </w:tcPr>
          <w:p w:rsidR="00843E9B" w:rsidRDefault="00943E9B">
            <w:pPr>
              <w:jc w:val="center"/>
            </w:pPr>
            <w:r>
              <w:rPr>
                <w:rFonts w:eastAsiaTheme="minorEastAsia"/>
                <w:color w:val="000000" w:themeColor="text1"/>
                <w:szCs w:val="21"/>
              </w:rPr>
              <w:t>-</w:t>
            </w:r>
          </w:p>
        </w:tc>
        <w:tc>
          <w:tcPr>
            <w:tcW w:w="1161" w:type="dxa"/>
            <w:vAlign w:val="center"/>
          </w:tcPr>
          <w:p w:rsidR="00843E9B" w:rsidRDefault="00943E9B">
            <w:pPr>
              <w:jc w:val="center"/>
            </w:pPr>
            <w:r>
              <w:rPr>
                <w:rFonts w:eastAsiaTheme="minorEastAsia"/>
                <w:color w:val="000000" w:themeColor="text1"/>
                <w:szCs w:val="21"/>
              </w:rPr>
              <w:t>-</w:t>
            </w:r>
          </w:p>
        </w:tc>
        <w:tc>
          <w:tcPr>
            <w:tcW w:w="1181" w:type="dxa"/>
            <w:vAlign w:val="center"/>
          </w:tcPr>
          <w:p w:rsidR="00843E9B" w:rsidRDefault="00943E9B">
            <w:pPr>
              <w:jc w:val="center"/>
            </w:pPr>
            <w:r>
              <w:rPr>
                <w:rFonts w:eastAsiaTheme="minorEastAsia"/>
                <w:color w:val="000000" w:themeColor="text1"/>
                <w:szCs w:val="21"/>
              </w:rPr>
              <w:t>-</w:t>
            </w:r>
          </w:p>
        </w:tc>
        <w:tc>
          <w:tcPr>
            <w:tcW w:w="1188" w:type="dxa"/>
            <w:vAlign w:val="center"/>
          </w:tcPr>
          <w:p w:rsidR="00843E9B" w:rsidRDefault="00943E9B">
            <w:pPr>
              <w:jc w:val="center"/>
            </w:pPr>
            <w:r>
              <w:rPr>
                <w:rFonts w:eastAsiaTheme="minorEastAsia"/>
                <w:color w:val="000000" w:themeColor="text1"/>
                <w:szCs w:val="21"/>
              </w:rPr>
              <w:t>-</w:t>
            </w:r>
          </w:p>
        </w:tc>
        <w:tc>
          <w:tcPr>
            <w:tcW w:w="1199" w:type="dxa"/>
            <w:vAlign w:val="center"/>
          </w:tcPr>
          <w:p w:rsidR="00843E9B" w:rsidRDefault="00943E9B">
            <w:pPr>
              <w:jc w:val="center"/>
            </w:pPr>
            <w:r>
              <w:rPr>
                <w:rFonts w:eastAsiaTheme="minorEastAsia"/>
                <w:color w:val="000000" w:themeColor="text1"/>
                <w:szCs w:val="21"/>
              </w:rPr>
              <w:t>-</w:t>
            </w:r>
          </w:p>
        </w:tc>
        <w:tc>
          <w:tcPr>
            <w:tcW w:w="1204" w:type="dxa"/>
            <w:vAlign w:val="center"/>
          </w:tcPr>
          <w:p w:rsidR="00843E9B" w:rsidRDefault="00943E9B">
            <w:pPr>
              <w:jc w:val="center"/>
            </w:pPr>
            <w:r>
              <w:rPr>
                <w:rFonts w:eastAsiaTheme="minorEastAsia"/>
                <w:color w:val="000000" w:themeColor="text1"/>
                <w:szCs w:val="21"/>
              </w:rPr>
              <w:t>-</w:t>
            </w:r>
          </w:p>
        </w:tc>
      </w:tr>
      <w:tr w:rsidR="00843E9B">
        <w:tc>
          <w:tcPr>
            <w:tcW w:w="1395" w:type="dxa"/>
            <w:vAlign w:val="center"/>
          </w:tcPr>
          <w:p w:rsidR="00843E9B" w:rsidRDefault="00943E9B">
            <w:pPr>
              <w:jc w:val="left"/>
            </w:pPr>
            <w:r>
              <w:rPr>
                <w:rFonts w:eastAsiaTheme="minorEastAsia"/>
                <w:color w:val="000000" w:themeColor="text1"/>
                <w:szCs w:val="21"/>
              </w:rPr>
              <w:t>过去一年</w:t>
            </w:r>
          </w:p>
        </w:tc>
        <w:tc>
          <w:tcPr>
            <w:tcW w:w="1092" w:type="dxa"/>
            <w:vAlign w:val="center"/>
          </w:tcPr>
          <w:p w:rsidR="00843E9B" w:rsidRDefault="00943E9B">
            <w:pPr>
              <w:jc w:val="center"/>
            </w:pPr>
            <w:r>
              <w:rPr>
                <w:rFonts w:eastAsiaTheme="minorEastAsia"/>
                <w:color w:val="000000" w:themeColor="text1"/>
                <w:szCs w:val="21"/>
              </w:rPr>
              <w:t>-</w:t>
            </w:r>
          </w:p>
        </w:tc>
        <w:tc>
          <w:tcPr>
            <w:tcW w:w="1161" w:type="dxa"/>
            <w:vAlign w:val="center"/>
          </w:tcPr>
          <w:p w:rsidR="00843E9B" w:rsidRDefault="00943E9B">
            <w:pPr>
              <w:jc w:val="center"/>
            </w:pPr>
            <w:r>
              <w:rPr>
                <w:rFonts w:eastAsiaTheme="minorEastAsia"/>
                <w:color w:val="000000" w:themeColor="text1"/>
                <w:szCs w:val="21"/>
              </w:rPr>
              <w:t>-</w:t>
            </w:r>
          </w:p>
        </w:tc>
        <w:tc>
          <w:tcPr>
            <w:tcW w:w="1181" w:type="dxa"/>
            <w:vAlign w:val="center"/>
          </w:tcPr>
          <w:p w:rsidR="00843E9B" w:rsidRDefault="00943E9B">
            <w:pPr>
              <w:jc w:val="center"/>
            </w:pPr>
            <w:r>
              <w:rPr>
                <w:rFonts w:eastAsiaTheme="minorEastAsia"/>
                <w:color w:val="000000" w:themeColor="text1"/>
                <w:szCs w:val="21"/>
              </w:rPr>
              <w:t>-</w:t>
            </w:r>
          </w:p>
        </w:tc>
        <w:tc>
          <w:tcPr>
            <w:tcW w:w="1188" w:type="dxa"/>
            <w:vAlign w:val="center"/>
          </w:tcPr>
          <w:p w:rsidR="00843E9B" w:rsidRDefault="00943E9B">
            <w:pPr>
              <w:jc w:val="center"/>
            </w:pPr>
            <w:r>
              <w:rPr>
                <w:rFonts w:eastAsiaTheme="minorEastAsia"/>
                <w:color w:val="000000" w:themeColor="text1"/>
                <w:szCs w:val="21"/>
              </w:rPr>
              <w:t>-</w:t>
            </w:r>
          </w:p>
        </w:tc>
        <w:tc>
          <w:tcPr>
            <w:tcW w:w="1199" w:type="dxa"/>
            <w:vAlign w:val="center"/>
          </w:tcPr>
          <w:p w:rsidR="00843E9B" w:rsidRDefault="00943E9B">
            <w:pPr>
              <w:jc w:val="center"/>
            </w:pPr>
            <w:r>
              <w:rPr>
                <w:rFonts w:eastAsiaTheme="minorEastAsia"/>
                <w:color w:val="000000" w:themeColor="text1"/>
                <w:szCs w:val="21"/>
              </w:rPr>
              <w:t>-</w:t>
            </w:r>
          </w:p>
        </w:tc>
        <w:tc>
          <w:tcPr>
            <w:tcW w:w="1204" w:type="dxa"/>
            <w:vAlign w:val="center"/>
          </w:tcPr>
          <w:p w:rsidR="00843E9B" w:rsidRDefault="00943E9B">
            <w:pPr>
              <w:jc w:val="center"/>
            </w:pPr>
            <w:r>
              <w:rPr>
                <w:rFonts w:eastAsiaTheme="minorEastAsia"/>
                <w:color w:val="000000" w:themeColor="text1"/>
                <w:szCs w:val="21"/>
              </w:rPr>
              <w:t>-</w:t>
            </w:r>
          </w:p>
        </w:tc>
      </w:tr>
      <w:tr w:rsidR="00843E9B">
        <w:tc>
          <w:tcPr>
            <w:tcW w:w="1395" w:type="dxa"/>
            <w:vAlign w:val="center"/>
          </w:tcPr>
          <w:p w:rsidR="00843E9B" w:rsidRDefault="00943E9B">
            <w:pPr>
              <w:jc w:val="left"/>
            </w:pPr>
            <w:r>
              <w:rPr>
                <w:rFonts w:eastAsiaTheme="minorEastAsia"/>
                <w:color w:val="000000" w:themeColor="text1"/>
                <w:szCs w:val="21"/>
              </w:rPr>
              <w:t>过去三年</w:t>
            </w:r>
          </w:p>
        </w:tc>
        <w:tc>
          <w:tcPr>
            <w:tcW w:w="1092" w:type="dxa"/>
            <w:vAlign w:val="center"/>
          </w:tcPr>
          <w:p w:rsidR="00843E9B" w:rsidRDefault="00943E9B">
            <w:pPr>
              <w:jc w:val="center"/>
            </w:pPr>
            <w:r>
              <w:rPr>
                <w:rFonts w:eastAsiaTheme="minorEastAsia"/>
                <w:color w:val="000000" w:themeColor="text1"/>
                <w:szCs w:val="21"/>
              </w:rPr>
              <w:t>-</w:t>
            </w:r>
          </w:p>
        </w:tc>
        <w:tc>
          <w:tcPr>
            <w:tcW w:w="1161" w:type="dxa"/>
            <w:vAlign w:val="center"/>
          </w:tcPr>
          <w:p w:rsidR="00843E9B" w:rsidRDefault="00943E9B">
            <w:pPr>
              <w:jc w:val="center"/>
            </w:pPr>
            <w:r>
              <w:rPr>
                <w:rFonts w:eastAsiaTheme="minorEastAsia"/>
                <w:color w:val="000000" w:themeColor="text1"/>
                <w:szCs w:val="21"/>
              </w:rPr>
              <w:t>-</w:t>
            </w:r>
          </w:p>
        </w:tc>
        <w:tc>
          <w:tcPr>
            <w:tcW w:w="1181" w:type="dxa"/>
            <w:vAlign w:val="center"/>
          </w:tcPr>
          <w:p w:rsidR="00843E9B" w:rsidRDefault="00943E9B">
            <w:pPr>
              <w:jc w:val="center"/>
            </w:pPr>
            <w:r>
              <w:rPr>
                <w:rFonts w:eastAsiaTheme="minorEastAsia"/>
                <w:color w:val="000000" w:themeColor="text1"/>
                <w:szCs w:val="21"/>
              </w:rPr>
              <w:t>-</w:t>
            </w:r>
          </w:p>
        </w:tc>
        <w:tc>
          <w:tcPr>
            <w:tcW w:w="1188" w:type="dxa"/>
            <w:vAlign w:val="center"/>
          </w:tcPr>
          <w:p w:rsidR="00843E9B" w:rsidRDefault="00943E9B">
            <w:pPr>
              <w:jc w:val="center"/>
            </w:pPr>
            <w:r>
              <w:rPr>
                <w:rFonts w:eastAsiaTheme="minorEastAsia"/>
                <w:color w:val="000000" w:themeColor="text1"/>
                <w:szCs w:val="21"/>
              </w:rPr>
              <w:t>-</w:t>
            </w:r>
          </w:p>
        </w:tc>
        <w:tc>
          <w:tcPr>
            <w:tcW w:w="1199" w:type="dxa"/>
            <w:vAlign w:val="center"/>
          </w:tcPr>
          <w:p w:rsidR="00843E9B" w:rsidRDefault="00943E9B">
            <w:pPr>
              <w:jc w:val="center"/>
            </w:pPr>
            <w:r>
              <w:rPr>
                <w:rFonts w:eastAsiaTheme="minorEastAsia"/>
                <w:color w:val="000000" w:themeColor="text1"/>
                <w:szCs w:val="21"/>
              </w:rPr>
              <w:t>-</w:t>
            </w:r>
          </w:p>
        </w:tc>
        <w:tc>
          <w:tcPr>
            <w:tcW w:w="1204" w:type="dxa"/>
            <w:vAlign w:val="center"/>
          </w:tcPr>
          <w:p w:rsidR="00843E9B" w:rsidRDefault="00943E9B">
            <w:pPr>
              <w:jc w:val="center"/>
            </w:pPr>
            <w:r>
              <w:rPr>
                <w:rFonts w:eastAsiaTheme="minorEastAsia"/>
                <w:color w:val="000000" w:themeColor="text1"/>
                <w:szCs w:val="21"/>
              </w:rPr>
              <w:t>-</w:t>
            </w:r>
          </w:p>
        </w:tc>
      </w:tr>
      <w:tr w:rsidR="00843E9B">
        <w:tc>
          <w:tcPr>
            <w:tcW w:w="1395" w:type="dxa"/>
            <w:vAlign w:val="center"/>
          </w:tcPr>
          <w:p w:rsidR="00843E9B" w:rsidRDefault="00943E9B">
            <w:pPr>
              <w:jc w:val="left"/>
            </w:pPr>
            <w:r>
              <w:rPr>
                <w:rFonts w:eastAsiaTheme="minorEastAsia"/>
                <w:color w:val="000000" w:themeColor="text1"/>
                <w:szCs w:val="21"/>
              </w:rPr>
              <w:t>过去五年</w:t>
            </w:r>
          </w:p>
        </w:tc>
        <w:tc>
          <w:tcPr>
            <w:tcW w:w="1092" w:type="dxa"/>
            <w:vAlign w:val="center"/>
          </w:tcPr>
          <w:p w:rsidR="00843E9B" w:rsidRDefault="00943E9B">
            <w:pPr>
              <w:jc w:val="center"/>
            </w:pPr>
            <w:r>
              <w:rPr>
                <w:rFonts w:eastAsiaTheme="minorEastAsia"/>
                <w:color w:val="000000" w:themeColor="text1"/>
                <w:szCs w:val="21"/>
              </w:rPr>
              <w:t>-</w:t>
            </w:r>
          </w:p>
        </w:tc>
        <w:tc>
          <w:tcPr>
            <w:tcW w:w="1161" w:type="dxa"/>
            <w:vAlign w:val="center"/>
          </w:tcPr>
          <w:p w:rsidR="00843E9B" w:rsidRDefault="00943E9B">
            <w:pPr>
              <w:jc w:val="center"/>
            </w:pPr>
            <w:r>
              <w:rPr>
                <w:rFonts w:eastAsiaTheme="minorEastAsia"/>
                <w:color w:val="000000" w:themeColor="text1"/>
                <w:szCs w:val="21"/>
              </w:rPr>
              <w:t>-</w:t>
            </w:r>
          </w:p>
        </w:tc>
        <w:tc>
          <w:tcPr>
            <w:tcW w:w="1181" w:type="dxa"/>
            <w:vAlign w:val="center"/>
          </w:tcPr>
          <w:p w:rsidR="00843E9B" w:rsidRDefault="00943E9B">
            <w:pPr>
              <w:jc w:val="center"/>
            </w:pPr>
            <w:r>
              <w:rPr>
                <w:rFonts w:eastAsiaTheme="minorEastAsia"/>
                <w:color w:val="000000" w:themeColor="text1"/>
                <w:szCs w:val="21"/>
              </w:rPr>
              <w:t>-</w:t>
            </w:r>
          </w:p>
        </w:tc>
        <w:tc>
          <w:tcPr>
            <w:tcW w:w="1188" w:type="dxa"/>
            <w:vAlign w:val="center"/>
          </w:tcPr>
          <w:p w:rsidR="00843E9B" w:rsidRDefault="00943E9B">
            <w:pPr>
              <w:jc w:val="center"/>
            </w:pPr>
            <w:r>
              <w:rPr>
                <w:rFonts w:eastAsiaTheme="minorEastAsia"/>
                <w:color w:val="000000" w:themeColor="text1"/>
                <w:szCs w:val="21"/>
              </w:rPr>
              <w:t>-</w:t>
            </w:r>
          </w:p>
        </w:tc>
        <w:tc>
          <w:tcPr>
            <w:tcW w:w="1199" w:type="dxa"/>
            <w:vAlign w:val="center"/>
          </w:tcPr>
          <w:p w:rsidR="00843E9B" w:rsidRDefault="00943E9B">
            <w:pPr>
              <w:jc w:val="center"/>
            </w:pPr>
            <w:r>
              <w:rPr>
                <w:rFonts w:eastAsiaTheme="minorEastAsia"/>
                <w:color w:val="000000" w:themeColor="text1"/>
                <w:szCs w:val="21"/>
              </w:rPr>
              <w:t>-</w:t>
            </w:r>
          </w:p>
        </w:tc>
        <w:tc>
          <w:tcPr>
            <w:tcW w:w="1204" w:type="dxa"/>
            <w:vAlign w:val="center"/>
          </w:tcPr>
          <w:p w:rsidR="00843E9B" w:rsidRDefault="00943E9B">
            <w:pPr>
              <w:jc w:val="center"/>
            </w:pPr>
            <w:r>
              <w:rPr>
                <w:rFonts w:eastAsiaTheme="minorEastAsia"/>
                <w:color w:val="000000" w:themeColor="text1"/>
                <w:szCs w:val="21"/>
              </w:rPr>
              <w:t>-</w:t>
            </w:r>
          </w:p>
        </w:tc>
      </w:tr>
      <w:tr w:rsidR="00843E9B">
        <w:tc>
          <w:tcPr>
            <w:tcW w:w="1395" w:type="dxa"/>
            <w:vAlign w:val="center"/>
          </w:tcPr>
          <w:p w:rsidR="00843E9B" w:rsidRDefault="00943E9B">
            <w:pPr>
              <w:jc w:val="left"/>
            </w:pPr>
            <w:r>
              <w:rPr>
                <w:rFonts w:eastAsiaTheme="minorEastAsia"/>
                <w:color w:val="000000" w:themeColor="text1"/>
                <w:szCs w:val="21"/>
              </w:rPr>
              <w:t>自基金合同生效起至今</w:t>
            </w:r>
          </w:p>
        </w:tc>
        <w:tc>
          <w:tcPr>
            <w:tcW w:w="1092" w:type="dxa"/>
            <w:vAlign w:val="center"/>
          </w:tcPr>
          <w:p w:rsidR="00843E9B" w:rsidRDefault="00943E9B">
            <w:pPr>
              <w:jc w:val="center"/>
            </w:pPr>
            <w:r>
              <w:rPr>
                <w:rFonts w:eastAsiaTheme="minorEastAsia"/>
                <w:color w:val="000000" w:themeColor="text1"/>
                <w:szCs w:val="21"/>
              </w:rPr>
              <w:t>-7.98%</w:t>
            </w:r>
          </w:p>
        </w:tc>
        <w:tc>
          <w:tcPr>
            <w:tcW w:w="1161" w:type="dxa"/>
            <w:vAlign w:val="center"/>
          </w:tcPr>
          <w:p w:rsidR="00843E9B" w:rsidRDefault="00943E9B">
            <w:pPr>
              <w:jc w:val="center"/>
            </w:pPr>
            <w:r>
              <w:rPr>
                <w:rFonts w:eastAsiaTheme="minorEastAsia"/>
                <w:color w:val="000000" w:themeColor="text1"/>
                <w:szCs w:val="21"/>
              </w:rPr>
              <w:t>1.60%</w:t>
            </w:r>
          </w:p>
        </w:tc>
        <w:tc>
          <w:tcPr>
            <w:tcW w:w="1181" w:type="dxa"/>
            <w:vAlign w:val="center"/>
          </w:tcPr>
          <w:p w:rsidR="00843E9B" w:rsidRDefault="00943E9B">
            <w:pPr>
              <w:jc w:val="center"/>
            </w:pPr>
            <w:r>
              <w:rPr>
                <w:rFonts w:eastAsiaTheme="minorEastAsia"/>
                <w:color w:val="000000" w:themeColor="text1"/>
                <w:szCs w:val="21"/>
              </w:rPr>
              <w:t>-10.02%</w:t>
            </w:r>
          </w:p>
        </w:tc>
        <w:tc>
          <w:tcPr>
            <w:tcW w:w="1188" w:type="dxa"/>
            <w:vAlign w:val="center"/>
          </w:tcPr>
          <w:p w:rsidR="00843E9B" w:rsidRDefault="00943E9B">
            <w:pPr>
              <w:jc w:val="center"/>
            </w:pPr>
            <w:r>
              <w:rPr>
                <w:rFonts w:eastAsiaTheme="minorEastAsia"/>
                <w:color w:val="000000" w:themeColor="text1"/>
                <w:szCs w:val="21"/>
              </w:rPr>
              <w:t>1.80%</w:t>
            </w:r>
          </w:p>
        </w:tc>
        <w:tc>
          <w:tcPr>
            <w:tcW w:w="1199" w:type="dxa"/>
            <w:vAlign w:val="center"/>
          </w:tcPr>
          <w:p w:rsidR="00843E9B" w:rsidRDefault="00943E9B">
            <w:pPr>
              <w:jc w:val="center"/>
            </w:pPr>
            <w:r>
              <w:rPr>
                <w:rFonts w:eastAsiaTheme="minorEastAsia"/>
                <w:color w:val="000000" w:themeColor="text1"/>
                <w:szCs w:val="21"/>
              </w:rPr>
              <w:t>2.04%</w:t>
            </w:r>
          </w:p>
        </w:tc>
        <w:tc>
          <w:tcPr>
            <w:tcW w:w="1204" w:type="dxa"/>
            <w:vAlign w:val="center"/>
          </w:tcPr>
          <w:p w:rsidR="00843E9B" w:rsidRDefault="00943E9B">
            <w:pPr>
              <w:jc w:val="center"/>
            </w:pPr>
            <w:r>
              <w:rPr>
                <w:rFonts w:eastAsiaTheme="minorEastAsia"/>
                <w:color w:val="000000" w:themeColor="text1"/>
                <w:szCs w:val="21"/>
              </w:rPr>
              <w:t>-0.20%</w:t>
            </w:r>
          </w:p>
        </w:tc>
      </w:tr>
    </w:tbl>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3.2.2</w:t>
      </w:r>
      <w:r w:rsidRPr="00473486">
        <w:rPr>
          <w:rStyle w:val="af4"/>
          <w:color w:val="000000" w:themeColor="text1"/>
          <w:sz w:val="24"/>
          <w:shd w:val="clear" w:color="auto" w:fill="FFFFFF"/>
        </w:rPr>
        <w:t>自基金合同生效以来</w:t>
      </w:r>
      <w:r w:rsidRPr="00473486">
        <w:rPr>
          <w:rFonts w:eastAsiaTheme="minorEastAsia"/>
          <w:b/>
          <w:bCs/>
          <w:color w:val="000000" w:themeColor="text1"/>
          <w:sz w:val="24"/>
        </w:rPr>
        <w:t>基金累计净值增长率变动及其与同期业绩比较基准收益率变动的比较</w:t>
      </w:r>
    </w:p>
    <w:p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szCs w:val="21"/>
        </w:rPr>
        <w:t>上投摩根中证创新药产业交易型开放式指数证券投资基金</w:t>
      </w:r>
    </w:p>
    <w:p w:rsidR="00881A82" w:rsidRPr="00473486" w:rsidRDefault="007D1E3A">
      <w:pPr>
        <w:pStyle w:val="a9"/>
        <w:snapToGrid w:val="0"/>
        <w:spacing w:line="360" w:lineRule="auto"/>
        <w:jc w:val="center"/>
        <w:rPr>
          <w:rFonts w:ascii="Times New Roman" w:eastAsiaTheme="minorEastAsia" w:hAnsi="Times New Roman"/>
          <w:color w:val="000000" w:themeColor="text1"/>
        </w:rPr>
      </w:pPr>
      <w:r w:rsidRPr="00473486">
        <w:rPr>
          <w:rFonts w:ascii="Times New Roman" w:eastAsiaTheme="minorEastAsia" w:hAnsi="Times New Roman"/>
          <w:color w:val="000000" w:themeColor="text1"/>
        </w:rPr>
        <w:t>累计净值增长率与业绩比较基准收益率历史走势对比图</w:t>
      </w:r>
    </w:p>
    <w:p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kern w:val="0"/>
          <w:szCs w:val="21"/>
        </w:rPr>
        <w:t>（</w:t>
      </w:r>
      <w:r w:rsidRPr="00473486">
        <w:rPr>
          <w:rFonts w:eastAsiaTheme="minorEastAsia"/>
          <w:color w:val="000000" w:themeColor="text1"/>
          <w:kern w:val="0"/>
          <w:szCs w:val="21"/>
        </w:rPr>
        <w:t>2022</w:t>
      </w:r>
      <w:r w:rsidRPr="00473486">
        <w:rPr>
          <w:rFonts w:eastAsiaTheme="minorEastAsia"/>
          <w:color w:val="000000" w:themeColor="text1"/>
          <w:kern w:val="0"/>
          <w:szCs w:val="21"/>
        </w:rPr>
        <w:t>年</w:t>
      </w:r>
      <w:r w:rsidRPr="00473486">
        <w:rPr>
          <w:rFonts w:eastAsiaTheme="minorEastAsia"/>
          <w:color w:val="000000" w:themeColor="text1"/>
          <w:kern w:val="0"/>
          <w:szCs w:val="21"/>
        </w:rPr>
        <w:t>5</w:t>
      </w:r>
      <w:r w:rsidRPr="00473486">
        <w:rPr>
          <w:rFonts w:eastAsiaTheme="minorEastAsia"/>
          <w:color w:val="000000" w:themeColor="text1"/>
          <w:kern w:val="0"/>
          <w:szCs w:val="21"/>
        </w:rPr>
        <w:t>月</w:t>
      </w:r>
      <w:r w:rsidRPr="00473486">
        <w:rPr>
          <w:rFonts w:eastAsiaTheme="minorEastAsia"/>
          <w:color w:val="000000" w:themeColor="text1"/>
          <w:kern w:val="0"/>
          <w:szCs w:val="21"/>
        </w:rPr>
        <w:t>19</w:t>
      </w:r>
      <w:r w:rsidRPr="00473486">
        <w:rPr>
          <w:rFonts w:eastAsiaTheme="minorEastAsia"/>
          <w:color w:val="000000" w:themeColor="text1"/>
          <w:kern w:val="0"/>
          <w:szCs w:val="21"/>
        </w:rPr>
        <w:t>日至</w:t>
      </w:r>
      <w:r w:rsidRPr="00473486">
        <w:rPr>
          <w:rFonts w:eastAsiaTheme="minorEastAsia"/>
          <w:color w:val="000000" w:themeColor="text1"/>
          <w:kern w:val="0"/>
          <w:szCs w:val="21"/>
        </w:rPr>
        <w:t>2022</w:t>
      </w:r>
      <w:r w:rsidRPr="00473486">
        <w:rPr>
          <w:rFonts w:eastAsiaTheme="minorEastAsia"/>
          <w:color w:val="000000" w:themeColor="text1"/>
          <w:kern w:val="0"/>
          <w:szCs w:val="21"/>
        </w:rPr>
        <w:t>年</w:t>
      </w:r>
      <w:r w:rsidRPr="00473486">
        <w:rPr>
          <w:rFonts w:eastAsiaTheme="minorEastAsia"/>
          <w:color w:val="000000" w:themeColor="text1"/>
          <w:kern w:val="0"/>
          <w:szCs w:val="21"/>
        </w:rPr>
        <w:t>9</w:t>
      </w:r>
      <w:r w:rsidRPr="00473486">
        <w:rPr>
          <w:rFonts w:eastAsiaTheme="minorEastAsia"/>
          <w:color w:val="000000" w:themeColor="text1"/>
          <w:kern w:val="0"/>
          <w:szCs w:val="21"/>
        </w:rPr>
        <w:t>月</w:t>
      </w:r>
      <w:r w:rsidRPr="00473486">
        <w:rPr>
          <w:rFonts w:eastAsiaTheme="minorEastAsia"/>
          <w:color w:val="000000" w:themeColor="text1"/>
          <w:kern w:val="0"/>
          <w:szCs w:val="21"/>
        </w:rPr>
        <w:t>30</w:t>
      </w:r>
      <w:r w:rsidRPr="00473486">
        <w:rPr>
          <w:rFonts w:eastAsiaTheme="minorEastAsia"/>
          <w:color w:val="000000" w:themeColor="text1"/>
          <w:kern w:val="0"/>
          <w:szCs w:val="21"/>
        </w:rPr>
        <w:t>日）</w:t>
      </w:r>
    </w:p>
    <w:p w:rsidR="00881A82" w:rsidRPr="00473486" w:rsidRDefault="007D1E3A">
      <w:pPr>
        <w:tabs>
          <w:tab w:val="left" w:pos="1800"/>
        </w:tabs>
        <w:spacing w:line="360" w:lineRule="auto"/>
        <w:jc w:val="center"/>
        <w:rPr>
          <w:rFonts w:eastAsiaTheme="minorEastAsia"/>
          <w:color w:val="000000" w:themeColor="text1"/>
          <w:sz w:val="24"/>
        </w:rPr>
      </w:pPr>
      <w:r w:rsidRPr="00473486">
        <w:rPr>
          <w:rFonts w:eastAsiaTheme="minorEastAsia"/>
          <w:noProof/>
          <w:color w:val="000000" w:themeColor="text1"/>
          <w:sz w:val="24"/>
        </w:rPr>
        <w:drawing>
          <wp:inline distT="0" distB="0" distL="0" distR="0" wp14:anchorId="0F898A4E" wp14:editId="2A8B881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843E9B" w:rsidRDefault="00943E9B">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日，截至本报告期末本基金合同生效未满一年。</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本基金建仓期为本基金合同生效日起</w:t>
      </w:r>
      <w:r w:rsidRPr="00473486">
        <w:rPr>
          <w:rFonts w:eastAsiaTheme="minorEastAsia"/>
          <w:color w:val="000000" w:themeColor="text1"/>
          <w:szCs w:val="21"/>
        </w:rPr>
        <w:t xml:space="preserve"> 6 </w:t>
      </w:r>
      <w:r w:rsidRPr="00473486">
        <w:rPr>
          <w:rFonts w:eastAsiaTheme="minorEastAsia"/>
          <w:color w:val="000000" w:themeColor="text1"/>
          <w:szCs w:val="21"/>
        </w:rPr>
        <w:t>个月，截至本报告期末本基金仍处于建仓期。</w:t>
      </w:r>
    </w:p>
    <w:p w:rsidR="00881A82" w:rsidRPr="00473486" w:rsidRDefault="00881A82">
      <w:pPr>
        <w:pStyle w:val="a9"/>
        <w:snapToGrid w:val="0"/>
        <w:spacing w:before="120" w:line="360" w:lineRule="auto"/>
        <w:jc w:val="center"/>
        <w:rPr>
          <w:rFonts w:ascii="Times New Roman" w:eastAsiaTheme="minorEastAsia" w:hAnsi="Times New Roman"/>
          <w:color w:val="000000" w:themeColor="text1"/>
          <w:sz w:val="24"/>
          <w:szCs w:val="24"/>
        </w:rPr>
      </w:pPr>
    </w:p>
    <w:p w:rsidR="00881A82" w:rsidRPr="00473486" w:rsidRDefault="00881A82">
      <w:pPr>
        <w:tabs>
          <w:tab w:val="left" w:pos="1800"/>
        </w:tabs>
        <w:spacing w:line="288" w:lineRule="auto"/>
        <w:rPr>
          <w:rFonts w:eastAsiaTheme="minorEastAsia"/>
          <w:color w:val="000000" w:themeColor="text1"/>
          <w:szCs w:val="21"/>
        </w:rPr>
      </w:pP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§4  </w:t>
      </w:r>
      <w:r w:rsidRPr="00473486">
        <w:rPr>
          <w:rFonts w:eastAsiaTheme="minorEastAsia"/>
          <w:color w:val="000000" w:themeColor="text1"/>
          <w:kern w:val="0"/>
          <w:sz w:val="24"/>
          <w:szCs w:val="24"/>
        </w:rPr>
        <w:t>管理人报告</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4.1 </w:t>
      </w:r>
      <w:r w:rsidRPr="00473486">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881A82" w:rsidRPr="00473486">
        <w:trPr>
          <w:cantSplit/>
          <w:trHeight w:val="292"/>
        </w:trPr>
        <w:tc>
          <w:tcPr>
            <w:tcW w:w="851" w:type="dxa"/>
            <w:vMerge w:val="restart"/>
            <w:vAlign w:val="center"/>
          </w:tcPr>
          <w:p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姓名</w:t>
            </w:r>
          </w:p>
        </w:tc>
        <w:tc>
          <w:tcPr>
            <w:tcW w:w="850" w:type="dxa"/>
            <w:vMerge w:val="restart"/>
            <w:vAlign w:val="center"/>
          </w:tcPr>
          <w:p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职务</w:t>
            </w:r>
          </w:p>
        </w:tc>
        <w:tc>
          <w:tcPr>
            <w:tcW w:w="3119" w:type="dxa"/>
            <w:gridSpan w:val="2"/>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任本基金的基金经理期限</w:t>
            </w:r>
          </w:p>
        </w:tc>
        <w:tc>
          <w:tcPr>
            <w:tcW w:w="1417" w:type="dxa"/>
            <w:vMerge w:val="restart"/>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证券从业年限</w:t>
            </w:r>
          </w:p>
        </w:tc>
        <w:tc>
          <w:tcPr>
            <w:tcW w:w="2694" w:type="dxa"/>
            <w:vMerge w:val="restart"/>
            <w:vAlign w:val="center"/>
          </w:tcPr>
          <w:p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说明</w:t>
            </w:r>
          </w:p>
        </w:tc>
      </w:tr>
      <w:tr w:rsidR="00881A82" w:rsidRPr="00473486">
        <w:trPr>
          <w:cantSplit/>
        </w:trPr>
        <w:tc>
          <w:tcPr>
            <w:tcW w:w="851"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c>
          <w:tcPr>
            <w:tcW w:w="850"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c>
          <w:tcPr>
            <w:tcW w:w="1560"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任职日期</w:t>
            </w:r>
          </w:p>
        </w:tc>
        <w:tc>
          <w:tcPr>
            <w:tcW w:w="1559"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离任日期</w:t>
            </w:r>
          </w:p>
        </w:tc>
        <w:tc>
          <w:tcPr>
            <w:tcW w:w="1417"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c>
          <w:tcPr>
            <w:tcW w:w="2694"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r>
      <w:tr w:rsidR="00843E9B">
        <w:tc>
          <w:tcPr>
            <w:tcW w:w="851" w:type="dxa"/>
            <w:vAlign w:val="center"/>
          </w:tcPr>
          <w:p w:rsidR="00843E9B" w:rsidRDefault="00943E9B">
            <w:pPr>
              <w:jc w:val="center"/>
            </w:pPr>
            <w:r>
              <w:rPr>
                <w:rFonts w:eastAsiaTheme="minorEastAsia"/>
                <w:color w:val="000000" w:themeColor="text1"/>
                <w:szCs w:val="21"/>
              </w:rPr>
              <w:t>胡迪</w:t>
            </w:r>
          </w:p>
        </w:tc>
        <w:tc>
          <w:tcPr>
            <w:tcW w:w="850" w:type="dxa"/>
            <w:vAlign w:val="center"/>
          </w:tcPr>
          <w:p w:rsidR="00843E9B" w:rsidRDefault="00943E9B">
            <w:pPr>
              <w:jc w:val="center"/>
            </w:pPr>
            <w:r>
              <w:rPr>
                <w:rFonts w:eastAsiaTheme="minorEastAsia"/>
                <w:color w:val="000000" w:themeColor="text1"/>
                <w:szCs w:val="21"/>
              </w:rPr>
              <w:t>本基金基金经理、指数及量化投资部总监</w:t>
            </w:r>
          </w:p>
        </w:tc>
        <w:tc>
          <w:tcPr>
            <w:tcW w:w="1560" w:type="dxa"/>
            <w:vAlign w:val="center"/>
          </w:tcPr>
          <w:p w:rsidR="00843E9B" w:rsidRDefault="00943E9B">
            <w:pPr>
              <w:jc w:val="center"/>
            </w:pPr>
            <w:r>
              <w:rPr>
                <w:rFonts w:eastAsiaTheme="minorEastAsia"/>
                <w:color w:val="000000" w:themeColor="text1"/>
                <w:szCs w:val="21"/>
              </w:rPr>
              <w:t>2022-05-19</w:t>
            </w:r>
          </w:p>
        </w:tc>
        <w:tc>
          <w:tcPr>
            <w:tcW w:w="1559" w:type="dxa"/>
            <w:vAlign w:val="center"/>
          </w:tcPr>
          <w:p w:rsidR="00843E9B" w:rsidRDefault="00943E9B">
            <w:pPr>
              <w:jc w:val="center"/>
            </w:pPr>
            <w:r>
              <w:rPr>
                <w:rFonts w:eastAsiaTheme="minorEastAsia"/>
                <w:color w:val="000000" w:themeColor="text1"/>
                <w:szCs w:val="21"/>
              </w:rPr>
              <w:t>-</w:t>
            </w:r>
          </w:p>
        </w:tc>
        <w:tc>
          <w:tcPr>
            <w:tcW w:w="1417" w:type="dxa"/>
            <w:vAlign w:val="center"/>
          </w:tcPr>
          <w:p w:rsidR="00843E9B" w:rsidRDefault="00943E9B">
            <w:pPr>
              <w:jc w:val="center"/>
            </w:pPr>
            <w:r>
              <w:rPr>
                <w:rFonts w:eastAsiaTheme="minorEastAsia"/>
                <w:color w:val="000000" w:themeColor="text1"/>
                <w:szCs w:val="21"/>
              </w:rPr>
              <w:t>15</w:t>
            </w:r>
            <w:r>
              <w:rPr>
                <w:rFonts w:eastAsiaTheme="minorEastAsia"/>
                <w:color w:val="000000" w:themeColor="text1"/>
                <w:szCs w:val="21"/>
              </w:rPr>
              <w:t>年</w:t>
            </w:r>
          </w:p>
        </w:tc>
        <w:tc>
          <w:tcPr>
            <w:tcW w:w="2694" w:type="dxa"/>
            <w:vAlign w:val="center"/>
          </w:tcPr>
          <w:p w:rsidR="00843E9B" w:rsidRDefault="00943E9B">
            <w:r>
              <w:rPr>
                <w:rFonts w:eastAsiaTheme="minorEastAsia"/>
                <w:color w:val="000000" w:themeColor="text1"/>
                <w:szCs w:val="21"/>
              </w:rPr>
              <w:t>胡迪女士，</w:t>
            </w:r>
            <w:r>
              <w:rPr>
                <w:rFonts w:eastAsiaTheme="minorEastAsia"/>
                <w:color w:val="000000" w:themeColor="text1"/>
                <w:szCs w:val="21"/>
              </w:rPr>
              <w:t>CFA</w:t>
            </w:r>
            <w:r>
              <w:rPr>
                <w:rFonts w:eastAsiaTheme="minorEastAsia"/>
                <w:color w:val="000000" w:themeColor="text1"/>
                <w:szCs w:val="21"/>
              </w:rPr>
              <w:t>，</w:t>
            </w:r>
            <w:r>
              <w:rPr>
                <w:rFonts w:eastAsiaTheme="minorEastAsia"/>
                <w:color w:val="000000" w:themeColor="text1"/>
                <w:szCs w:val="21"/>
              </w:rPr>
              <w:t>FRM</w:t>
            </w:r>
            <w:r>
              <w:rPr>
                <w:rFonts w:eastAsiaTheme="minorEastAsia"/>
                <w:color w:val="000000" w:themeColor="text1"/>
                <w:szCs w:val="21"/>
              </w:rPr>
              <w:t>，美国哥伦比亚大学金融工程硕士，现任指数及量化投资部总监。胡迪女士自</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月在纽约美林证券担任全球资产管理部高级经理；自</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月在纽约标准普尔担任量化投资主管；自</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月在中国国际金融股份有限公司担任资产管理部执行总经理；自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月加入上投摩根基金管理有限公司，现任指数及量化投资部总监。自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月起同时担任上投摩根量化多因子灵活配置混合型证券投资基金、上投摩根动态多因子策略灵活配置混合型证券投资基金、</w:t>
            </w:r>
            <w:r>
              <w:rPr>
                <w:rFonts w:eastAsiaTheme="minorEastAsia"/>
                <w:color w:val="000000" w:themeColor="text1"/>
                <w:szCs w:val="21"/>
              </w:rPr>
              <w:t>上投摩根中证消费服务领先指数证券投资基金、上投摩根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股交易型开放式指数证券投资基金联接基金、上投摩根标普港股通低波红利指数型证券投资基金基金经理，自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月同时担任上投摩根优选多因子股票型证券投资基金基金经理，自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月起同时担任上投摩根富时发达市场</w:t>
            </w:r>
            <w:r>
              <w:rPr>
                <w:rFonts w:eastAsiaTheme="minorEastAsia"/>
                <w:color w:val="000000" w:themeColor="text1"/>
                <w:szCs w:val="21"/>
              </w:rPr>
              <w:t>REITs</w:t>
            </w:r>
            <w:r>
              <w:rPr>
                <w:rFonts w:eastAsiaTheme="minorEastAsia"/>
                <w:color w:val="000000" w:themeColor="text1"/>
                <w:szCs w:val="21"/>
              </w:rPr>
              <w:t>指数型证券投资基金（</w:t>
            </w:r>
            <w:r>
              <w:rPr>
                <w:rFonts w:eastAsiaTheme="minorEastAsia"/>
                <w:color w:val="000000" w:themeColor="text1"/>
                <w:szCs w:val="21"/>
              </w:rPr>
              <w:t>QDII)</w:t>
            </w:r>
            <w:r>
              <w:rPr>
                <w:rFonts w:eastAsiaTheme="minorEastAsia"/>
                <w:color w:val="000000" w:themeColor="text1"/>
                <w:szCs w:val="21"/>
              </w:rPr>
              <w:t>、上投摩根中证沪港深科技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月起同时担任上投摩根恒生科技交易型开放式指</w:t>
            </w:r>
            <w:r>
              <w:rPr>
                <w:rFonts w:eastAsiaTheme="minorEastAsia"/>
                <w:color w:val="000000" w:themeColor="text1"/>
                <w:szCs w:val="21"/>
              </w:rPr>
              <w:t>数证券投资基金（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月起同时担任上投摩根中证创新药产业交易型开放式指数证券投资基金基金经理。</w:t>
            </w:r>
          </w:p>
        </w:tc>
      </w:tr>
      <w:tr w:rsidR="00843E9B">
        <w:tc>
          <w:tcPr>
            <w:tcW w:w="851" w:type="dxa"/>
            <w:vAlign w:val="center"/>
          </w:tcPr>
          <w:p w:rsidR="00843E9B" w:rsidRDefault="00943E9B">
            <w:pPr>
              <w:jc w:val="center"/>
            </w:pPr>
            <w:r>
              <w:rPr>
                <w:rFonts w:eastAsiaTheme="minorEastAsia"/>
                <w:color w:val="000000" w:themeColor="text1"/>
                <w:szCs w:val="21"/>
              </w:rPr>
              <w:t>毛时超</w:t>
            </w:r>
          </w:p>
        </w:tc>
        <w:tc>
          <w:tcPr>
            <w:tcW w:w="850" w:type="dxa"/>
            <w:vAlign w:val="center"/>
          </w:tcPr>
          <w:p w:rsidR="00843E9B" w:rsidRDefault="00943E9B">
            <w:pPr>
              <w:jc w:val="center"/>
            </w:pPr>
            <w:r>
              <w:rPr>
                <w:rFonts w:eastAsiaTheme="minorEastAsia"/>
                <w:color w:val="000000" w:themeColor="text1"/>
                <w:szCs w:val="21"/>
              </w:rPr>
              <w:t>本基金基金经理</w:t>
            </w:r>
          </w:p>
        </w:tc>
        <w:tc>
          <w:tcPr>
            <w:tcW w:w="1560" w:type="dxa"/>
            <w:vAlign w:val="center"/>
          </w:tcPr>
          <w:p w:rsidR="00843E9B" w:rsidRDefault="00943E9B">
            <w:pPr>
              <w:jc w:val="center"/>
            </w:pPr>
            <w:r>
              <w:rPr>
                <w:rFonts w:eastAsiaTheme="minorEastAsia"/>
                <w:color w:val="000000" w:themeColor="text1"/>
                <w:szCs w:val="21"/>
              </w:rPr>
              <w:t>2022-06-08</w:t>
            </w:r>
          </w:p>
        </w:tc>
        <w:tc>
          <w:tcPr>
            <w:tcW w:w="1559" w:type="dxa"/>
            <w:vAlign w:val="center"/>
          </w:tcPr>
          <w:p w:rsidR="00843E9B" w:rsidRDefault="00943E9B">
            <w:pPr>
              <w:jc w:val="center"/>
            </w:pPr>
            <w:r>
              <w:rPr>
                <w:rFonts w:eastAsiaTheme="minorEastAsia"/>
                <w:color w:val="000000" w:themeColor="text1"/>
                <w:szCs w:val="21"/>
              </w:rPr>
              <w:t>-</w:t>
            </w:r>
          </w:p>
        </w:tc>
        <w:tc>
          <w:tcPr>
            <w:tcW w:w="1417" w:type="dxa"/>
            <w:vAlign w:val="center"/>
          </w:tcPr>
          <w:p w:rsidR="00843E9B" w:rsidRDefault="00943E9B">
            <w:pPr>
              <w:jc w:val="center"/>
            </w:pPr>
            <w:r>
              <w:rPr>
                <w:rFonts w:eastAsiaTheme="minorEastAsia"/>
                <w:color w:val="000000" w:themeColor="text1"/>
                <w:szCs w:val="21"/>
              </w:rPr>
              <w:t>6</w:t>
            </w:r>
            <w:r>
              <w:rPr>
                <w:rFonts w:eastAsiaTheme="minorEastAsia"/>
                <w:color w:val="000000" w:themeColor="text1"/>
                <w:szCs w:val="21"/>
              </w:rPr>
              <w:t>年</w:t>
            </w:r>
          </w:p>
        </w:tc>
        <w:tc>
          <w:tcPr>
            <w:tcW w:w="2694" w:type="dxa"/>
            <w:vAlign w:val="center"/>
          </w:tcPr>
          <w:p w:rsidR="00843E9B" w:rsidRDefault="00943E9B">
            <w:r>
              <w:rPr>
                <w:rFonts w:eastAsiaTheme="minorEastAsia"/>
                <w:color w:val="000000" w:themeColor="text1"/>
                <w:szCs w:val="21"/>
              </w:rPr>
              <w:t>毛时超先生，中山大学概率论与数理统计硕士，现任指数及量化投资部基金经理。毛时超先生自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月在平安基金管理有限公司历任量化研究员、基金经理助理、基金经理；自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月加入上投摩根基金管理有限公司，现任指数及量化投资部基金经理。自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月起担任上投摩根中证创新药产业交易型开放式指数证券投资基金、</w:t>
            </w:r>
            <w:r>
              <w:rPr>
                <w:rFonts w:eastAsiaTheme="minorEastAsia"/>
                <w:color w:val="000000" w:themeColor="text1"/>
                <w:szCs w:val="21"/>
              </w:rPr>
              <w:t>上投摩根优选多因子股票型证券投资基金基金经理。</w:t>
            </w:r>
          </w:p>
        </w:tc>
      </w:tr>
    </w:tbl>
    <w:p w:rsidR="00843E9B" w:rsidRDefault="00943E9B">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843E9B" w:rsidRDefault="00943E9B">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胡迪女士为本基金首任基金经理，其任职日期指本基金基金合同生效之日。</w:t>
      </w:r>
      <w:r>
        <w:rPr>
          <w:rFonts w:eastAsiaTheme="minorEastAsia"/>
          <w:color w:val="000000" w:themeColor="text1"/>
          <w:szCs w:val="21"/>
        </w:rPr>
        <w:t xml:space="preserve"> </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 xml:space="preserve">3. </w:t>
      </w:r>
      <w:r w:rsidRPr="00473486">
        <w:rPr>
          <w:rFonts w:eastAsiaTheme="minorEastAsia"/>
          <w:color w:val="000000" w:themeColor="text1"/>
          <w:szCs w:val="21"/>
        </w:rPr>
        <w:t>证券从业的含义遵从行业协会《证券业从业人员资格管理办法》的相关规定。</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4.2</w:t>
      </w:r>
      <w:r w:rsidRPr="00473486">
        <w:rPr>
          <w:b/>
          <w:color w:val="000000"/>
          <w:sz w:val="24"/>
          <w:shd w:val="clear" w:color="auto" w:fill="FFFFFF"/>
        </w:rPr>
        <w:t>管理人对报告期内本基金运作遵规守信情况的说明</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中证创新药产业交易型开放式指数证券投资基金基金合同》的规定。基金经理对个股和投资组合的比例遵循了投资决策委员会的授权限制，基金投资比例符合基金合同和法律法规的要求。</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4.3 </w:t>
      </w:r>
      <w:r w:rsidRPr="00473486">
        <w:rPr>
          <w:rFonts w:eastAsiaTheme="minorEastAsia"/>
          <w:b/>
          <w:color w:val="000000" w:themeColor="text1"/>
          <w:kern w:val="0"/>
          <w:sz w:val="24"/>
        </w:rPr>
        <w:t>公平交易专项说明</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4.3.1 </w:t>
      </w:r>
      <w:r w:rsidRPr="00473486">
        <w:rPr>
          <w:rFonts w:eastAsiaTheme="minorEastAsia"/>
          <w:color w:val="000000" w:themeColor="text1"/>
          <w:szCs w:val="21"/>
        </w:rPr>
        <w:t>公平交易制度的执行情况</w:t>
      </w:r>
    </w:p>
    <w:p w:rsidR="00843E9B" w:rsidRDefault="00943E9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843E9B" w:rsidRDefault="00943E9B">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szCs w:val="21"/>
        </w:rPr>
        <w:t>，本公司通过对手库控制和交易室询价机制，严格防范对手风险并检查价格公允性；对于申购投资行为，本公司遵循价格优先、比例分配的原则，根据事前独立申报的价格和数量对交易结果进行公平分配。</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4.3.2 </w:t>
      </w:r>
      <w:r w:rsidRPr="00473486">
        <w:rPr>
          <w:rFonts w:eastAsiaTheme="minorEastAsia"/>
          <w:color w:val="000000" w:themeColor="text1"/>
          <w:szCs w:val="21"/>
        </w:rPr>
        <w:t>异常交易行为的专项说明</w:t>
      </w:r>
    </w:p>
    <w:p w:rsidR="00843E9B" w:rsidRDefault="00943E9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所有投资组合参与的交易所公开竞价同日反向交易成交较少的单边交易量超过该证券当日成交量的</w:t>
      </w:r>
      <w:r w:rsidRPr="00473486">
        <w:rPr>
          <w:rFonts w:eastAsiaTheme="minorEastAsia"/>
          <w:color w:val="000000" w:themeColor="text1"/>
          <w:szCs w:val="21"/>
        </w:rPr>
        <w:t>5%</w:t>
      </w:r>
      <w:r w:rsidRPr="00473486">
        <w:rPr>
          <w:rFonts w:eastAsiaTheme="minorEastAsia"/>
          <w:color w:val="000000" w:themeColor="text1"/>
          <w:szCs w:val="21"/>
        </w:rPr>
        <w:t>的情形：无。</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4.4 </w:t>
      </w:r>
      <w:r w:rsidRPr="00473486">
        <w:rPr>
          <w:rFonts w:eastAsiaTheme="minorEastAsia"/>
          <w:b/>
          <w:color w:val="000000" w:themeColor="text1"/>
          <w:kern w:val="0"/>
          <w:sz w:val="24"/>
        </w:rPr>
        <w:t>报告期内基金的投资策略和业绩表现说明</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4.4.1</w:t>
      </w:r>
      <w:r w:rsidRPr="00473486">
        <w:rPr>
          <w:rFonts w:eastAsiaTheme="minorEastAsia"/>
          <w:color w:val="000000" w:themeColor="text1"/>
          <w:szCs w:val="21"/>
        </w:rPr>
        <w:t>报告期内基金投资策略和运作分析</w:t>
      </w:r>
    </w:p>
    <w:p w:rsidR="00843E9B" w:rsidRDefault="00943E9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虽然国内疫情尽管整体得到有效控制，但仍出现多起局部地区聚集性疫情。受新冠疫情叠加地缘政治风险及大宗商品价格波动等影响，我国企业正常生产经营，面临一定程度上的压力。尽管短期仍然存在政策和市场情绪的不确定性，但从长期来看，在疫情逐步得到有效控制的情况下，中国经济将持续结构转型并长期高质量增长。在人口老龄化、国家人均医疗卫生支出持续增加等背景下，内部医疗改革</w:t>
      </w:r>
      <w:r>
        <w:rPr>
          <w:rFonts w:eastAsiaTheme="minorEastAsia"/>
          <w:color w:val="000000" w:themeColor="text1"/>
          <w:szCs w:val="21"/>
        </w:rPr>
        <w:t>持续引导产业升级，鼓励高质量创新药研发的总体基调不变。我国创新药企业国际化程度及全球竞争力逐步提升，预计未来几年会有较多重磅国产创新药在国内外获批上市，龙头创新药企业凭借强大的原研创新及商业化变现能力或将迎来爆发。</w:t>
      </w:r>
    </w:p>
    <w:p w:rsidR="00843E9B" w:rsidRDefault="00943E9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本基金采用复制标的指数的投资策略，基于多套系统处理日常的申购赎回等行为，力争将跟踪误差控制在合理水平。</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展望未来，伴随此轮较大幅度的调整行情，本基金跟踪的标的指数估值，已经处于历史上的较低位置。并且当前医保控费政策已经呈现触底后逐步缓和状态，仿制药集采影响也已经逐步出清，创新药产业链未来空间巨大，相关企业具有较好的长期投资价值和配置价值。</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4.4.2</w:t>
      </w:r>
      <w:r w:rsidRPr="00473486">
        <w:rPr>
          <w:rFonts w:eastAsiaTheme="minorEastAsia"/>
          <w:color w:val="000000" w:themeColor="text1"/>
          <w:szCs w:val="21"/>
        </w:rPr>
        <w:t>报告期内基金的业绩表现</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本报告期上投摩根中证创新药产业</w:t>
      </w:r>
      <w:r w:rsidRPr="00473486">
        <w:rPr>
          <w:rFonts w:eastAsiaTheme="minorEastAsia"/>
          <w:color w:val="000000" w:themeColor="text1"/>
          <w:szCs w:val="21"/>
        </w:rPr>
        <w:t>ETF</w:t>
      </w:r>
      <w:r w:rsidRPr="00473486">
        <w:rPr>
          <w:rFonts w:eastAsiaTheme="minorEastAsia"/>
          <w:color w:val="000000" w:themeColor="text1"/>
          <w:szCs w:val="21"/>
        </w:rPr>
        <w:t>份额净值增长率为</w:t>
      </w:r>
      <w:r w:rsidRPr="00473486">
        <w:rPr>
          <w:rFonts w:eastAsiaTheme="minorEastAsia"/>
          <w:color w:val="000000" w:themeColor="text1"/>
          <w:szCs w:val="21"/>
        </w:rPr>
        <w:t>:-19.90%</w:t>
      </w:r>
      <w:r w:rsidRPr="00473486">
        <w:rPr>
          <w:rFonts w:eastAsiaTheme="minorEastAsia"/>
          <w:color w:val="000000" w:themeColor="text1"/>
          <w:szCs w:val="21"/>
        </w:rPr>
        <w:t>，同期业绩比较基准收益率为</w:t>
      </w:r>
      <w:r w:rsidRPr="00473486">
        <w:rPr>
          <w:rFonts w:eastAsiaTheme="minorEastAsia"/>
          <w:color w:val="000000" w:themeColor="text1"/>
          <w:szCs w:val="21"/>
        </w:rPr>
        <w:t>:-21.08%</w:t>
      </w:r>
      <w:r w:rsidRPr="00473486">
        <w:rPr>
          <w:rFonts w:eastAsiaTheme="minorEastAsia"/>
          <w:color w:val="000000" w:themeColor="text1"/>
          <w:szCs w:val="21"/>
        </w:rPr>
        <w:t>。</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§5  </w:t>
      </w:r>
      <w:r w:rsidRPr="00473486">
        <w:rPr>
          <w:rFonts w:eastAsiaTheme="minorEastAsia"/>
          <w:color w:val="000000" w:themeColor="text1"/>
          <w:kern w:val="0"/>
          <w:sz w:val="24"/>
          <w:szCs w:val="24"/>
        </w:rPr>
        <w:t>投资组合报告</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5.1 </w:t>
      </w:r>
      <w:r w:rsidRPr="00473486">
        <w:rPr>
          <w:rFonts w:eastAsiaTheme="minor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335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项目</w:t>
            </w:r>
          </w:p>
        </w:tc>
        <w:tc>
          <w:tcPr>
            <w:tcW w:w="297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金额</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占基金总资产的比例</w:t>
            </w: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1</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权益投资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181,775,736.19</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94.01</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其中：股票</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181,775,736.19</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94.01</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固定收益投资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其中：债券</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autoSpaceDE w:val="0"/>
              <w:autoSpaceDN w:val="0"/>
              <w:adjustRightInd w:val="0"/>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资产支持证券</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3</w:t>
            </w:r>
          </w:p>
        </w:tc>
        <w:tc>
          <w:tcPr>
            <w:tcW w:w="3357" w:type="dxa"/>
          </w:tcPr>
          <w:p w:rsidR="00881A82" w:rsidRPr="00473486" w:rsidRDefault="007D1E3A">
            <w:pPr>
              <w:spacing w:before="29" w:line="360" w:lineRule="auto"/>
              <w:ind w:leftChars="50" w:left="105"/>
              <w:rPr>
                <w:rFonts w:eastAsiaTheme="minorEastAsia"/>
                <w:color w:val="000000" w:themeColor="text1"/>
                <w:szCs w:val="21"/>
              </w:rPr>
            </w:pPr>
            <w:r w:rsidRPr="00473486">
              <w:rPr>
                <w:rFonts w:eastAsiaTheme="minorEastAsia"/>
                <w:color w:val="000000" w:themeColor="text1"/>
                <w:szCs w:val="21"/>
              </w:rPr>
              <w:t>贵金属投资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4</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金融衍生品投资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5</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买入返售金融资产</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其中：买断式回购的买入返售金融资产</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6</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银行存款和结算备付金合计</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11,470,680.50</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5.93</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7</w:t>
            </w:r>
          </w:p>
        </w:tc>
        <w:tc>
          <w:tcPr>
            <w:tcW w:w="3357" w:type="dxa"/>
            <w:vAlign w:val="center"/>
          </w:tcPr>
          <w:p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其他各项资产</w:t>
            </w:r>
          </w:p>
        </w:tc>
        <w:tc>
          <w:tcPr>
            <w:tcW w:w="2977"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111,877.42</w:t>
            </w:r>
          </w:p>
        </w:tc>
        <w:tc>
          <w:tcPr>
            <w:tcW w:w="1843"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0.06</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8</w:t>
            </w:r>
          </w:p>
        </w:tc>
        <w:tc>
          <w:tcPr>
            <w:tcW w:w="3357" w:type="dxa"/>
            <w:vAlign w:val="center"/>
          </w:tcPr>
          <w:p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合计</w:t>
            </w:r>
          </w:p>
        </w:tc>
        <w:tc>
          <w:tcPr>
            <w:tcW w:w="2977"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193,358,294.11</w:t>
            </w:r>
          </w:p>
        </w:tc>
        <w:tc>
          <w:tcPr>
            <w:tcW w:w="1843"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100.00</w:t>
            </w:r>
          </w:p>
        </w:tc>
      </w:tr>
    </w:tbl>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5.2 </w:t>
      </w:r>
      <w:r w:rsidRPr="00473486">
        <w:rPr>
          <w:rFonts w:eastAsiaTheme="minorEastAsia"/>
          <w:b/>
          <w:color w:val="000000" w:themeColor="text1"/>
          <w:kern w:val="0"/>
          <w:sz w:val="24"/>
        </w:rPr>
        <w:t>报告期末按行业分类的股票投资组合</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5.2.1</w:t>
      </w:r>
      <w:r w:rsidRPr="00473486">
        <w:rPr>
          <w:rFonts w:eastAsiaTheme="minorEastAsia"/>
          <w:b/>
          <w:color w:val="000000" w:themeColor="text1"/>
          <w:kern w:val="0"/>
          <w:sz w:val="24"/>
        </w:rPr>
        <w:t>积极投资按行业分类的股票投资组合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881A82" w:rsidRPr="00473486">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占基金资产净值比例（％）</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26,201.00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0.01</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8,604.00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0.00</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881A82">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34,805.00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0.02</w:t>
            </w:r>
          </w:p>
        </w:tc>
      </w:tr>
    </w:tbl>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5.2.2</w:t>
      </w:r>
      <w:r w:rsidRPr="00473486">
        <w:rPr>
          <w:rFonts w:eastAsiaTheme="minorEastAsia"/>
          <w:b/>
          <w:color w:val="000000" w:themeColor="text1"/>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881A82" w:rsidRPr="00473486">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占基金资产净值比例（％）</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138,073,577.44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71.46</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10,120,382.00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5.24</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33,546,971.75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17.36</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881A82">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181,740,931.19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94.07</w:t>
            </w:r>
          </w:p>
        </w:tc>
      </w:tr>
    </w:tbl>
    <w:p w:rsidR="00881A82" w:rsidRPr="00473486" w:rsidRDefault="00881A82">
      <w:pPr>
        <w:autoSpaceDE w:val="0"/>
        <w:autoSpaceDN w:val="0"/>
        <w:adjustRightInd w:val="0"/>
        <w:spacing w:line="360" w:lineRule="auto"/>
        <w:jc w:val="left"/>
        <w:rPr>
          <w:rFonts w:eastAsiaTheme="minorEastAsia"/>
          <w:color w:val="000000" w:themeColor="text1"/>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5.3</w:t>
      </w:r>
      <w:r w:rsidRPr="00473486">
        <w:rPr>
          <w:rFonts w:eastAsiaTheme="minorEastAsia"/>
          <w:b/>
          <w:color w:val="000000" w:themeColor="text1"/>
          <w:kern w:val="0"/>
          <w:sz w:val="24"/>
        </w:rPr>
        <w:t>报告期末按公允价值占基金资产净值比例大小排序的股票投资明细</w:t>
      </w: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5.3.1</w:t>
      </w:r>
      <w:r w:rsidRPr="00473486">
        <w:rPr>
          <w:rFonts w:eastAsiaTheme="minorEastAsia"/>
          <w:b/>
          <w:color w:val="000000" w:themeColor="text1"/>
          <w:kern w:val="0"/>
          <w:sz w:val="24"/>
        </w:rPr>
        <w:t>期末</w:t>
      </w:r>
      <w:r w:rsidRPr="00473486">
        <w:rPr>
          <w:rFonts w:eastAsiaTheme="minorEastAsia"/>
          <w:b/>
          <w:color w:val="000000" w:themeColor="text1"/>
          <w:sz w:val="24"/>
        </w:rPr>
        <w:t>指数投资按公允价值占基金资产净值比例大小排序的前十名股票投资明细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881A82" w:rsidRPr="00473486">
        <w:tc>
          <w:tcPr>
            <w:tcW w:w="81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27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股票代码</w:t>
            </w:r>
          </w:p>
        </w:tc>
        <w:tc>
          <w:tcPr>
            <w:tcW w:w="1701"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股票名称</w:t>
            </w:r>
          </w:p>
        </w:tc>
        <w:tc>
          <w:tcPr>
            <w:tcW w:w="127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数量</w:t>
            </w:r>
            <w:r w:rsidRPr="00473486">
              <w:rPr>
                <w:rFonts w:eastAsiaTheme="minorEastAsia"/>
                <w:color w:val="000000" w:themeColor="text1"/>
                <w:szCs w:val="21"/>
              </w:rPr>
              <w:t>(</w:t>
            </w:r>
            <w:r w:rsidRPr="00473486">
              <w:rPr>
                <w:rFonts w:eastAsiaTheme="minorEastAsia"/>
                <w:color w:val="000000" w:themeColor="text1"/>
                <w:szCs w:val="21"/>
              </w:rPr>
              <w:t>股</w:t>
            </w:r>
            <w:r w:rsidRPr="00473486">
              <w:rPr>
                <w:rFonts w:eastAsiaTheme="minorEastAsia"/>
                <w:color w:val="000000" w:themeColor="text1"/>
                <w:szCs w:val="21"/>
              </w:rPr>
              <w:t>)</w:t>
            </w:r>
          </w:p>
        </w:tc>
        <w:tc>
          <w:tcPr>
            <w:tcW w:w="1842"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1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843E9B">
        <w:tc>
          <w:tcPr>
            <w:tcW w:w="817" w:type="dxa"/>
            <w:vAlign w:val="center"/>
          </w:tcPr>
          <w:p w:rsidR="00843E9B" w:rsidRDefault="00943E9B">
            <w:pPr>
              <w:jc w:val="center"/>
            </w:pPr>
            <w:r>
              <w:rPr>
                <w:rFonts w:eastAsiaTheme="minorEastAsia"/>
                <w:color w:val="000000" w:themeColor="text1"/>
                <w:szCs w:val="21"/>
              </w:rPr>
              <w:t>1</w:t>
            </w:r>
          </w:p>
        </w:tc>
        <w:tc>
          <w:tcPr>
            <w:tcW w:w="1276" w:type="dxa"/>
            <w:vAlign w:val="center"/>
          </w:tcPr>
          <w:p w:rsidR="00843E9B" w:rsidRDefault="00943E9B">
            <w:pPr>
              <w:jc w:val="center"/>
            </w:pPr>
            <w:r>
              <w:rPr>
                <w:rFonts w:eastAsiaTheme="minorEastAsia"/>
                <w:color w:val="000000" w:themeColor="text1"/>
                <w:szCs w:val="21"/>
              </w:rPr>
              <w:t>600276</w:t>
            </w:r>
          </w:p>
        </w:tc>
        <w:tc>
          <w:tcPr>
            <w:tcW w:w="1701" w:type="dxa"/>
            <w:vAlign w:val="center"/>
          </w:tcPr>
          <w:p w:rsidR="00843E9B" w:rsidRDefault="00943E9B">
            <w:pPr>
              <w:jc w:val="center"/>
            </w:pPr>
            <w:r>
              <w:rPr>
                <w:rFonts w:eastAsiaTheme="minorEastAsia"/>
                <w:color w:val="000000" w:themeColor="text1"/>
                <w:szCs w:val="21"/>
              </w:rPr>
              <w:t>恒瑞医药</w:t>
            </w:r>
          </w:p>
        </w:tc>
        <w:tc>
          <w:tcPr>
            <w:tcW w:w="1276" w:type="dxa"/>
            <w:vAlign w:val="center"/>
          </w:tcPr>
          <w:p w:rsidR="00843E9B" w:rsidRDefault="00943E9B">
            <w:pPr>
              <w:jc w:val="right"/>
            </w:pPr>
            <w:r>
              <w:rPr>
                <w:rFonts w:eastAsiaTheme="minorEastAsia"/>
                <w:color w:val="000000" w:themeColor="text1"/>
                <w:szCs w:val="21"/>
              </w:rPr>
              <w:t>673,440.00</w:t>
            </w:r>
          </w:p>
        </w:tc>
        <w:tc>
          <w:tcPr>
            <w:tcW w:w="1842" w:type="dxa"/>
            <w:vAlign w:val="center"/>
          </w:tcPr>
          <w:p w:rsidR="00843E9B" w:rsidRDefault="00943E9B">
            <w:pPr>
              <w:jc w:val="right"/>
            </w:pPr>
            <w:r>
              <w:rPr>
                <w:rFonts w:eastAsiaTheme="minorEastAsia"/>
                <w:color w:val="000000" w:themeColor="text1"/>
                <w:szCs w:val="21"/>
              </w:rPr>
              <w:t>23,637,744.00</w:t>
            </w:r>
          </w:p>
        </w:tc>
        <w:tc>
          <w:tcPr>
            <w:tcW w:w="1616" w:type="dxa"/>
            <w:vAlign w:val="center"/>
          </w:tcPr>
          <w:p w:rsidR="00843E9B" w:rsidRDefault="00943E9B">
            <w:pPr>
              <w:jc w:val="right"/>
            </w:pPr>
            <w:r>
              <w:rPr>
                <w:rFonts w:eastAsiaTheme="minorEastAsia"/>
                <w:color w:val="000000" w:themeColor="text1"/>
                <w:szCs w:val="21"/>
              </w:rPr>
              <w:t>12.23</w:t>
            </w:r>
          </w:p>
        </w:tc>
      </w:tr>
      <w:tr w:rsidR="00843E9B">
        <w:tc>
          <w:tcPr>
            <w:tcW w:w="817" w:type="dxa"/>
            <w:vAlign w:val="center"/>
          </w:tcPr>
          <w:p w:rsidR="00843E9B" w:rsidRDefault="00943E9B">
            <w:pPr>
              <w:jc w:val="center"/>
            </w:pPr>
            <w:r>
              <w:rPr>
                <w:rFonts w:eastAsiaTheme="minorEastAsia"/>
                <w:color w:val="000000" w:themeColor="text1"/>
                <w:szCs w:val="21"/>
              </w:rPr>
              <w:t>2</w:t>
            </w:r>
          </w:p>
        </w:tc>
        <w:tc>
          <w:tcPr>
            <w:tcW w:w="1276" w:type="dxa"/>
            <w:vAlign w:val="center"/>
          </w:tcPr>
          <w:p w:rsidR="00843E9B" w:rsidRDefault="00943E9B">
            <w:pPr>
              <w:jc w:val="center"/>
            </w:pPr>
            <w:r>
              <w:rPr>
                <w:rFonts w:eastAsiaTheme="minorEastAsia"/>
                <w:color w:val="000000" w:themeColor="text1"/>
                <w:szCs w:val="21"/>
              </w:rPr>
              <w:t>603259</w:t>
            </w:r>
          </w:p>
        </w:tc>
        <w:tc>
          <w:tcPr>
            <w:tcW w:w="1701" w:type="dxa"/>
            <w:vAlign w:val="center"/>
          </w:tcPr>
          <w:p w:rsidR="00843E9B" w:rsidRDefault="00943E9B">
            <w:pPr>
              <w:jc w:val="center"/>
            </w:pPr>
            <w:r>
              <w:rPr>
                <w:rFonts w:eastAsiaTheme="minorEastAsia"/>
                <w:color w:val="000000" w:themeColor="text1"/>
                <w:szCs w:val="21"/>
              </w:rPr>
              <w:t>药明康德</w:t>
            </w:r>
          </w:p>
        </w:tc>
        <w:tc>
          <w:tcPr>
            <w:tcW w:w="1276" w:type="dxa"/>
            <w:vAlign w:val="center"/>
          </w:tcPr>
          <w:p w:rsidR="00843E9B" w:rsidRDefault="00943E9B">
            <w:pPr>
              <w:jc w:val="right"/>
            </w:pPr>
            <w:r>
              <w:rPr>
                <w:rFonts w:eastAsiaTheme="minorEastAsia"/>
                <w:color w:val="000000" w:themeColor="text1"/>
                <w:szCs w:val="21"/>
              </w:rPr>
              <w:t>205,365.00</w:t>
            </w:r>
          </w:p>
        </w:tc>
        <w:tc>
          <w:tcPr>
            <w:tcW w:w="1842" w:type="dxa"/>
            <w:vAlign w:val="center"/>
          </w:tcPr>
          <w:p w:rsidR="00843E9B" w:rsidRDefault="00943E9B">
            <w:pPr>
              <w:jc w:val="right"/>
            </w:pPr>
            <w:r>
              <w:rPr>
                <w:rFonts w:eastAsiaTheme="minorEastAsia"/>
                <w:color w:val="000000" w:themeColor="text1"/>
                <w:szCs w:val="21"/>
              </w:rPr>
              <w:t>14,722,616.85</w:t>
            </w:r>
          </w:p>
        </w:tc>
        <w:tc>
          <w:tcPr>
            <w:tcW w:w="1616" w:type="dxa"/>
            <w:vAlign w:val="center"/>
          </w:tcPr>
          <w:p w:rsidR="00843E9B" w:rsidRDefault="00943E9B">
            <w:pPr>
              <w:jc w:val="right"/>
            </w:pPr>
            <w:r>
              <w:rPr>
                <w:rFonts w:eastAsiaTheme="minorEastAsia"/>
                <w:color w:val="000000" w:themeColor="text1"/>
                <w:szCs w:val="21"/>
              </w:rPr>
              <w:t>7.62</w:t>
            </w:r>
          </w:p>
        </w:tc>
      </w:tr>
      <w:tr w:rsidR="00843E9B">
        <w:tc>
          <w:tcPr>
            <w:tcW w:w="817" w:type="dxa"/>
            <w:vAlign w:val="center"/>
          </w:tcPr>
          <w:p w:rsidR="00843E9B" w:rsidRDefault="00943E9B">
            <w:pPr>
              <w:jc w:val="center"/>
            </w:pPr>
            <w:r>
              <w:rPr>
                <w:rFonts w:eastAsiaTheme="minorEastAsia"/>
                <w:color w:val="000000" w:themeColor="text1"/>
                <w:szCs w:val="21"/>
              </w:rPr>
              <w:t>3</w:t>
            </w:r>
          </w:p>
        </w:tc>
        <w:tc>
          <w:tcPr>
            <w:tcW w:w="1276" w:type="dxa"/>
            <w:vAlign w:val="center"/>
          </w:tcPr>
          <w:p w:rsidR="00843E9B" w:rsidRDefault="00943E9B">
            <w:pPr>
              <w:jc w:val="center"/>
            </w:pPr>
            <w:r>
              <w:rPr>
                <w:rFonts w:eastAsiaTheme="minorEastAsia"/>
                <w:color w:val="000000" w:themeColor="text1"/>
                <w:szCs w:val="21"/>
              </w:rPr>
              <w:t>300122</w:t>
            </w:r>
          </w:p>
        </w:tc>
        <w:tc>
          <w:tcPr>
            <w:tcW w:w="1701" w:type="dxa"/>
            <w:vAlign w:val="center"/>
          </w:tcPr>
          <w:p w:rsidR="00843E9B" w:rsidRDefault="00943E9B">
            <w:pPr>
              <w:jc w:val="center"/>
            </w:pPr>
            <w:r>
              <w:rPr>
                <w:rFonts w:eastAsiaTheme="minorEastAsia"/>
                <w:color w:val="000000" w:themeColor="text1"/>
                <w:szCs w:val="21"/>
              </w:rPr>
              <w:t>智飞生物</w:t>
            </w:r>
          </w:p>
        </w:tc>
        <w:tc>
          <w:tcPr>
            <w:tcW w:w="1276" w:type="dxa"/>
            <w:vAlign w:val="center"/>
          </w:tcPr>
          <w:p w:rsidR="00843E9B" w:rsidRDefault="00943E9B">
            <w:pPr>
              <w:jc w:val="right"/>
            </w:pPr>
            <w:r>
              <w:rPr>
                <w:rFonts w:eastAsiaTheme="minorEastAsia"/>
                <w:color w:val="000000" w:themeColor="text1"/>
                <w:szCs w:val="21"/>
              </w:rPr>
              <w:t>155,100.00</w:t>
            </w:r>
          </w:p>
        </w:tc>
        <w:tc>
          <w:tcPr>
            <w:tcW w:w="1842" w:type="dxa"/>
            <w:vAlign w:val="center"/>
          </w:tcPr>
          <w:p w:rsidR="00843E9B" w:rsidRDefault="00943E9B">
            <w:pPr>
              <w:jc w:val="right"/>
            </w:pPr>
            <w:r>
              <w:rPr>
                <w:rFonts w:eastAsiaTheme="minorEastAsia"/>
                <w:color w:val="000000" w:themeColor="text1"/>
                <w:szCs w:val="21"/>
              </w:rPr>
              <w:t>13,405,293.00</w:t>
            </w:r>
          </w:p>
        </w:tc>
        <w:tc>
          <w:tcPr>
            <w:tcW w:w="1616" w:type="dxa"/>
            <w:vAlign w:val="center"/>
          </w:tcPr>
          <w:p w:rsidR="00843E9B" w:rsidRDefault="00943E9B">
            <w:pPr>
              <w:jc w:val="right"/>
            </w:pPr>
            <w:r>
              <w:rPr>
                <w:rFonts w:eastAsiaTheme="minorEastAsia"/>
                <w:color w:val="000000" w:themeColor="text1"/>
                <w:szCs w:val="21"/>
              </w:rPr>
              <w:t>6.94</w:t>
            </w:r>
          </w:p>
        </w:tc>
      </w:tr>
      <w:tr w:rsidR="00843E9B">
        <w:tc>
          <w:tcPr>
            <w:tcW w:w="817" w:type="dxa"/>
            <w:vAlign w:val="center"/>
          </w:tcPr>
          <w:p w:rsidR="00843E9B" w:rsidRDefault="00943E9B">
            <w:pPr>
              <w:jc w:val="center"/>
            </w:pPr>
            <w:r>
              <w:rPr>
                <w:rFonts w:eastAsiaTheme="minorEastAsia"/>
                <w:color w:val="000000" w:themeColor="text1"/>
                <w:szCs w:val="21"/>
              </w:rPr>
              <w:t>4</w:t>
            </w:r>
          </w:p>
        </w:tc>
        <w:tc>
          <w:tcPr>
            <w:tcW w:w="1276" w:type="dxa"/>
            <w:vAlign w:val="center"/>
          </w:tcPr>
          <w:p w:rsidR="00843E9B" w:rsidRDefault="00943E9B">
            <w:pPr>
              <w:jc w:val="center"/>
            </w:pPr>
            <w:r>
              <w:rPr>
                <w:rFonts w:eastAsiaTheme="minorEastAsia"/>
                <w:color w:val="000000" w:themeColor="text1"/>
                <w:szCs w:val="21"/>
              </w:rPr>
              <w:t>300142</w:t>
            </w:r>
          </w:p>
        </w:tc>
        <w:tc>
          <w:tcPr>
            <w:tcW w:w="1701" w:type="dxa"/>
            <w:vAlign w:val="center"/>
          </w:tcPr>
          <w:p w:rsidR="00843E9B" w:rsidRDefault="00943E9B">
            <w:pPr>
              <w:jc w:val="center"/>
            </w:pPr>
            <w:r>
              <w:rPr>
                <w:rFonts w:eastAsiaTheme="minorEastAsia"/>
                <w:color w:val="000000" w:themeColor="text1"/>
                <w:szCs w:val="21"/>
              </w:rPr>
              <w:t>沃森生物</w:t>
            </w:r>
          </w:p>
        </w:tc>
        <w:tc>
          <w:tcPr>
            <w:tcW w:w="1276" w:type="dxa"/>
            <w:vAlign w:val="center"/>
          </w:tcPr>
          <w:p w:rsidR="00843E9B" w:rsidRDefault="00943E9B">
            <w:pPr>
              <w:jc w:val="right"/>
            </w:pPr>
            <w:r>
              <w:rPr>
                <w:rFonts w:eastAsiaTheme="minorEastAsia"/>
                <w:color w:val="000000" w:themeColor="text1"/>
                <w:szCs w:val="21"/>
              </w:rPr>
              <w:t>301,700.00</w:t>
            </w:r>
          </w:p>
        </w:tc>
        <w:tc>
          <w:tcPr>
            <w:tcW w:w="1842" w:type="dxa"/>
            <w:vAlign w:val="center"/>
          </w:tcPr>
          <w:p w:rsidR="00843E9B" w:rsidRDefault="00943E9B">
            <w:pPr>
              <w:jc w:val="right"/>
            </w:pPr>
            <w:r>
              <w:rPr>
                <w:rFonts w:eastAsiaTheme="minorEastAsia"/>
                <w:color w:val="000000" w:themeColor="text1"/>
                <w:szCs w:val="21"/>
              </w:rPr>
              <w:t>11,193,070.00</w:t>
            </w:r>
          </w:p>
        </w:tc>
        <w:tc>
          <w:tcPr>
            <w:tcW w:w="1616" w:type="dxa"/>
            <w:vAlign w:val="center"/>
          </w:tcPr>
          <w:p w:rsidR="00843E9B" w:rsidRDefault="00943E9B">
            <w:pPr>
              <w:jc w:val="right"/>
            </w:pPr>
            <w:r>
              <w:rPr>
                <w:rFonts w:eastAsiaTheme="minorEastAsia"/>
                <w:color w:val="000000" w:themeColor="text1"/>
                <w:szCs w:val="21"/>
              </w:rPr>
              <w:t>5.79</w:t>
            </w:r>
          </w:p>
        </w:tc>
      </w:tr>
      <w:tr w:rsidR="00843E9B">
        <w:tc>
          <w:tcPr>
            <w:tcW w:w="817" w:type="dxa"/>
            <w:vAlign w:val="center"/>
          </w:tcPr>
          <w:p w:rsidR="00843E9B" w:rsidRDefault="00943E9B">
            <w:pPr>
              <w:jc w:val="center"/>
            </w:pPr>
            <w:r>
              <w:rPr>
                <w:rFonts w:eastAsiaTheme="minorEastAsia"/>
                <w:color w:val="000000" w:themeColor="text1"/>
                <w:szCs w:val="21"/>
              </w:rPr>
              <w:t>5</w:t>
            </w:r>
          </w:p>
        </w:tc>
        <w:tc>
          <w:tcPr>
            <w:tcW w:w="1276" w:type="dxa"/>
            <w:vAlign w:val="center"/>
          </w:tcPr>
          <w:p w:rsidR="00843E9B" w:rsidRDefault="00943E9B">
            <w:pPr>
              <w:jc w:val="center"/>
            </w:pPr>
            <w:r>
              <w:rPr>
                <w:rFonts w:eastAsiaTheme="minorEastAsia"/>
                <w:color w:val="000000" w:themeColor="text1"/>
                <w:szCs w:val="21"/>
              </w:rPr>
              <w:t>000661</w:t>
            </w:r>
          </w:p>
        </w:tc>
        <w:tc>
          <w:tcPr>
            <w:tcW w:w="1701" w:type="dxa"/>
            <w:vAlign w:val="center"/>
          </w:tcPr>
          <w:p w:rsidR="00843E9B" w:rsidRDefault="00943E9B">
            <w:pPr>
              <w:jc w:val="center"/>
            </w:pPr>
            <w:r>
              <w:rPr>
                <w:rFonts w:eastAsiaTheme="minorEastAsia"/>
                <w:color w:val="000000" w:themeColor="text1"/>
                <w:szCs w:val="21"/>
              </w:rPr>
              <w:t>长春高新</w:t>
            </w:r>
          </w:p>
        </w:tc>
        <w:tc>
          <w:tcPr>
            <w:tcW w:w="1276" w:type="dxa"/>
            <w:vAlign w:val="center"/>
          </w:tcPr>
          <w:p w:rsidR="00843E9B" w:rsidRDefault="00943E9B">
            <w:pPr>
              <w:jc w:val="right"/>
            </w:pPr>
            <w:r>
              <w:rPr>
                <w:rFonts w:eastAsiaTheme="minorEastAsia"/>
                <w:color w:val="000000" w:themeColor="text1"/>
                <w:szCs w:val="21"/>
              </w:rPr>
              <w:t>62,900.00</w:t>
            </w:r>
          </w:p>
        </w:tc>
        <w:tc>
          <w:tcPr>
            <w:tcW w:w="1842" w:type="dxa"/>
            <w:vAlign w:val="center"/>
          </w:tcPr>
          <w:p w:rsidR="00843E9B" w:rsidRDefault="00943E9B">
            <w:pPr>
              <w:jc w:val="right"/>
            </w:pPr>
            <w:r>
              <w:rPr>
                <w:rFonts w:eastAsiaTheme="minorEastAsia"/>
                <w:color w:val="000000" w:themeColor="text1"/>
                <w:szCs w:val="21"/>
              </w:rPr>
              <w:t>10,715,015.00</w:t>
            </w:r>
          </w:p>
        </w:tc>
        <w:tc>
          <w:tcPr>
            <w:tcW w:w="1616" w:type="dxa"/>
            <w:vAlign w:val="center"/>
          </w:tcPr>
          <w:p w:rsidR="00843E9B" w:rsidRDefault="00943E9B">
            <w:pPr>
              <w:jc w:val="right"/>
            </w:pPr>
            <w:r>
              <w:rPr>
                <w:rFonts w:eastAsiaTheme="minorEastAsia"/>
                <w:color w:val="000000" w:themeColor="text1"/>
                <w:szCs w:val="21"/>
              </w:rPr>
              <w:t>5.55</w:t>
            </w:r>
          </w:p>
        </w:tc>
      </w:tr>
      <w:tr w:rsidR="00843E9B">
        <w:tc>
          <w:tcPr>
            <w:tcW w:w="817" w:type="dxa"/>
            <w:vAlign w:val="center"/>
          </w:tcPr>
          <w:p w:rsidR="00843E9B" w:rsidRDefault="00943E9B">
            <w:pPr>
              <w:jc w:val="center"/>
            </w:pPr>
            <w:r>
              <w:rPr>
                <w:rFonts w:eastAsiaTheme="minorEastAsia"/>
                <w:color w:val="000000" w:themeColor="text1"/>
                <w:szCs w:val="21"/>
              </w:rPr>
              <w:t>6</w:t>
            </w:r>
          </w:p>
        </w:tc>
        <w:tc>
          <w:tcPr>
            <w:tcW w:w="1276" w:type="dxa"/>
            <w:vAlign w:val="center"/>
          </w:tcPr>
          <w:p w:rsidR="00843E9B" w:rsidRDefault="00943E9B">
            <w:pPr>
              <w:jc w:val="center"/>
            </w:pPr>
            <w:r>
              <w:rPr>
                <w:rFonts w:eastAsiaTheme="minorEastAsia"/>
                <w:color w:val="000000" w:themeColor="text1"/>
                <w:szCs w:val="21"/>
              </w:rPr>
              <w:t>300347</w:t>
            </w:r>
          </w:p>
        </w:tc>
        <w:tc>
          <w:tcPr>
            <w:tcW w:w="1701" w:type="dxa"/>
            <w:vAlign w:val="center"/>
          </w:tcPr>
          <w:p w:rsidR="00843E9B" w:rsidRDefault="00943E9B">
            <w:pPr>
              <w:jc w:val="center"/>
            </w:pPr>
            <w:r>
              <w:rPr>
                <w:rFonts w:eastAsiaTheme="minorEastAsia"/>
                <w:color w:val="000000" w:themeColor="text1"/>
                <w:szCs w:val="21"/>
              </w:rPr>
              <w:t>泰格医药</w:t>
            </w:r>
          </w:p>
        </w:tc>
        <w:tc>
          <w:tcPr>
            <w:tcW w:w="1276" w:type="dxa"/>
            <w:vAlign w:val="center"/>
          </w:tcPr>
          <w:p w:rsidR="00843E9B" w:rsidRDefault="00943E9B">
            <w:pPr>
              <w:jc w:val="right"/>
            </w:pPr>
            <w:r>
              <w:rPr>
                <w:rFonts w:eastAsiaTheme="minorEastAsia"/>
                <w:color w:val="000000" w:themeColor="text1"/>
                <w:szCs w:val="21"/>
              </w:rPr>
              <w:t>98,700.00</w:t>
            </w:r>
          </w:p>
        </w:tc>
        <w:tc>
          <w:tcPr>
            <w:tcW w:w="1842" w:type="dxa"/>
            <w:vAlign w:val="center"/>
          </w:tcPr>
          <w:p w:rsidR="00843E9B" w:rsidRDefault="00943E9B">
            <w:pPr>
              <w:jc w:val="right"/>
            </w:pPr>
            <w:r>
              <w:rPr>
                <w:rFonts w:eastAsiaTheme="minorEastAsia"/>
                <w:color w:val="000000" w:themeColor="text1"/>
                <w:szCs w:val="21"/>
              </w:rPr>
              <w:t>8,999,466.00</w:t>
            </w:r>
          </w:p>
        </w:tc>
        <w:tc>
          <w:tcPr>
            <w:tcW w:w="1616" w:type="dxa"/>
            <w:vAlign w:val="center"/>
          </w:tcPr>
          <w:p w:rsidR="00843E9B" w:rsidRDefault="00943E9B">
            <w:pPr>
              <w:jc w:val="right"/>
            </w:pPr>
            <w:r>
              <w:rPr>
                <w:rFonts w:eastAsiaTheme="minorEastAsia"/>
                <w:color w:val="000000" w:themeColor="text1"/>
                <w:szCs w:val="21"/>
              </w:rPr>
              <w:t>4.66</w:t>
            </w:r>
          </w:p>
        </w:tc>
      </w:tr>
      <w:tr w:rsidR="00843E9B">
        <w:tc>
          <w:tcPr>
            <w:tcW w:w="817" w:type="dxa"/>
            <w:vAlign w:val="center"/>
          </w:tcPr>
          <w:p w:rsidR="00843E9B" w:rsidRDefault="00943E9B">
            <w:pPr>
              <w:jc w:val="center"/>
            </w:pPr>
            <w:r>
              <w:rPr>
                <w:rFonts w:eastAsiaTheme="minorEastAsia"/>
                <w:color w:val="000000" w:themeColor="text1"/>
                <w:szCs w:val="21"/>
              </w:rPr>
              <w:t>7</w:t>
            </w:r>
          </w:p>
        </w:tc>
        <w:tc>
          <w:tcPr>
            <w:tcW w:w="1276" w:type="dxa"/>
            <w:vAlign w:val="center"/>
          </w:tcPr>
          <w:p w:rsidR="00843E9B" w:rsidRDefault="00943E9B">
            <w:pPr>
              <w:jc w:val="center"/>
            </w:pPr>
            <w:r>
              <w:rPr>
                <w:rFonts w:eastAsiaTheme="minorEastAsia"/>
                <w:color w:val="000000" w:themeColor="text1"/>
                <w:szCs w:val="21"/>
              </w:rPr>
              <w:t>600196</w:t>
            </w:r>
          </w:p>
        </w:tc>
        <w:tc>
          <w:tcPr>
            <w:tcW w:w="1701" w:type="dxa"/>
            <w:vAlign w:val="center"/>
          </w:tcPr>
          <w:p w:rsidR="00843E9B" w:rsidRDefault="00943E9B">
            <w:pPr>
              <w:jc w:val="center"/>
            </w:pPr>
            <w:r>
              <w:rPr>
                <w:rFonts w:eastAsiaTheme="minorEastAsia"/>
                <w:color w:val="000000" w:themeColor="text1"/>
                <w:szCs w:val="21"/>
              </w:rPr>
              <w:t>复星医药</w:t>
            </w:r>
          </w:p>
        </w:tc>
        <w:tc>
          <w:tcPr>
            <w:tcW w:w="1276" w:type="dxa"/>
            <w:vAlign w:val="center"/>
          </w:tcPr>
          <w:p w:rsidR="00843E9B" w:rsidRDefault="00943E9B">
            <w:pPr>
              <w:jc w:val="right"/>
            </w:pPr>
            <w:r>
              <w:rPr>
                <w:rFonts w:eastAsiaTheme="minorEastAsia"/>
                <w:color w:val="000000" w:themeColor="text1"/>
                <w:szCs w:val="21"/>
              </w:rPr>
              <w:t>229,700.00</w:t>
            </w:r>
          </w:p>
        </w:tc>
        <w:tc>
          <w:tcPr>
            <w:tcW w:w="1842" w:type="dxa"/>
            <w:vAlign w:val="center"/>
          </w:tcPr>
          <w:p w:rsidR="00843E9B" w:rsidRDefault="00943E9B">
            <w:pPr>
              <w:jc w:val="right"/>
            </w:pPr>
            <w:r>
              <w:rPr>
                <w:rFonts w:eastAsiaTheme="minorEastAsia"/>
                <w:color w:val="000000" w:themeColor="text1"/>
                <w:szCs w:val="21"/>
              </w:rPr>
              <w:t>6,789,932.00</w:t>
            </w:r>
          </w:p>
        </w:tc>
        <w:tc>
          <w:tcPr>
            <w:tcW w:w="1616" w:type="dxa"/>
            <w:vAlign w:val="center"/>
          </w:tcPr>
          <w:p w:rsidR="00843E9B" w:rsidRDefault="00943E9B">
            <w:pPr>
              <w:jc w:val="right"/>
            </w:pPr>
            <w:r>
              <w:rPr>
                <w:rFonts w:eastAsiaTheme="minorEastAsia"/>
                <w:color w:val="000000" w:themeColor="text1"/>
                <w:szCs w:val="21"/>
              </w:rPr>
              <w:t>3.51</w:t>
            </w:r>
          </w:p>
        </w:tc>
      </w:tr>
      <w:tr w:rsidR="00843E9B">
        <w:tc>
          <w:tcPr>
            <w:tcW w:w="817" w:type="dxa"/>
            <w:vAlign w:val="center"/>
          </w:tcPr>
          <w:p w:rsidR="00843E9B" w:rsidRDefault="00943E9B">
            <w:pPr>
              <w:jc w:val="center"/>
            </w:pPr>
            <w:r>
              <w:rPr>
                <w:rFonts w:eastAsiaTheme="minorEastAsia"/>
                <w:color w:val="000000" w:themeColor="text1"/>
                <w:szCs w:val="21"/>
              </w:rPr>
              <w:t>8</w:t>
            </w:r>
          </w:p>
        </w:tc>
        <w:tc>
          <w:tcPr>
            <w:tcW w:w="1276" w:type="dxa"/>
            <w:vAlign w:val="center"/>
          </w:tcPr>
          <w:p w:rsidR="00843E9B" w:rsidRDefault="00943E9B">
            <w:pPr>
              <w:jc w:val="center"/>
            </w:pPr>
            <w:r>
              <w:rPr>
                <w:rFonts w:eastAsiaTheme="minorEastAsia"/>
                <w:color w:val="000000" w:themeColor="text1"/>
                <w:szCs w:val="21"/>
              </w:rPr>
              <w:t>000963</w:t>
            </w:r>
          </w:p>
        </w:tc>
        <w:tc>
          <w:tcPr>
            <w:tcW w:w="1701" w:type="dxa"/>
            <w:vAlign w:val="center"/>
          </w:tcPr>
          <w:p w:rsidR="00843E9B" w:rsidRDefault="00943E9B">
            <w:pPr>
              <w:jc w:val="center"/>
            </w:pPr>
            <w:r>
              <w:rPr>
                <w:rFonts w:eastAsiaTheme="minorEastAsia"/>
                <w:color w:val="000000" w:themeColor="text1"/>
                <w:szCs w:val="21"/>
              </w:rPr>
              <w:t>华东医药</w:t>
            </w:r>
          </w:p>
        </w:tc>
        <w:tc>
          <w:tcPr>
            <w:tcW w:w="1276" w:type="dxa"/>
            <w:vAlign w:val="center"/>
          </w:tcPr>
          <w:p w:rsidR="00843E9B" w:rsidRDefault="00943E9B">
            <w:pPr>
              <w:jc w:val="right"/>
            </w:pPr>
            <w:r>
              <w:rPr>
                <w:rFonts w:eastAsiaTheme="minorEastAsia"/>
                <w:color w:val="000000" w:themeColor="text1"/>
                <w:szCs w:val="21"/>
              </w:rPr>
              <w:t>164,600.00</w:t>
            </w:r>
          </w:p>
        </w:tc>
        <w:tc>
          <w:tcPr>
            <w:tcW w:w="1842" w:type="dxa"/>
            <w:vAlign w:val="center"/>
          </w:tcPr>
          <w:p w:rsidR="00843E9B" w:rsidRDefault="00943E9B">
            <w:pPr>
              <w:jc w:val="right"/>
            </w:pPr>
            <w:r>
              <w:rPr>
                <w:rFonts w:eastAsiaTheme="minorEastAsia"/>
                <w:color w:val="000000" w:themeColor="text1"/>
                <w:szCs w:val="21"/>
              </w:rPr>
              <w:t>6,603,752.00</w:t>
            </w:r>
          </w:p>
        </w:tc>
        <w:tc>
          <w:tcPr>
            <w:tcW w:w="1616" w:type="dxa"/>
            <w:vAlign w:val="center"/>
          </w:tcPr>
          <w:p w:rsidR="00843E9B" w:rsidRDefault="00943E9B">
            <w:pPr>
              <w:jc w:val="right"/>
            </w:pPr>
            <w:r>
              <w:rPr>
                <w:rFonts w:eastAsiaTheme="minorEastAsia"/>
                <w:color w:val="000000" w:themeColor="text1"/>
                <w:szCs w:val="21"/>
              </w:rPr>
              <w:t>3.42</w:t>
            </w:r>
          </w:p>
        </w:tc>
      </w:tr>
      <w:tr w:rsidR="00843E9B">
        <w:tc>
          <w:tcPr>
            <w:tcW w:w="817" w:type="dxa"/>
            <w:vAlign w:val="center"/>
          </w:tcPr>
          <w:p w:rsidR="00843E9B" w:rsidRDefault="00943E9B">
            <w:pPr>
              <w:jc w:val="center"/>
            </w:pPr>
            <w:r>
              <w:rPr>
                <w:rFonts w:eastAsiaTheme="minorEastAsia"/>
                <w:color w:val="000000" w:themeColor="text1"/>
                <w:szCs w:val="21"/>
              </w:rPr>
              <w:t>9</w:t>
            </w:r>
          </w:p>
        </w:tc>
        <w:tc>
          <w:tcPr>
            <w:tcW w:w="1276" w:type="dxa"/>
            <w:vAlign w:val="center"/>
          </w:tcPr>
          <w:p w:rsidR="00843E9B" w:rsidRDefault="00943E9B">
            <w:pPr>
              <w:jc w:val="center"/>
            </w:pPr>
            <w:r>
              <w:rPr>
                <w:rFonts w:eastAsiaTheme="minorEastAsia"/>
                <w:color w:val="000000" w:themeColor="text1"/>
                <w:szCs w:val="21"/>
              </w:rPr>
              <w:t>002821</w:t>
            </w:r>
          </w:p>
        </w:tc>
        <w:tc>
          <w:tcPr>
            <w:tcW w:w="1701" w:type="dxa"/>
            <w:vAlign w:val="center"/>
          </w:tcPr>
          <w:p w:rsidR="00843E9B" w:rsidRDefault="00943E9B">
            <w:pPr>
              <w:jc w:val="center"/>
            </w:pPr>
            <w:r>
              <w:rPr>
                <w:rFonts w:eastAsiaTheme="minorEastAsia"/>
                <w:color w:val="000000" w:themeColor="text1"/>
                <w:szCs w:val="21"/>
              </w:rPr>
              <w:t>凯莱英</w:t>
            </w:r>
          </w:p>
        </w:tc>
        <w:tc>
          <w:tcPr>
            <w:tcW w:w="1276" w:type="dxa"/>
            <w:vAlign w:val="center"/>
          </w:tcPr>
          <w:p w:rsidR="00843E9B" w:rsidRDefault="00943E9B">
            <w:pPr>
              <w:jc w:val="right"/>
            </w:pPr>
            <w:r>
              <w:rPr>
                <w:rFonts w:eastAsiaTheme="minorEastAsia"/>
                <w:color w:val="000000" w:themeColor="text1"/>
                <w:szCs w:val="21"/>
              </w:rPr>
              <w:t>38,500.00</w:t>
            </w:r>
          </w:p>
        </w:tc>
        <w:tc>
          <w:tcPr>
            <w:tcW w:w="1842" w:type="dxa"/>
            <w:vAlign w:val="center"/>
          </w:tcPr>
          <w:p w:rsidR="00843E9B" w:rsidRDefault="00943E9B">
            <w:pPr>
              <w:jc w:val="right"/>
            </w:pPr>
            <w:r>
              <w:rPr>
                <w:rFonts w:eastAsiaTheme="minorEastAsia"/>
                <w:color w:val="000000" w:themeColor="text1"/>
                <w:szCs w:val="21"/>
              </w:rPr>
              <w:t>5,339,950.00</w:t>
            </w:r>
          </w:p>
        </w:tc>
        <w:tc>
          <w:tcPr>
            <w:tcW w:w="1616" w:type="dxa"/>
            <w:vAlign w:val="center"/>
          </w:tcPr>
          <w:p w:rsidR="00843E9B" w:rsidRDefault="00943E9B">
            <w:pPr>
              <w:jc w:val="right"/>
            </w:pPr>
            <w:r>
              <w:rPr>
                <w:rFonts w:eastAsiaTheme="minorEastAsia"/>
                <w:color w:val="000000" w:themeColor="text1"/>
                <w:szCs w:val="21"/>
              </w:rPr>
              <w:t>2.76</w:t>
            </w:r>
          </w:p>
        </w:tc>
      </w:tr>
      <w:tr w:rsidR="00843E9B">
        <w:tc>
          <w:tcPr>
            <w:tcW w:w="817" w:type="dxa"/>
            <w:vAlign w:val="center"/>
          </w:tcPr>
          <w:p w:rsidR="00843E9B" w:rsidRDefault="00943E9B">
            <w:pPr>
              <w:jc w:val="center"/>
            </w:pPr>
            <w:r>
              <w:rPr>
                <w:rFonts w:eastAsiaTheme="minorEastAsia"/>
                <w:color w:val="000000" w:themeColor="text1"/>
                <w:szCs w:val="21"/>
              </w:rPr>
              <w:t>10</w:t>
            </w:r>
          </w:p>
        </w:tc>
        <w:tc>
          <w:tcPr>
            <w:tcW w:w="1276" w:type="dxa"/>
            <w:vAlign w:val="center"/>
          </w:tcPr>
          <w:p w:rsidR="00843E9B" w:rsidRDefault="00943E9B">
            <w:pPr>
              <w:jc w:val="center"/>
            </w:pPr>
            <w:r>
              <w:rPr>
                <w:rFonts w:eastAsiaTheme="minorEastAsia"/>
                <w:color w:val="000000" w:themeColor="text1"/>
                <w:szCs w:val="21"/>
              </w:rPr>
              <w:t>300759</w:t>
            </w:r>
          </w:p>
        </w:tc>
        <w:tc>
          <w:tcPr>
            <w:tcW w:w="1701" w:type="dxa"/>
            <w:vAlign w:val="center"/>
          </w:tcPr>
          <w:p w:rsidR="00843E9B" w:rsidRDefault="00943E9B">
            <w:pPr>
              <w:jc w:val="center"/>
            </w:pPr>
            <w:r>
              <w:rPr>
                <w:rFonts w:eastAsiaTheme="minorEastAsia"/>
                <w:color w:val="000000" w:themeColor="text1"/>
                <w:szCs w:val="21"/>
              </w:rPr>
              <w:t>康龙化成</w:t>
            </w:r>
          </w:p>
        </w:tc>
        <w:tc>
          <w:tcPr>
            <w:tcW w:w="1276" w:type="dxa"/>
            <w:vAlign w:val="center"/>
          </w:tcPr>
          <w:p w:rsidR="00843E9B" w:rsidRDefault="00943E9B">
            <w:pPr>
              <w:jc w:val="right"/>
            </w:pPr>
            <w:r>
              <w:rPr>
                <w:rFonts w:eastAsiaTheme="minorEastAsia"/>
                <w:color w:val="000000" w:themeColor="text1"/>
                <w:szCs w:val="21"/>
              </w:rPr>
              <w:t>91,350.00</w:t>
            </w:r>
          </w:p>
        </w:tc>
        <w:tc>
          <w:tcPr>
            <w:tcW w:w="1842" w:type="dxa"/>
            <w:vAlign w:val="center"/>
          </w:tcPr>
          <w:p w:rsidR="00843E9B" w:rsidRDefault="00943E9B">
            <w:pPr>
              <w:jc w:val="right"/>
            </w:pPr>
            <w:r>
              <w:rPr>
                <w:rFonts w:eastAsiaTheme="minorEastAsia"/>
                <w:color w:val="000000" w:themeColor="text1"/>
                <w:szCs w:val="21"/>
              </w:rPr>
              <w:t>4,937,467.50</w:t>
            </w:r>
          </w:p>
        </w:tc>
        <w:tc>
          <w:tcPr>
            <w:tcW w:w="1616" w:type="dxa"/>
            <w:vAlign w:val="center"/>
          </w:tcPr>
          <w:p w:rsidR="00843E9B" w:rsidRDefault="00943E9B">
            <w:pPr>
              <w:jc w:val="right"/>
            </w:pPr>
            <w:r>
              <w:rPr>
                <w:rFonts w:eastAsiaTheme="minorEastAsia"/>
                <w:color w:val="000000" w:themeColor="text1"/>
                <w:szCs w:val="21"/>
              </w:rPr>
              <w:t>2.56</w:t>
            </w:r>
          </w:p>
        </w:tc>
      </w:tr>
    </w:tbl>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5.3.2</w:t>
      </w:r>
      <w:r w:rsidRPr="00473486">
        <w:rPr>
          <w:rFonts w:eastAsiaTheme="minorEastAsia"/>
          <w:b/>
          <w:color w:val="000000" w:themeColor="text1"/>
          <w:kern w:val="0"/>
          <w:sz w:val="24"/>
        </w:rPr>
        <w:t>期末</w:t>
      </w:r>
      <w:r w:rsidRPr="00473486">
        <w:rPr>
          <w:rFonts w:eastAsiaTheme="minorEastAsia"/>
          <w:b/>
          <w:color w:val="000000" w:themeColor="text1"/>
          <w:sz w:val="24"/>
        </w:rPr>
        <w:t>积极投资按公允价值占基金资产净值比例大小排序的前五名股票投资明细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881A82" w:rsidRPr="00473486">
        <w:tc>
          <w:tcPr>
            <w:tcW w:w="81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27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股票代码</w:t>
            </w:r>
          </w:p>
        </w:tc>
        <w:tc>
          <w:tcPr>
            <w:tcW w:w="1701"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股票名称</w:t>
            </w:r>
          </w:p>
        </w:tc>
        <w:tc>
          <w:tcPr>
            <w:tcW w:w="127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数量</w:t>
            </w:r>
            <w:r w:rsidRPr="00473486">
              <w:rPr>
                <w:rFonts w:eastAsiaTheme="minorEastAsia"/>
                <w:color w:val="000000" w:themeColor="text1"/>
                <w:szCs w:val="21"/>
              </w:rPr>
              <w:t>(</w:t>
            </w:r>
            <w:r w:rsidRPr="00473486">
              <w:rPr>
                <w:rFonts w:eastAsiaTheme="minorEastAsia"/>
                <w:color w:val="000000" w:themeColor="text1"/>
                <w:szCs w:val="21"/>
              </w:rPr>
              <w:t>股</w:t>
            </w:r>
            <w:r w:rsidRPr="00473486">
              <w:rPr>
                <w:rFonts w:eastAsiaTheme="minorEastAsia"/>
                <w:color w:val="000000" w:themeColor="text1"/>
                <w:szCs w:val="21"/>
              </w:rPr>
              <w:t>)</w:t>
            </w:r>
          </w:p>
        </w:tc>
        <w:tc>
          <w:tcPr>
            <w:tcW w:w="1842"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1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843E9B">
        <w:tc>
          <w:tcPr>
            <w:tcW w:w="817" w:type="dxa"/>
            <w:vAlign w:val="center"/>
          </w:tcPr>
          <w:p w:rsidR="00843E9B" w:rsidRDefault="00943E9B">
            <w:pPr>
              <w:jc w:val="center"/>
            </w:pPr>
            <w:r>
              <w:rPr>
                <w:rFonts w:eastAsiaTheme="minorEastAsia"/>
                <w:color w:val="000000" w:themeColor="text1"/>
                <w:szCs w:val="21"/>
              </w:rPr>
              <w:t>1</w:t>
            </w:r>
          </w:p>
        </w:tc>
        <w:tc>
          <w:tcPr>
            <w:tcW w:w="1276" w:type="dxa"/>
            <w:vAlign w:val="center"/>
          </w:tcPr>
          <w:p w:rsidR="00843E9B" w:rsidRDefault="00943E9B">
            <w:pPr>
              <w:jc w:val="center"/>
            </w:pPr>
            <w:r>
              <w:rPr>
                <w:rFonts w:eastAsiaTheme="minorEastAsia"/>
                <w:color w:val="000000" w:themeColor="text1"/>
                <w:szCs w:val="21"/>
              </w:rPr>
              <w:t>002317</w:t>
            </w:r>
          </w:p>
        </w:tc>
        <w:tc>
          <w:tcPr>
            <w:tcW w:w="1701" w:type="dxa"/>
            <w:vAlign w:val="center"/>
          </w:tcPr>
          <w:p w:rsidR="00843E9B" w:rsidRDefault="00943E9B">
            <w:pPr>
              <w:jc w:val="center"/>
            </w:pPr>
            <w:r>
              <w:rPr>
                <w:rFonts w:eastAsiaTheme="minorEastAsia"/>
                <w:color w:val="000000" w:themeColor="text1"/>
                <w:szCs w:val="21"/>
              </w:rPr>
              <w:t>众生药业</w:t>
            </w:r>
          </w:p>
        </w:tc>
        <w:tc>
          <w:tcPr>
            <w:tcW w:w="1276" w:type="dxa"/>
            <w:vAlign w:val="center"/>
          </w:tcPr>
          <w:p w:rsidR="00843E9B" w:rsidRDefault="00943E9B">
            <w:pPr>
              <w:jc w:val="right"/>
            </w:pPr>
            <w:r>
              <w:rPr>
                <w:rFonts w:eastAsiaTheme="minorEastAsia"/>
                <w:color w:val="000000" w:themeColor="text1"/>
                <w:szCs w:val="21"/>
              </w:rPr>
              <w:t>1,400.00</w:t>
            </w:r>
          </w:p>
        </w:tc>
        <w:tc>
          <w:tcPr>
            <w:tcW w:w="1842" w:type="dxa"/>
            <w:vAlign w:val="center"/>
          </w:tcPr>
          <w:p w:rsidR="00843E9B" w:rsidRDefault="00943E9B">
            <w:pPr>
              <w:jc w:val="right"/>
            </w:pPr>
            <w:r>
              <w:rPr>
                <w:rFonts w:eastAsiaTheme="minorEastAsia"/>
                <w:color w:val="000000" w:themeColor="text1"/>
                <w:szCs w:val="21"/>
              </w:rPr>
              <w:t>18,396.00</w:t>
            </w:r>
          </w:p>
        </w:tc>
        <w:tc>
          <w:tcPr>
            <w:tcW w:w="1616" w:type="dxa"/>
            <w:vAlign w:val="center"/>
          </w:tcPr>
          <w:p w:rsidR="00843E9B" w:rsidRDefault="00943E9B">
            <w:pPr>
              <w:jc w:val="right"/>
            </w:pPr>
            <w:r>
              <w:rPr>
                <w:rFonts w:eastAsiaTheme="minorEastAsia"/>
                <w:color w:val="000000" w:themeColor="text1"/>
                <w:szCs w:val="21"/>
              </w:rPr>
              <w:t>0.01</w:t>
            </w:r>
          </w:p>
        </w:tc>
      </w:tr>
      <w:tr w:rsidR="00843E9B">
        <w:tc>
          <w:tcPr>
            <w:tcW w:w="817" w:type="dxa"/>
            <w:vAlign w:val="center"/>
          </w:tcPr>
          <w:p w:rsidR="00843E9B" w:rsidRDefault="00943E9B">
            <w:pPr>
              <w:jc w:val="center"/>
            </w:pPr>
            <w:r>
              <w:rPr>
                <w:rFonts w:eastAsiaTheme="minorEastAsia"/>
                <w:color w:val="000000" w:themeColor="text1"/>
                <w:szCs w:val="21"/>
              </w:rPr>
              <w:t>2</w:t>
            </w:r>
          </w:p>
        </w:tc>
        <w:tc>
          <w:tcPr>
            <w:tcW w:w="1276" w:type="dxa"/>
            <w:vAlign w:val="center"/>
          </w:tcPr>
          <w:p w:rsidR="00843E9B" w:rsidRDefault="00943E9B">
            <w:pPr>
              <w:jc w:val="center"/>
            </w:pPr>
            <w:r>
              <w:rPr>
                <w:rFonts w:eastAsiaTheme="minorEastAsia"/>
                <w:color w:val="000000" w:themeColor="text1"/>
                <w:szCs w:val="21"/>
              </w:rPr>
              <w:t>300149</w:t>
            </w:r>
          </w:p>
        </w:tc>
        <w:tc>
          <w:tcPr>
            <w:tcW w:w="1701" w:type="dxa"/>
            <w:vAlign w:val="center"/>
          </w:tcPr>
          <w:p w:rsidR="00843E9B" w:rsidRDefault="00943E9B">
            <w:pPr>
              <w:jc w:val="center"/>
            </w:pPr>
            <w:r>
              <w:rPr>
                <w:rFonts w:eastAsiaTheme="minorEastAsia"/>
                <w:color w:val="000000" w:themeColor="text1"/>
                <w:szCs w:val="21"/>
              </w:rPr>
              <w:t>睿智医药</w:t>
            </w:r>
          </w:p>
        </w:tc>
        <w:tc>
          <w:tcPr>
            <w:tcW w:w="1276" w:type="dxa"/>
            <w:vAlign w:val="center"/>
          </w:tcPr>
          <w:p w:rsidR="00843E9B" w:rsidRDefault="00943E9B">
            <w:pPr>
              <w:jc w:val="right"/>
            </w:pPr>
            <w:r>
              <w:rPr>
                <w:rFonts w:eastAsiaTheme="minorEastAsia"/>
                <w:color w:val="000000" w:themeColor="text1"/>
                <w:szCs w:val="21"/>
              </w:rPr>
              <w:t>900.00</w:t>
            </w:r>
          </w:p>
        </w:tc>
        <w:tc>
          <w:tcPr>
            <w:tcW w:w="1842" w:type="dxa"/>
            <w:vAlign w:val="center"/>
          </w:tcPr>
          <w:p w:rsidR="00843E9B" w:rsidRDefault="00943E9B">
            <w:pPr>
              <w:jc w:val="right"/>
            </w:pPr>
            <w:r>
              <w:rPr>
                <w:rFonts w:eastAsiaTheme="minorEastAsia"/>
                <w:color w:val="000000" w:themeColor="text1"/>
                <w:szCs w:val="21"/>
              </w:rPr>
              <w:t>8,604.00</w:t>
            </w:r>
          </w:p>
        </w:tc>
        <w:tc>
          <w:tcPr>
            <w:tcW w:w="1616" w:type="dxa"/>
            <w:vAlign w:val="center"/>
          </w:tcPr>
          <w:p w:rsidR="00843E9B" w:rsidRDefault="00943E9B">
            <w:pPr>
              <w:jc w:val="right"/>
            </w:pPr>
            <w:r>
              <w:rPr>
                <w:rFonts w:eastAsiaTheme="minorEastAsia"/>
                <w:color w:val="000000" w:themeColor="text1"/>
                <w:szCs w:val="21"/>
              </w:rPr>
              <w:t>0.00</w:t>
            </w:r>
          </w:p>
        </w:tc>
      </w:tr>
      <w:tr w:rsidR="00843E9B">
        <w:tc>
          <w:tcPr>
            <w:tcW w:w="817" w:type="dxa"/>
            <w:vAlign w:val="center"/>
          </w:tcPr>
          <w:p w:rsidR="00843E9B" w:rsidRDefault="00943E9B">
            <w:pPr>
              <w:jc w:val="center"/>
            </w:pPr>
            <w:r>
              <w:rPr>
                <w:rFonts w:eastAsiaTheme="minorEastAsia"/>
                <w:color w:val="000000" w:themeColor="text1"/>
                <w:szCs w:val="21"/>
              </w:rPr>
              <w:t>3</w:t>
            </w:r>
          </w:p>
        </w:tc>
        <w:tc>
          <w:tcPr>
            <w:tcW w:w="1276" w:type="dxa"/>
            <w:vAlign w:val="center"/>
          </w:tcPr>
          <w:p w:rsidR="00843E9B" w:rsidRDefault="00943E9B">
            <w:pPr>
              <w:jc w:val="center"/>
            </w:pPr>
            <w:r>
              <w:rPr>
                <w:rFonts w:eastAsiaTheme="minorEastAsia"/>
                <w:color w:val="000000" w:themeColor="text1"/>
                <w:szCs w:val="21"/>
              </w:rPr>
              <w:t>688505</w:t>
            </w:r>
          </w:p>
        </w:tc>
        <w:tc>
          <w:tcPr>
            <w:tcW w:w="1701" w:type="dxa"/>
            <w:vAlign w:val="center"/>
          </w:tcPr>
          <w:p w:rsidR="00843E9B" w:rsidRDefault="00943E9B">
            <w:pPr>
              <w:jc w:val="center"/>
            </w:pPr>
            <w:r>
              <w:rPr>
                <w:rFonts w:eastAsiaTheme="minorEastAsia"/>
                <w:color w:val="000000" w:themeColor="text1"/>
                <w:szCs w:val="21"/>
              </w:rPr>
              <w:t>复旦张江</w:t>
            </w:r>
          </w:p>
        </w:tc>
        <w:tc>
          <w:tcPr>
            <w:tcW w:w="1276" w:type="dxa"/>
            <w:vAlign w:val="center"/>
          </w:tcPr>
          <w:p w:rsidR="00843E9B" w:rsidRDefault="00943E9B">
            <w:pPr>
              <w:jc w:val="right"/>
            </w:pPr>
            <w:r>
              <w:rPr>
                <w:rFonts w:eastAsiaTheme="minorEastAsia"/>
                <w:color w:val="000000" w:themeColor="text1"/>
                <w:szCs w:val="21"/>
              </w:rPr>
              <w:t>500.00</w:t>
            </w:r>
          </w:p>
        </w:tc>
        <w:tc>
          <w:tcPr>
            <w:tcW w:w="1842" w:type="dxa"/>
            <w:vAlign w:val="center"/>
          </w:tcPr>
          <w:p w:rsidR="00843E9B" w:rsidRDefault="00943E9B">
            <w:pPr>
              <w:jc w:val="right"/>
            </w:pPr>
            <w:r>
              <w:rPr>
                <w:rFonts w:eastAsiaTheme="minorEastAsia"/>
                <w:color w:val="000000" w:themeColor="text1"/>
                <w:szCs w:val="21"/>
              </w:rPr>
              <w:t>4,145.00</w:t>
            </w:r>
          </w:p>
        </w:tc>
        <w:tc>
          <w:tcPr>
            <w:tcW w:w="1616" w:type="dxa"/>
            <w:vAlign w:val="center"/>
          </w:tcPr>
          <w:p w:rsidR="00843E9B" w:rsidRDefault="00943E9B">
            <w:pPr>
              <w:jc w:val="right"/>
            </w:pPr>
            <w:r>
              <w:rPr>
                <w:rFonts w:eastAsiaTheme="minorEastAsia"/>
                <w:color w:val="000000" w:themeColor="text1"/>
                <w:szCs w:val="21"/>
              </w:rPr>
              <w:t>0.00</w:t>
            </w:r>
          </w:p>
        </w:tc>
      </w:tr>
      <w:tr w:rsidR="00843E9B">
        <w:tc>
          <w:tcPr>
            <w:tcW w:w="817" w:type="dxa"/>
            <w:vAlign w:val="center"/>
          </w:tcPr>
          <w:p w:rsidR="00843E9B" w:rsidRDefault="00943E9B">
            <w:pPr>
              <w:jc w:val="center"/>
            </w:pPr>
            <w:r>
              <w:rPr>
                <w:rFonts w:eastAsiaTheme="minorEastAsia"/>
                <w:color w:val="000000" w:themeColor="text1"/>
                <w:szCs w:val="21"/>
              </w:rPr>
              <w:t>4</w:t>
            </w:r>
          </w:p>
        </w:tc>
        <w:tc>
          <w:tcPr>
            <w:tcW w:w="1276" w:type="dxa"/>
            <w:vAlign w:val="center"/>
          </w:tcPr>
          <w:p w:rsidR="00843E9B" w:rsidRDefault="00943E9B">
            <w:pPr>
              <w:jc w:val="center"/>
            </w:pPr>
            <w:r>
              <w:rPr>
                <w:rFonts w:eastAsiaTheme="minorEastAsia"/>
                <w:color w:val="000000" w:themeColor="text1"/>
                <w:szCs w:val="21"/>
              </w:rPr>
              <w:t>688177</w:t>
            </w:r>
          </w:p>
        </w:tc>
        <w:tc>
          <w:tcPr>
            <w:tcW w:w="1701" w:type="dxa"/>
            <w:vAlign w:val="center"/>
          </w:tcPr>
          <w:p w:rsidR="00843E9B" w:rsidRDefault="00943E9B">
            <w:pPr>
              <w:jc w:val="center"/>
            </w:pPr>
            <w:r>
              <w:rPr>
                <w:rFonts w:eastAsiaTheme="minorEastAsia"/>
                <w:color w:val="000000" w:themeColor="text1"/>
                <w:szCs w:val="21"/>
              </w:rPr>
              <w:t>百奥泰</w:t>
            </w:r>
          </w:p>
        </w:tc>
        <w:tc>
          <w:tcPr>
            <w:tcW w:w="1276" w:type="dxa"/>
            <w:vAlign w:val="center"/>
          </w:tcPr>
          <w:p w:rsidR="00843E9B" w:rsidRDefault="00943E9B">
            <w:pPr>
              <w:jc w:val="right"/>
            </w:pPr>
            <w:r>
              <w:rPr>
                <w:rFonts w:eastAsiaTheme="minorEastAsia"/>
                <w:color w:val="000000" w:themeColor="text1"/>
                <w:szCs w:val="21"/>
              </w:rPr>
              <w:t>200.00</w:t>
            </w:r>
          </w:p>
        </w:tc>
        <w:tc>
          <w:tcPr>
            <w:tcW w:w="1842" w:type="dxa"/>
            <w:vAlign w:val="center"/>
          </w:tcPr>
          <w:p w:rsidR="00843E9B" w:rsidRDefault="00943E9B">
            <w:pPr>
              <w:jc w:val="right"/>
            </w:pPr>
            <w:r>
              <w:rPr>
                <w:rFonts w:eastAsiaTheme="minorEastAsia"/>
                <w:color w:val="000000" w:themeColor="text1"/>
                <w:szCs w:val="21"/>
              </w:rPr>
              <w:t>3,660.00</w:t>
            </w:r>
          </w:p>
        </w:tc>
        <w:tc>
          <w:tcPr>
            <w:tcW w:w="1616" w:type="dxa"/>
            <w:vAlign w:val="center"/>
          </w:tcPr>
          <w:p w:rsidR="00843E9B" w:rsidRDefault="00943E9B">
            <w:pPr>
              <w:jc w:val="right"/>
            </w:pPr>
            <w:r>
              <w:rPr>
                <w:rFonts w:eastAsiaTheme="minorEastAsia"/>
                <w:color w:val="000000" w:themeColor="text1"/>
                <w:szCs w:val="21"/>
              </w:rPr>
              <w:t>0.00</w:t>
            </w:r>
          </w:p>
        </w:tc>
      </w:tr>
    </w:tbl>
    <w:p w:rsidR="00881A82" w:rsidRPr="00473486" w:rsidRDefault="00881A82">
      <w:pPr>
        <w:autoSpaceDE w:val="0"/>
        <w:autoSpaceDN w:val="0"/>
        <w:adjustRightInd w:val="0"/>
        <w:spacing w:line="360" w:lineRule="auto"/>
        <w:jc w:val="left"/>
        <w:rPr>
          <w:rFonts w:eastAsiaTheme="minorEastAsia"/>
          <w:color w:val="000000" w:themeColor="text1"/>
          <w:szCs w:val="21"/>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5.4 </w:t>
      </w:r>
      <w:r w:rsidRPr="00473486">
        <w:rPr>
          <w:rFonts w:eastAsiaTheme="minorEastAsia"/>
          <w:b/>
          <w:color w:val="000000" w:themeColor="text1"/>
          <w:kern w:val="0"/>
          <w:sz w:val="24"/>
        </w:rPr>
        <w:t>报告期末按债券品种分类的债券投资组合</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本基金本报告期末未持有债券。</w:t>
      </w:r>
    </w:p>
    <w:p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5.5 </w:t>
      </w:r>
      <w:r w:rsidRPr="00473486">
        <w:rPr>
          <w:rFonts w:eastAsiaTheme="minorEastAsia"/>
          <w:b/>
          <w:color w:val="000000" w:themeColor="text1"/>
          <w:kern w:val="0"/>
          <w:sz w:val="24"/>
        </w:rPr>
        <w:t>报告期末按公允价值占基金资产净值比例大小排序的前五名债券投资明细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本基金本报告期末未持有债券。</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5.6</w:t>
      </w:r>
      <w:r w:rsidRPr="00473486">
        <w:rPr>
          <w:rFonts w:eastAsiaTheme="minorEastAsia"/>
          <w:b/>
          <w:color w:val="000000" w:themeColor="text1"/>
          <w:kern w:val="0"/>
          <w:sz w:val="24"/>
        </w:rPr>
        <w:t>报告期末按公允价值占基金资产净值比例大小排序的前十名资产支持证券投资明细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本基金本报告期末未持有资产支持证券。</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bCs/>
          <w:color w:val="000000" w:themeColor="text1"/>
          <w:kern w:val="0"/>
          <w:sz w:val="24"/>
        </w:rPr>
      </w:pPr>
      <w:r w:rsidRPr="00473486">
        <w:rPr>
          <w:rFonts w:eastAsiaTheme="minorEastAsia"/>
          <w:b/>
          <w:bCs/>
          <w:color w:val="000000" w:themeColor="text1"/>
          <w:kern w:val="0"/>
          <w:sz w:val="24"/>
        </w:rPr>
        <w:t xml:space="preserve">5.7 </w:t>
      </w:r>
      <w:r w:rsidRPr="00473486">
        <w:rPr>
          <w:rFonts w:eastAsiaTheme="minorEastAsia"/>
          <w:b/>
          <w:bCs/>
          <w:color w:val="000000" w:themeColor="text1"/>
          <w:kern w:val="0"/>
          <w:sz w:val="24"/>
        </w:rPr>
        <w:t>报告期末按公允价值占基金资产净值比例大小排序的前五名贵金属投资明细</w:t>
      </w:r>
    </w:p>
    <w:p w:rsidR="00881A82" w:rsidRPr="00473486" w:rsidRDefault="007D1E3A">
      <w:pPr>
        <w:widowControl/>
        <w:spacing w:line="360" w:lineRule="auto"/>
        <w:jc w:val="left"/>
        <w:rPr>
          <w:color w:val="000000" w:themeColor="text1"/>
          <w:szCs w:val="21"/>
        </w:rPr>
      </w:pPr>
      <w:r w:rsidRPr="00473486">
        <w:rPr>
          <w:color w:val="000000" w:themeColor="text1"/>
          <w:szCs w:val="21"/>
        </w:rPr>
        <w:t>本基金本报告期末未持有贵金属。</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5.8</w:t>
      </w:r>
      <w:r w:rsidRPr="00473486">
        <w:rPr>
          <w:rFonts w:eastAsiaTheme="minorEastAsia"/>
          <w:b/>
          <w:bCs/>
          <w:color w:val="000000" w:themeColor="text1"/>
          <w:sz w:val="24"/>
        </w:rPr>
        <w:t>报告期末按公允价值占基金资产净值比例大小排序的前五名权证投资明细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本基金本报告期末未持有权证。</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 xml:space="preserve">5.9 </w:t>
      </w:r>
      <w:r w:rsidRPr="00473486">
        <w:rPr>
          <w:rFonts w:eastAsiaTheme="minorEastAsia"/>
          <w:b/>
          <w:color w:val="000000" w:themeColor="text1"/>
          <w:sz w:val="24"/>
        </w:rPr>
        <w:t>报告期末本基金投资的股指期货交易情况说明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本基金本报告期末未持有股指期货。</w:t>
      </w:r>
    </w:p>
    <w:p w:rsidR="00881A82" w:rsidRPr="00473486" w:rsidRDefault="00881A82">
      <w:pPr>
        <w:adjustRightInd w:val="0"/>
        <w:snapToGrid w:val="0"/>
        <w:spacing w:line="360" w:lineRule="exact"/>
        <w:rPr>
          <w:rFonts w:eastAsiaTheme="minorEastAsia"/>
          <w:color w:val="000000" w:themeColor="text1"/>
          <w:sz w:val="24"/>
        </w:rPr>
      </w:pPr>
    </w:p>
    <w:p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5.10</w:t>
      </w:r>
      <w:r w:rsidRPr="00473486">
        <w:rPr>
          <w:rFonts w:eastAsiaTheme="minorEastAsia"/>
          <w:b/>
          <w:color w:val="000000" w:themeColor="text1"/>
          <w:sz w:val="24"/>
        </w:rPr>
        <w:t>报告期末本基金投资的国债期货交易情况说明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本基金本报告期末未持有国债期货。</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w:t>
      </w:r>
      <w:r w:rsidRPr="00473486">
        <w:rPr>
          <w:rFonts w:eastAsiaTheme="minorEastAsia"/>
          <w:b/>
          <w:color w:val="000000" w:themeColor="text1"/>
          <w:kern w:val="0"/>
          <w:sz w:val="24"/>
        </w:rPr>
        <w:t>投资组合报告附注</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5.11.1</w:t>
      </w:r>
      <w:r w:rsidRPr="00473486">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5.11.2</w:t>
      </w:r>
      <w:r w:rsidRPr="00473486">
        <w:rPr>
          <w:rFonts w:eastAsiaTheme="minorEastAsia"/>
          <w:color w:val="000000" w:themeColor="text1"/>
          <w:szCs w:val="21"/>
        </w:rPr>
        <w:t>报告期内本基金投资的前十名股票中没有在基金合同规定备选股票库之外的股票。</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5.11.3</w:t>
      </w:r>
      <w:r w:rsidRPr="00473486">
        <w:rPr>
          <w:rFonts w:eastAsiaTheme="minorEastAsia"/>
          <w:b/>
          <w:color w:val="000000" w:themeColor="text1"/>
          <w:kern w:val="0"/>
          <w:sz w:val="24"/>
        </w:rPr>
        <w:t>其他资产构成</w:t>
      </w:r>
    </w:p>
    <w:tbl>
      <w:tblPr>
        <w:tblStyle w:val="afa"/>
        <w:tblW w:w="8513" w:type="dxa"/>
        <w:tblInd w:w="15" w:type="dxa"/>
        <w:tblLayout w:type="fixed"/>
        <w:tblLook w:val="04A0" w:firstRow="1" w:lastRow="0" w:firstColumn="1" w:lastColumn="0" w:noHBand="0" w:noVBand="1"/>
      </w:tblPr>
      <w:tblGrid>
        <w:gridCol w:w="944"/>
        <w:gridCol w:w="2761"/>
        <w:gridCol w:w="4808"/>
      </w:tblGrid>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序号</w:t>
            </w:r>
          </w:p>
        </w:tc>
        <w:tc>
          <w:tcPr>
            <w:tcW w:w="2761"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名称</w:t>
            </w:r>
          </w:p>
        </w:tc>
        <w:tc>
          <w:tcPr>
            <w:tcW w:w="4808"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金额</w:t>
            </w:r>
            <w:r w:rsidRPr="00473486">
              <w:rPr>
                <w:rFonts w:eastAsiaTheme="minorEastAsia"/>
                <w:color w:val="000000" w:themeColor="text1"/>
                <w:kern w:val="0"/>
                <w:szCs w:val="21"/>
              </w:rPr>
              <w:t>(</w:t>
            </w:r>
            <w:r w:rsidRPr="00473486">
              <w:rPr>
                <w:rFonts w:eastAsiaTheme="minorEastAsia"/>
                <w:color w:val="000000" w:themeColor="text1"/>
                <w:kern w:val="0"/>
                <w:szCs w:val="21"/>
              </w:rPr>
              <w:t>元</w:t>
            </w: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kern w:val="0"/>
                <w:szCs w:val="21"/>
              </w:rPr>
            </w:pPr>
            <w:r w:rsidRPr="00473486">
              <w:rPr>
                <w:rFonts w:eastAsiaTheme="minorEastAsia"/>
                <w:color w:val="000000" w:themeColor="text1"/>
                <w:szCs w:val="21"/>
              </w:rPr>
              <w:t>1</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存出保证金</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111,877.42</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2</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应收证券清算款</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3</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应收股利</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4</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应收利息</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5</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应收申购款</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6</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其他应收款</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7</w:t>
            </w:r>
          </w:p>
        </w:tc>
        <w:tc>
          <w:tcPr>
            <w:tcW w:w="2761" w:type="dxa"/>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待摊费用</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8</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9</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合计</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111,877.42</w:t>
            </w:r>
          </w:p>
        </w:tc>
      </w:tr>
    </w:tbl>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5.11.4</w:t>
      </w:r>
      <w:r w:rsidRPr="00473486">
        <w:rPr>
          <w:rFonts w:eastAsiaTheme="minorEastAsia"/>
          <w:b/>
          <w:color w:val="000000" w:themeColor="text1"/>
          <w:kern w:val="0"/>
          <w:sz w:val="24"/>
        </w:rPr>
        <w:t>报告期末持有的处于转股期的可转换债券明细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本基金本报告期末未持有处于转股期的可转换债券。</w:t>
      </w:r>
    </w:p>
    <w:p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w:t>
      </w:r>
      <w:r w:rsidRPr="00473486">
        <w:rPr>
          <w:rFonts w:eastAsiaTheme="minorEastAsia"/>
          <w:b/>
          <w:color w:val="000000" w:themeColor="text1"/>
          <w:sz w:val="24"/>
        </w:rPr>
        <w:t>报告期末前十名股票中存在流通受限情况的说明</w:t>
      </w:r>
    </w:p>
    <w:p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5.11.5.1</w:t>
      </w:r>
      <w:r w:rsidRPr="00473486">
        <w:rPr>
          <w:rFonts w:eastAsiaTheme="minorEastAsia"/>
          <w:b/>
          <w:color w:val="000000" w:themeColor="text1"/>
          <w:sz w:val="24"/>
        </w:rPr>
        <w:t>期末指数投资前十名股票中存在流通受限情况的说明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本基金本报告期末前十名股票中不存在流通受限情况。</w:t>
      </w: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5.11.5.2</w:t>
      </w:r>
      <w:r w:rsidRPr="00473486">
        <w:rPr>
          <w:rFonts w:eastAsiaTheme="minorEastAsia"/>
          <w:b/>
          <w:color w:val="000000" w:themeColor="text1"/>
          <w:sz w:val="24"/>
        </w:rPr>
        <w:t>期末积极投资前五名股票中存在流通受限情况的说明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本基金本报告期末前五名积极投资中不存在流通受限情况。</w:t>
      </w:r>
    </w:p>
    <w:p w:rsidR="00881A82" w:rsidRPr="00473486" w:rsidRDefault="00881A82">
      <w:pPr>
        <w:spacing w:line="360" w:lineRule="auto"/>
        <w:rPr>
          <w:rFonts w:eastAsiaTheme="minorEastAsia"/>
          <w:bCs/>
          <w:color w:val="000000" w:themeColor="text1"/>
          <w:szCs w:val="21"/>
        </w:rPr>
      </w:pP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5.11.</w:t>
      </w:r>
      <w:r w:rsidRPr="00473486">
        <w:rPr>
          <w:rFonts w:eastAsiaTheme="minorEastAsia"/>
          <w:b/>
          <w:bCs/>
          <w:color w:val="000000" w:themeColor="text1"/>
          <w:sz w:val="24"/>
        </w:rPr>
        <w:t>6</w:t>
      </w:r>
      <w:r w:rsidRPr="00473486">
        <w:rPr>
          <w:rFonts w:eastAsiaTheme="minorEastAsia"/>
          <w:b/>
          <w:bCs/>
          <w:color w:val="000000" w:themeColor="text1"/>
          <w:kern w:val="0"/>
          <w:sz w:val="24"/>
        </w:rPr>
        <w:t>投资组合报告附注的其他文字描述部分</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因四舍五入原因，投资组合报告中分项之和与合计可能存在尾差。</w:t>
      </w:r>
    </w:p>
    <w:p w:rsidR="00881A82" w:rsidRPr="00473486" w:rsidRDefault="00881A82">
      <w:pPr>
        <w:spacing w:line="360" w:lineRule="auto"/>
        <w:ind w:firstLineChars="200" w:firstLine="420"/>
        <w:rPr>
          <w:rFonts w:eastAsiaTheme="minorEastAsia"/>
          <w:color w:val="000000" w:themeColor="text1"/>
          <w:szCs w:val="21"/>
        </w:rPr>
      </w:pP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§6  </w:t>
      </w:r>
      <w:r w:rsidRPr="00473486">
        <w:rPr>
          <w:rFonts w:eastAsiaTheme="minorEastAsia"/>
          <w:color w:val="000000" w:themeColor="text1"/>
          <w:kern w:val="0"/>
          <w:sz w:val="24"/>
          <w:szCs w:val="24"/>
        </w:rPr>
        <w:t>开放式基金份额变动</w:t>
      </w:r>
    </w:p>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单位：份</w:t>
      </w:r>
    </w:p>
    <w:tbl>
      <w:tblPr>
        <w:tblW w:w="8634" w:type="dxa"/>
        <w:tblInd w:w="-106" w:type="dxa"/>
        <w:tblLayout w:type="fixed"/>
        <w:tblLook w:val="04A0" w:firstRow="1" w:lastRow="0" w:firstColumn="1" w:lastColumn="0" w:noHBand="0" w:noVBand="1"/>
      </w:tblPr>
      <w:tblGrid>
        <w:gridCol w:w="4609"/>
        <w:gridCol w:w="4025"/>
      </w:tblGrid>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209,969,080.00</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5,000,000.00</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5,000,000.00</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209,969,080.00</w:t>
            </w:r>
          </w:p>
        </w:tc>
      </w:tr>
    </w:tbl>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§7  </w:t>
      </w:r>
      <w:r w:rsidRPr="00473486">
        <w:rPr>
          <w:rFonts w:eastAsiaTheme="minorEastAsia"/>
          <w:color w:val="000000" w:themeColor="text1"/>
          <w:kern w:val="0"/>
          <w:sz w:val="24"/>
          <w:szCs w:val="24"/>
        </w:rPr>
        <w:t>影响投资者决策的其他重要信息</w:t>
      </w:r>
    </w:p>
    <w:p w:rsidR="00881A82" w:rsidRPr="00473486" w:rsidRDefault="007D1E3A">
      <w:pPr>
        <w:autoSpaceDE w:val="0"/>
        <w:autoSpaceDN w:val="0"/>
        <w:adjustRightInd w:val="0"/>
        <w:spacing w:line="360" w:lineRule="auto"/>
        <w:jc w:val="left"/>
        <w:rPr>
          <w:b/>
          <w:bCs/>
          <w:color w:val="000000"/>
          <w:kern w:val="0"/>
          <w:sz w:val="24"/>
        </w:rPr>
      </w:pPr>
      <w:r w:rsidRPr="00473486">
        <w:rPr>
          <w:b/>
          <w:bCs/>
          <w:color w:val="000000"/>
          <w:kern w:val="0"/>
          <w:sz w:val="24"/>
        </w:rPr>
        <w:t xml:space="preserve">7.1 </w:t>
      </w:r>
      <w:r w:rsidRPr="00473486">
        <w:rPr>
          <w:b/>
          <w:bCs/>
          <w:color w:val="000000"/>
          <w:kern w:val="0"/>
          <w:sz w:val="24"/>
        </w:rPr>
        <w:t>报告期内单一投资者持有基金份额比例达到或超过</w:t>
      </w:r>
      <w:r w:rsidRPr="00473486">
        <w:rPr>
          <w:b/>
          <w:bCs/>
          <w:color w:val="000000"/>
          <w:kern w:val="0"/>
          <w:sz w:val="24"/>
        </w:rPr>
        <w:t>20%</w:t>
      </w:r>
      <w:r w:rsidRPr="00473486">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881A82" w:rsidRPr="00473486">
        <w:tc>
          <w:tcPr>
            <w:tcW w:w="993" w:type="dxa"/>
            <w:vMerge w:val="restart"/>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投资者类别</w:t>
            </w:r>
            <w:r w:rsidRPr="00473486">
              <w:rPr>
                <w:color w:val="000000"/>
                <w:kern w:val="0"/>
                <w:szCs w:val="21"/>
              </w:rPr>
              <w:t xml:space="preserve">  </w:t>
            </w:r>
          </w:p>
        </w:tc>
        <w:tc>
          <w:tcPr>
            <w:tcW w:w="5670" w:type="dxa"/>
            <w:gridSpan w:val="5"/>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报告期内持有基金份额变化情况</w:t>
            </w:r>
          </w:p>
        </w:tc>
        <w:tc>
          <w:tcPr>
            <w:tcW w:w="2549" w:type="dxa"/>
            <w:gridSpan w:val="2"/>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报告期末持有基金情况</w:t>
            </w:r>
          </w:p>
        </w:tc>
      </w:tr>
      <w:tr w:rsidR="00881A82" w:rsidRPr="00473486">
        <w:tc>
          <w:tcPr>
            <w:tcW w:w="993" w:type="dxa"/>
            <w:vMerge/>
            <w:vAlign w:val="center"/>
          </w:tcPr>
          <w:p w:rsidR="00881A82" w:rsidRPr="00473486" w:rsidRDefault="00881A82">
            <w:pPr>
              <w:autoSpaceDE w:val="0"/>
              <w:autoSpaceDN w:val="0"/>
              <w:adjustRightInd w:val="0"/>
              <w:jc w:val="center"/>
              <w:rPr>
                <w:b/>
                <w:bCs/>
                <w:color w:val="000000"/>
                <w:kern w:val="0"/>
                <w:szCs w:val="21"/>
              </w:rPr>
            </w:pPr>
          </w:p>
        </w:tc>
        <w:tc>
          <w:tcPr>
            <w:tcW w:w="992"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序号</w:t>
            </w:r>
          </w:p>
        </w:tc>
        <w:tc>
          <w:tcPr>
            <w:tcW w:w="1843"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持有基金份额比例达到或者超过</w:t>
            </w:r>
            <w:r w:rsidRPr="00473486">
              <w:rPr>
                <w:color w:val="000000"/>
                <w:kern w:val="0"/>
                <w:szCs w:val="21"/>
              </w:rPr>
              <w:t>20%</w:t>
            </w:r>
            <w:r w:rsidRPr="00473486">
              <w:rPr>
                <w:color w:val="000000"/>
                <w:kern w:val="0"/>
                <w:szCs w:val="21"/>
              </w:rPr>
              <w:t>的时间区间</w:t>
            </w:r>
          </w:p>
        </w:tc>
        <w:tc>
          <w:tcPr>
            <w:tcW w:w="851" w:type="dxa"/>
            <w:vAlign w:val="center"/>
          </w:tcPr>
          <w:p w:rsidR="00881A82" w:rsidRPr="00473486" w:rsidRDefault="007D1E3A">
            <w:pPr>
              <w:widowControl/>
              <w:jc w:val="center"/>
              <w:rPr>
                <w:b/>
                <w:bCs/>
                <w:color w:val="000000"/>
                <w:kern w:val="0"/>
                <w:szCs w:val="21"/>
              </w:rPr>
            </w:pPr>
            <w:r w:rsidRPr="00473486">
              <w:rPr>
                <w:color w:val="000000"/>
                <w:kern w:val="0"/>
                <w:szCs w:val="21"/>
              </w:rPr>
              <w:t>期初份额</w:t>
            </w:r>
          </w:p>
        </w:tc>
        <w:tc>
          <w:tcPr>
            <w:tcW w:w="850" w:type="dxa"/>
            <w:vAlign w:val="center"/>
          </w:tcPr>
          <w:p w:rsidR="00881A82" w:rsidRPr="00473486" w:rsidRDefault="007D1E3A">
            <w:pPr>
              <w:widowControl/>
              <w:jc w:val="center"/>
              <w:rPr>
                <w:b/>
                <w:bCs/>
                <w:color w:val="000000"/>
                <w:kern w:val="0"/>
                <w:szCs w:val="21"/>
              </w:rPr>
            </w:pPr>
            <w:r w:rsidRPr="00473486">
              <w:rPr>
                <w:color w:val="000000"/>
                <w:kern w:val="0"/>
                <w:szCs w:val="21"/>
              </w:rPr>
              <w:t>申购份额</w:t>
            </w:r>
          </w:p>
        </w:tc>
        <w:tc>
          <w:tcPr>
            <w:tcW w:w="1134" w:type="dxa"/>
            <w:vAlign w:val="center"/>
          </w:tcPr>
          <w:p w:rsidR="00881A82" w:rsidRPr="00473486" w:rsidRDefault="007D1E3A">
            <w:pPr>
              <w:widowControl/>
              <w:jc w:val="center"/>
              <w:rPr>
                <w:b/>
                <w:bCs/>
                <w:color w:val="000000"/>
                <w:kern w:val="0"/>
                <w:szCs w:val="21"/>
              </w:rPr>
            </w:pPr>
            <w:r w:rsidRPr="00473486">
              <w:rPr>
                <w:color w:val="000000"/>
                <w:kern w:val="0"/>
                <w:szCs w:val="21"/>
              </w:rPr>
              <w:t>赎回份额</w:t>
            </w:r>
          </w:p>
        </w:tc>
        <w:tc>
          <w:tcPr>
            <w:tcW w:w="1419"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持有份额</w:t>
            </w:r>
          </w:p>
        </w:tc>
        <w:tc>
          <w:tcPr>
            <w:tcW w:w="1130"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份额占比</w:t>
            </w:r>
          </w:p>
        </w:tc>
      </w:tr>
      <w:tr w:rsidR="00843E9B">
        <w:tc>
          <w:tcPr>
            <w:tcW w:w="993" w:type="dxa"/>
            <w:vMerge w:val="restart"/>
            <w:vAlign w:val="center"/>
          </w:tcPr>
          <w:p w:rsidR="00843E9B" w:rsidRDefault="00943E9B">
            <w:r>
              <w:rPr>
                <w:bCs/>
                <w:color w:val="000000"/>
                <w:kern w:val="0"/>
                <w:szCs w:val="21"/>
              </w:rPr>
              <w:t>机构</w:t>
            </w:r>
          </w:p>
        </w:tc>
        <w:tc>
          <w:tcPr>
            <w:tcW w:w="992" w:type="dxa"/>
            <w:vAlign w:val="center"/>
          </w:tcPr>
          <w:p w:rsidR="00843E9B" w:rsidRDefault="00943E9B">
            <w:pPr>
              <w:jc w:val="center"/>
            </w:pPr>
            <w:r>
              <w:rPr>
                <w:color w:val="000000"/>
                <w:kern w:val="0"/>
                <w:szCs w:val="21"/>
              </w:rPr>
              <w:t>1</w:t>
            </w:r>
          </w:p>
        </w:tc>
        <w:tc>
          <w:tcPr>
            <w:tcW w:w="1843" w:type="dxa"/>
            <w:vAlign w:val="center"/>
          </w:tcPr>
          <w:p w:rsidR="00843E9B" w:rsidRDefault="00943E9B">
            <w:pPr>
              <w:jc w:val="center"/>
            </w:pPr>
            <w:r>
              <w:rPr>
                <w:color w:val="000000"/>
                <w:kern w:val="0"/>
                <w:szCs w:val="21"/>
              </w:rPr>
              <w:t>20220701-20220930</w:t>
            </w:r>
          </w:p>
        </w:tc>
        <w:tc>
          <w:tcPr>
            <w:tcW w:w="851" w:type="dxa"/>
            <w:vAlign w:val="center"/>
          </w:tcPr>
          <w:p w:rsidR="00843E9B" w:rsidRDefault="00943E9B">
            <w:pPr>
              <w:jc w:val="center"/>
            </w:pPr>
            <w:r>
              <w:rPr>
                <w:color w:val="000000"/>
                <w:kern w:val="0"/>
                <w:szCs w:val="21"/>
              </w:rPr>
              <w:t>200,000,000.00</w:t>
            </w:r>
          </w:p>
        </w:tc>
        <w:tc>
          <w:tcPr>
            <w:tcW w:w="850" w:type="dxa"/>
            <w:vAlign w:val="center"/>
          </w:tcPr>
          <w:p w:rsidR="00843E9B" w:rsidRDefault="00943E9B">
            <w:pPr>
              <w:jc w:val="center"/>
            </w:pPr>
            <w:r>
              <w:rPr>
                <w:color w:val="000000"/>
                <w:kern w:val="0"/>
                <w:szCs w:val="21"/>
              </w:rPr>
              <w:t>0.00</w:t>
            </w:r>
          </w:p>
        </w:tc>
        <w:tc>
          <w:tcPr>
            <w:tcW w:w="1134" w:type="dxa"/>
            <w:vAlign w:val="center"/>
          </w:tcPr>
          <w:p w:rsidR="00843E9B" w:rsidRDefault="00943E9B">
            <w:pPr>
              <w:jc w:val="center"/>
            </w:pPr>
            <w:r>
              <w:rPr>
                <w:color w:val="000000"/>
                <w:kern w:val="0"/>
                <w:szCs w:val="21"/>
              </w:rPr>
              <w:t>0.00</w:t>
            </w:r>
          </w:p>
        </w:tc>
        <w:tc>
          <w:tcPr>
            <w:tcW w:w="1419" w:type="dxa"/>
            <w:vAlign w:val="center"/>
          </w:tcPr>
          <w:p w:rsidR="00843E9B" w:rsidRDefault="00943E9B">
            <w:pPr>
              <w:jc w:val="center"/>
            </w:pPr>
            <w:r>
              <w:rPr>
                <w:color w:val="000000"/>
                <w:kern w:val="0"/>
                <w:szCs w:val="21"/>
              </w:rPr>
              <w:t>200,000,000.00</w:t>
            </w:r>
          </w:p>
        </w:tc>
        <w:tc>
          <w:tcPr>
            <w:tcW w:w="1130" w:type="dxa"/>
            <w:vAlign w:val="center"/>
          </w:tcPr>
          <w:p w:rsidR="00843E9B" w:rsidRDefault="00943E9B">
            <w:pPr>
              <w:jc w:val="center"/>
            </w:pPr>
            <w:r>
              <w:rPr>
                <w:color w:val="000000"/>
                <w:kern w:val="0"/>
                <w:szCs w:val="21"/>
              </w:rPr>
              <w:t>95.25%</w:t>
            </w:r>
          </w:p>
        </w:tc>
      </w:tr>
      <w:tr w:rsidR="00881A82" w:rsidRPr="00473486">
        <w:tc>
          <w:tcPr>
            <w:tcW w:w="9212" w:type="dxa"/>
            <w:gridSpan w:val="8"/>
            <w:vAlign w:val="center"/>
          </w:tcPr>
          <w:p w:rsidR="00881A82" w:rsidRPr="00473486" w:rsidRDefault="007D1E3A">
            <w:pPr>
              <w:autoSpaceDE w:val="0"/>
              <w:autoSpaceDN w:val="0"/>
              <w:adjustRightInd w:val="0"/>
              <w:jc w:val="center"/>
              <w:rPr>
                <w:kern w:val="0"/>
                <w:szCs w:val="21"/>
              </w:rPr>
            </w:pPr>
            <w:r w:rsidRPr="00473486">
              <w:rPr>
                <w:color w:val="000000"/>
                <w:kern w:val="0"/>
                <w:szCs w:val="21"/>
              </w:rPr>
              <w:t>产品特有风险</w:t>
            </w:r>
          </w:p>
        </w:tc>
      </w:tr>
      <w:tr w:rsidR="00881A82" w:rsidRPr="00473486">
        <w:tc>
          <w:tcPr>
            <w:tcW w:w="9212" w:type="dxa"/>
            <w:gridSpan w:val="8"/>
            <w:vAlign w:val="center"/>
          </w:tcPr>
          <w:p w:rsidR="00881A82" w:rsidRPr="00473486" w:rsidRDefault="007D1E3A">
            <w:pPr>
              <w:autoSpaceDE w:val="0"/>
              <w:autoSpaceDN w:val="0"/>
              <w:adjustRightInd w:val="0"/>
              <w:jc w:val="left"/>
              <w:rPr>
                <w:kern w:val="0"/>
                <w:szCs w:val="21"/>
              </w:rPr>
            </w:pPr>
            <w:r w:rsidRPr="00473486">
              <w:rPr>
                <w:kern w:val="0"/>
                <w:szCs w:val="21"/>
              </w:rPr>
              <w:t>本基金的集中度风险主要体现在有单一投资者持有基金份额比例达到或者超过</w:t>
            </w:r>
            <w:r w:rsidRPr="00473486">
              <w:rPr>
                <w:kern w:val="0"/>
                <w:szCs w:val="21"/>
              </w:rPr>
              <w:t>20%</w:t>
            </w:r>
            <w:r w:rsidRPr="00473486">
              <w:rPr>
                <w:kern w:val="0"/>
                <w:szCs w:val="21"/>
              </w:rPr>
              <w:t>，如果投资者发生大额赎回，可能出现基金可变现资产无法满足投资者赎回需要以及因为资产变现成本过高导致投资者的利益受到损害的风险。</w:t>
            </w:r>
          </w:p>
        </w:tc>
      </w:tr>
    </w:tbl>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§8</w:t>
      </w:r>
      <w:r w:rsidRPr="00473486">
        <w:rPr>
          <w:rFonts w:eastAsiaTheme="minorEastAsia"/>
          <w:color w:val="000000" w:themeColor="text1"/>
          <w:kern w:val="0"/>
          <w:sz w:val="24"/>
          <w:szCs w:val="24"/>
        </w:rPr>
        <w:t>备查文件目录</w:t>
      </w: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8.1 </w:t>
      </w:r>
      <w:r w:rsidRPr="00473486">
        <w:rPr>
          <w:rFonts w:eastAsiaTheme="minorEastAsia"/>
          <w:b/>
          <w:color w:val="000000" w:themeColor="text1"/>
          <w:sz w:val="24"/>
        </w:rPr>
        <w:t>备查文件目录</w:t>
      </w:r>
    </w:p>
    <w:p w:rsidR="00843E9B" w:rsidRDefault="00943E9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中国证监会准予上投摩根中证创新药产业交易型开放式指数证券投资基金募集注册的文件</w:t>
      </w:r>
    </w:p>
    <w:p w:rsidR="00843E9B" w:rsidRDefault="00943E9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上投摩根中证创新药产业交易型开放式指数证券投资基金基金合同</w:t>
      </w:r>
    </w:p>
    <w:p w:rsidR="00843E9B" w:rsidRDefault="00943E9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上投摩根中证创新药产业交易型开放式指数证券投资基金托管协议</w:t>
      </w:r>
    </w:p>
    <w:p w:rsidR="00843E9B" w:rsidRDefault="00943E9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843E9B" w:rsidRDefault="00943E9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843E9B" w:rsidRDefault="00943E9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843E9B" w:rsidRDefault="00943E9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上投摩根基金管理有限公司开放式基金业务规则</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w:t>
      </w:r>
      <w:r w:rsidRPr="00473486">
        <w:rPr>
          <w:rFonts w:eastAsiaTheme="minorEastAsia"/>
          <w:color w:val="000000" w:themeColor="text1"/>
          <w:szCs w:val="21"/>
        </w:rPr>
        <w:t>八</w:t>
      </w:r>
      <w:r w:rsidRPr="00473486">
        <w:rPr>
          <w:rFonts w:eastAsiaTheme="minorEastAsia"/>
          <w:color w:val="000000" w:themeColor="text1"/>
          <w:szCs w:val="21"/>
        </w:rPr>
        <w:t>)</w:t>
      </w:r>
      <w:r w:rsidRPr="00473486">
        <w:rPr>
          <w:rFonts w:eastAsiaTheme="minorEastAsia"/>
          <w:color w:val="000000" w:themeColor="text1"/>
          <w:szCs w:val="21"/>
        </w:rPr>
        <w:t>中国证监会要求的其他文件</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8.2 </w:t>
      </w:r>
      <w:r w:rsidRPr="00473486">
        <w:rPr>
          <w:rFonts w:eastAsiaTheme="minorEastAsia"/>
          <w:b/>
          <w:color w:val="000000" w:themeColor="text1"/>
          <w:sz w:val="24"/>
        </w:rPr>
        <w:t>存放地点</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基金管理人或基金托管人处。</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8.3 </w:t>
      </w:r>
      <w:r w:rsidRPr="00473486">
        <w:rPr>
          <w:rFonts w:eastAsiaTheme="minorEastAsia"/>
          <w:b/>
          <w:color w:val="000000" w:themeColor="text1"/>
          <w:sz w:val="24"/>
        </w:rPr>
        <w:t>查阅方式</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投资者可在营业时间免费查阅，也可按工本费购买复印件。</w:t>
      </w: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上投摩根基金管理有限公司</w:t>
      </w:r>
    </w:p>
    <w:p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二〇二二年十月二十六日</w:t>
      </w:r>
    </w:p>
    <w:p w:rsidR="00881A82" w:rsidRPr="00473486" w:rsidRDefault="00881A82">
      <w:pPr>
        <w:spacing w:line="360" w:lineRule="auto"/>
        <w:ind w:firstLineChars="900" w:firstLine="2168"/>
        <w:rPr>
          <w:rFonts w:eastAsiaTheme="minorEastAsia"/>
          <w:b/>
          <w:color w:val="000000" w:themeColor="text1"/>
          <w:sz w:val="24"/>
        </w:rPr>
      </w:pPr>
    </w:p>
    <w:sectPr w:rsidR="00881A82" w:rsidRPr="00473486">
      <w:footerReference w:type="even"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D4D" w:rsidRDefault="00B06D4D">
      <w:r>
        <w:separator/>
      </w:r>
    </w:p>
  </w:endnote>
  <w:endnote w:type="continuationSeparator" w:id="0">
    <w:p w:rsidR="00B06D4D" w:rsidRDefault="00B0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43E9B">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43E9B">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881A82" w:rsidRDefault="00881A82">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943E9B">
      <w:rPr>
        <w:rStyle w:val="af5"/>
        <w:noProof/>
      </w:rPr>
      <w:t>15</w:t>
    </w:r>
    <w:r>
      <w:rPr>
        <w:rStyle w:val="af5"/>
      </w:rPr>
      <w:fldChar w:fldCharType="end"/>
    </w:r>
  </w:p>
  <w:p w:rsidR="00881A82" w:rsidRDefault="00881A8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D4D" w:rsidRDefault="00B06D4D">
      <w:r>
        <w:separator/>
      </w:r>
    </w:p>
  </w:footnote>
  <w:footnote w:type="continuationSeparator" w:id="0">
    <w:p w:rsidR="00B06D4D" w:rsidRDefault="00B06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f"/>
      <w:pBdr>
        <w:bottom w:val="single" w:sz="6" w:space="0" w:color="auto"/>
      </w:pBdr>
      <w:jc w:val="right"/>
    </w:pPr>
    <w:r>
      <w:t>上投摩根中证创新药产业交易型开放式指数证券投资基金</w:t>
    </w:r>
    <w:r>
      <w:t>2022</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PostScriptOverText/>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9DA"/>
    <w:rsid w:val="000020BB"/>
    <w:rsid w:val="0000403B"/>
    <w:rsid w:val="00005911"/>
    <w:rsid w:val="00010A83"/>
    <w:rsid w:val="00010A8E"/>
    <w:rsid w:val="00010AC3"/>
    <w:rsid w:val="000115A7"/>
    <w:rsid w:val="00011EB5"/>
    <w:rsid w:val="0001280C"/>
    <w:rsid w:val="00017581"/>
    <w:rsid w:val="00020583"/>
    <w:rsid w:val="00021DD4"/>
    <w:rsid w:val="00023BE7"/>
    <w:rsid w:val="00037FCF"/>
    <w:rsid w:val="000421B8"/>
    <w:rsid w:val="000433E8"/>
    <w:rsid w:val="00043ABF"/>
    <w:rsid w:val="000445E4"/>
    <w:rsid w:val="00045BEC"/>
    <w:rsid w:val="000510AB"/>
    <w:rsid w:val="00055AF1"/>
    <w:rsid w:val="000625A6"/>
    <w:rsid w:val="00064AE3"/>
    <w:rsid w:val="00066524"/>
    <w:rsid w:val="00070CD1"/>
    <w:rsid w:val="0007171B"/>
    <w:rsid w:val="00072E4F"/>
    <w:rsid w:val="00074E9F"/>
    <w:rsid w:val="0007721B"/>
    <w:rsid w:val="00081D05"/>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3E43"/>
    <w:rsid w:val="000B5CC0"/>
    <w:rsid w:val="000C1723"/>
    <w:rsid w:val="000C1B20"/>
    <w:rsid w:val="000C4107"/>
    <w:rsid w:val="000C45E7"/>
    <w:rsid w:val="000D01F4"/>
    <w:rsid w:val="000D1519"/>
    <w:rsid w:val="000D1C87"/>
    <w:rsid w:val="000E4456"/>
    <w:rsid w:val="000F175F"/>
    <w:rsid w:val="000F17D1"/>
    <w:rsid w:val="000F60FF"/>
    <w:rsid w:val="000F635F"/>
    <w:rsid w:val="000F6C61"/>
    <w:rsid w:val="00100C12"/>
    <w:rsid w:val="00101DBA"/>
    <w:rsid w:val="001049B6"/>
    <w:rsid w:val="001051C6"/>
    <w:rsid w:val="0011177A"/>
    <w:rsid w:val="00112E9B"/>
    <w:rsid w:val="00116E31"/>
    <w:rsid w:val="00122A26"/>
    <w:rsid w:val="0012304E"/>
    <w:rsid w:val="001248EF"/>
    <w:rsid w:val="001257C7"/>
    <w:rsid w:val="00126DDF"/>
    <w:rsid w:val="001270BF"/>
    <w:rsid w:val="00127BAC"/>
    <w:rsid w:val="00131D06"/>
    <w:rsid w:val="0013360F"/>
    <w:rsid w:val="00141121"/>
    <w:rsid w:val="00142A56"/>
    <w:rsid w:val="00144DF5"/>
    <w:rsid w:val="00145A97"/>
    <w:rsid w:val="00146485"/>
    <w:rsid w:val="00150AD6"/>
    <w:rsid w:val="00153B40"/>
    <w:rsid w:val="00154ADA"/>
    <w:rsid w:val="0015531A"/>
    <w:rsid w:val="001600E8"/>
    <w:rsid w:val="00162BD7"/>
    <w:rsid w:val="00163B27"/>
    <w:rsid w:val="00165317"/>
    <w:rsid w:val="00171BAD"/>
    <w:rsid w:val="00172410"/>
    <w:rsid w:val="001744B4"/>
    <w:rsid w:val="001756A1"/>
    <w:rsid w:val="001761EE"/>
    <w:rsid w:val="00176EAA"/>
    <w:rsid w:val="0017725A"/>
    <w:rsid w:val="001775F7"/>
    <w:rsid w:val="001779ED"/>
    <w:rsid w:val="00177C4B"/>
    <w:rsid w:val="00180E68"/>
    <w:rsid w:val="0018325A"/>
    <w:rsid w:val="00186199"/>
    <w:rsid w:val="001928F7"/>
    <w:rsid w:val="00194537"/>
    <w:rsid w:val="0019563C"/>
    <w:rsid w:val="00195F18"/>
    <w:rsid w:val="001A21A9"/>
    <w:rsid w:val="001A59D8"/>
    <w:rsid w:val="001A5FA6"/>
    <w:rsid w:val="001A6A3B"/>
    <w:rsid w:val="001A6F8A"/>
    <w:rsid w:val="001A7FF1"/>
    <w:rsid w:val="001B2F0C"/>
    <w:rsid w:val="001C37F6"/>
    <w:rsid w:val="001C6288"/>
    <w:rsid w:val="001D0F6A"/>
    <w:rsid w:val="001D21BC"/>
    <w:rsid w:val="001D2FA5"/>
    <w:rsid w:val="001D35E0"/>
    <w:rsid w:val="001D3711"/>
    <w:rsid w:val="001D3CDF"/>
    <w:rsid w:val="001D5045"/>
    <w:rsid w:val="001D5A44"/>
    <w:rsid w:val="001D724B"/>
    <w:rsid w:val="001E11D3"/>
    <w:rsid w:val="001E2A6A"/>
    <w:rsid w:val="001E3DC2"/>
    <w:rsid w:val="001E56FF"/>
    <w:rsid w:val="001E5C6B"/>
    <w:rsid w:val="001F03E1"/>
    <w:rsid w:val="001F3CC6"/>
    <w:rsid w:val="001F4530"/>
    <w:rsid w:val="001F5265"/>
    <w:rsid w:val="002010DE"/>
    <w:rsid w:val="00202885"/>
    <w:rsid w:val="00202968"/>
    <w:rsid w:val="00202C32"/>
    <w:rsid w:val="00203AEF"/>
    <w:rsid w:val="00211A26"/>
    <w:rsid w:val="002125F7"/>
    <w:rsid w:val="002141B6"/>
    <w:rsid w:val="00214463"/>
    <w:rsid w:val="00214756"/>
    <w:rsid w:val="00215CF2"/>
    <w:rsid w:val="00217171"/>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D32E3"/>
    <w:rsid w:val="002E0FEB"/>
    <w:rsid w:val="002E300D"/>
    <w:rsid w:val="002F0F79"/>
    <w:rsid w:val="002F1CC8"/>
    <w:rsid w:val="002F280E"/>
    <w:rsid w:val="002F3709"/>
    <w:rsid w:val="002F3A6C"/>
    <w:rsid w:val="002F4296"/>
    <w:rsid w:val="00300951"/>
    <w:rsid w:val="003023C9"/>
    <w:rsid w:val="00302CA8"/>
    <w:rsid w:val="00302DE9"/>
    <w:rsid w:val="00305084"/>
    <w:rsid w:val="00310086"/>
    <w:rsid w:val="00312FE8"/>
    <w:rsid w:val="0031358C"/>
    <w:rsid w:val="00313AE2"/>
    <w:rsid w:val="0031630D"/>
    <w:rsid w:val="003204E9"/>
    <w:rsid w:val="00321E8C"/>
    <w:rsid w:val="00322A86"/>
    <w:rsid w:val="00323AE8"/>
    <w:rsid w:val="00324548"/>
    <w:rsid w:val="003251F4"/>
    <w:rsid w:val="003303E3"/>
    <w:rsid w:val="00331FA4"/>
    <w:rsid w:val="003329EA"/>
    <w:rsid w:val="003347EF"/>
    <w:rsid w:val="00337293"/>
    <w:rsid w:val="003407A5"/>
    <w:rsid w:val="00341188"/>
    <w:rsid w:val="0034147B"/>
    <w:rsid w:val="00343F87"/>
    <w:rsid w:val="00345AA8"/>
    <w:rsid w:val="00350238"/>
    <w:rsid w:val="0035109C"/>
    <w:rsid w:val="00351F0A"/>
    <w:rsid w:val="0035432B"/>
    <w:rsid w:val="00357172"/>
    <w:rsid w:val="003613A8"/>
    <w:rsid w:val="00361E7E"/>
    <w:rsid w:val="0036360E"/>
    <w:rsid w:val="00364504"/>
    <w:rsid w:val="003666D2"/>
    <w:rsid w:val="00370AA4"/>
    <w:rsid w:val="00371FF4"/>
    <w:rsid w:val="00376C39"/>
    <w:rsid w:val="00377520"/>
    <w:rsid w:val="00380D36"/>
    <w:rsid w:val="003822D3"/>
    <w:rsid w:val="003834E0"/>
    <w:rsid w:val="00386630"/>
    <w:rsid w:val="00390B25"/>
    <w:rsid w:val="00397156"/>
    <w:rsid w:val="00397960"/>
    <w:rsid w:val="003A0A94"/>
    <w:rsid w:val="003A3BC4"/>
    <w:rsid w:val="003A458A"/>
    <w:rsid w:val="003B2DA8"/>
    <w:rsid w:val="003B2F13"/>
    <w:rsid w:val="003B405E"/>
    <w:rsid w:val="003B57D3"/>
    <w:rsid w:val="003C1A49"/>
    <w:rsid w:val="003C1F58"/>
    <w:rsid w:val="003C6C58"/>
    <w:rsid w:val="003C792F"/>
    <w:rsid w:val="003D124B"/>
    <w:rsid w:val="003D18F3"/>
    <w:rsid w:val="003D78B5"/>
    <w:rsid w:val="003D7922"/>
    <w:rsid w:val="003E244F"/>
    <w:rsid w:val="003E62A6"/>
    <w:rsid w:val="003E695F"/>
    <w:rsid w:val="003E6C9B"/>
    <w:rsid w:val="003E709C"/>
    <w:rsid w:val="003E712B"/>
    <w:rsid w:val="003E7B89"/>
    <w:rsid w:val="003F4241"/>
    <w:rsid w:val="003F7040"/>
    <w:rsid w:val="003F7C45"/>
    <w:rsid w:val="0040132C"/>
    <w:rsid w:val="00405085"/>
    <w:rsid w:val="004066FC"/>
    <w:rsid w:val="00407C10"/>
    <w:rsid w:val="004113B4"/>
    <w:rsid w:val="00413689"/>
    <w:rsid w:val="004143D6"/>
    <w:rsid w:val="00414827"/>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5317"/>
    <w:rsid w:val="004575E9"/>
    <w:rsid w:val="004576F2"/>
    <w:rsid w:val="00457804"/>
    <w:rsid w:val="004646BF"/>
    <w:rsid w:val="00464744"/>
    <w:rsid w:val="004665E3"/>
    <w:rsid w:val="00467683"/>
    <w:rsid w:val="004731F1"/>
    <w:rsid w:val="00473486"/>
    <w:rsid w:val="00480BC8"/>
    <w:rsid w:val="00481265"/>
    <w:rsid w:val="004814BF"/>
    <w:rsid w:val="004845B9"/>
    <w:rsid w:val="0048587E"/>
    <w:rsid w:val="00486CB7"/>
    <w:rsid w:val="00487C2B"/>
    <w:rsid w:val="0049297D"/>
    <w:rsid w:val="004929F2"/>
    <w:rsid w:val="00495A03"/>
    <w:rsid w:val="004967FC"/>
    <w:rsid w:val="00497079"/>
    <w:rsid w:val="004A00BD"/>
    <w:rsid w:val="004A1BBA"/>
    <w:rsid w:val="004A3E3C"/>
    <w:rsid w:val="004B0E6D"/>
    <w:rsid w:val="004B16E8"/>
    <w:rsid w:val="004B2015"/>
    <w:rsid w:val="004B2DB9"/>
    <w:rsid w:val="004B5E54"/>
    <w:rsid w:val="004B6250"/>
    <w:rsid w:val="004B76B1"/>
    <w:rsid w:val="004C0057"/>
    <w:rsid w:val="004C03A7"/>
    <w:rsid w:val="004C0541"/>
    <w:rsid w:val="004C2C46"/>
    <w:rsid w:val="004C5189"/>
    <w:rsid w:val="004C7235"/>
    <w:rsid w:val="004C7955"/>
    <w:rsid w:val="004D047F"/>
    <w:rsid w:val="004D1A45"/>
    <w:rsid w:val="004D3D96"/>
    <w:rsid w:val="004D417D"/>
    <w:rsid w:val="004D650F"/>
    <w:rsid w:val="004E2133"/>
    <w:rsid w:val="004E5AB9"/>
    <w:rsid w:val="004E60FB"/>
    <w:rsid w:val="004F4EA9"/>
    <w:rsid w:val="004F759F"/>
    <w:rsid w:val="004F779C"/>
    <w:rsid w:val="004F7846"/>
    <w:rsid w:val="004F7A0E"/>
    <w:rsid w:val="005000D4"/>
    <w:rsid w:val="00500F1D"/>
    <w:rsid w:val="00504285"/>
    <w:rsid w:val="00504432"/>
    <w:rsid w:val="00505EE0"/>
    <w:rsid w:val="0050638D"/>
    <w:rsid w:val="00510CAF"/>
    <w:rsid w:val="00511B6A"/>
    <w:rsid w:val="005128C5"/>
    <w:rsid w:val="00514754"/>
    <w:rsid w:val="0051478B"/>
    <w:rsid w:val="0051566A"/>
    <w:rsid w:val="00515D7B"/>
    <w:rsid w:val="005166E9"/>
    <w:rsid w:val="0052009E"/>
    <w:rsid w:val="00521065"/>
    <w:rsid w:val="00525E59"/>
    <w:rsid w:val="005318CC"/>
    <w:rsid w:val="00531D1B"/>
    <w:rsid w:val="005349B1"/>
    <w:rsid w:val="005374BC"/>
    <w:rsid w:val="00543188"/>
    <w:rsid w:val="00543367"/>
    <w:rsid w:val="00543BFA"/>
    <w:rsid w:val="00547D9C"/>
    <w:rsid w:val="00547DA1"/>
    <w:rsid w:val="00551CED"/>
    <w:rsid w:val="00554EAB"/>
    <w:rsid w:val="0055513C"/>
    <w:rsid w:val="00560ABC"/>
    <w:rsid w:val="00560C94"/>
    <w:rsid w:val="0056291C"/>
    <w:rsid w:val="00565A63"/>
    <w:rsid w:val="00566588"/>
    <w:rsid w:val="00570B1A"/>
    <w:rsid w:val="00572736"/>
    <w:rsid w:val="0057275D"/>
    <w:rsid w:val="00577214"/>
    <w:rsid w:val="005800A9"/>
    <w:rsid w:val="00580488"/>
    <w:rsid w:val="0058074D"/>
    <w:rsid w:val="00580FD1"/>
    <w:rsid w:val="00582FAD"/>
    <w:rsid w:val="00583489"/>
    <w:rsid w:val="00583A98"/>
    <w:rsid w:val="005858C4"/>
    <w:rsid w:val="00590FE4"/>
    <w:rsid w:val="00591D9C"/>
    <w:rsid w:val="00597057"/>
    <w:rsid w:val="00597D8B"/>
    <w:rsid w:val="005A1C30"/>
    <w:rsid w:val="005A1C43"/>
    <w:rsid w:val="005A2DCB"/>
    <w:rsid w:val="005A3295"/>
    <w:rsid w:val="005A46FF"/>
    <w:rsid w:val="005B011E"/>
    <w:rsid w:val="005B1C7D"/>
    <w:rsid w:val="005B1DEC"/>
    <w:rsid w:val="005B2E84"/>
    <w:rsid w:val="005B7B0E"/>
    <w:rsid w:val="005C0A04"/>
    <w:rsid w:val="005C5409"/>
    <w:rsid w:val="005C69AC"/>
    <w:rsid w:val="005C722E"/>
    <w:rsid w:val="005D01A4"/>
    <w:rsid w:val="005D14DE"/>
    <w:rsid w:val="005D3F12"/>
    <w:rsid w:val="005D44E4"/>
    <w:rsid w:val="005D45B3"/>
    <w:rsid w:val="005D4CEB"/>
    <w:rsid w:val="005E491F"/>
    <w:rsid w:val="005E58CE"/>
    <w:rsid w:val="005E59E9"/>
    <w:rsid w:val="005F04E6"/>
    <w:rsid w:val="005F43B9"/>
    <w:rsid w:val="005F68CB"/>
    <w:rsid w:val="005F6A4A"/>
    <w:rsid w:val="00602154"/>
    <w:rsid w:val="006033E3"/>
    <w:rsid w:val="006054E4"/>
    <w:rsid w:val="0061321C"/>
    <w:rsid w:val="00620DB0"/>
    <w:rsid w:val="0062386E"/>
    <w:rsid w:val="00623D9A"/>
    <w:rsid w:val="00623F01"/>
    <w:rsid w:val="006242FB"/>
    <w:rsid w:val="00624E5B"/>
    <w:rsid w:val="00626E2D"/>
    <w:rsid w:val="00627D94"/>
    <w:rsid w:val="00630B42"/>
    <w:rsid w:val="00636CDE"/>
    <w:rsid w:val="00637BA7"/>
    <w:rsid w:val="00642072"/>
    <w:rsid w:val="00643330"/>
    <w:rsid w:val="006440ED"/>
    <w:rsid w:val="00645293"/>
    <w:rsid w:val="00651B78"/>
    <w:rsid w:val="00652263"/>
    <w:rsid w:val="00652881"/>
    <w:rsid w:val="00652DDE"/>
    <w:rsid w:val="0065417D"/>
    <w:rsid w:val="00661974"/>
    <w:rsid w:val="00664551"/>
    <w:rsid w:val="00664E44"/>
    <w:rsid w:val="00665677"/>
    <w:rsid w:val="0066704D"/>
    <w:rsid w:val="006676A0"/>
    <w:rsid w:val="00670857"/>
    <w:rsid w:val="00671124"/>
    <w:rsid w:val="006727B0"/>
    <w:rsid w:val="0067307E"/>
    <w:rsid w:val="00677AC6"/>
    <w:rsid w:val="00687AD5"/>
    <w:rsid w:val="00691AFA"/>
    <w:rsid w:val="0069335C"/>
    <w:rsid w:val="00695251"/>
    <w:rsid w:val="00695ADE"/>
    <w:rsid w:val="00695C0D"/>
    <w:rsid w:val="00696356"/>
    <w:rsid w:val="006A72C6"/>
    <w:rsid w:val="006B02DA"/>
    <w:rsid w:val="006B2065"/>
    <w:rsid w:val="006B3940"/>
    <w:rsid w:val="006B6C3A"/>
    <w:rsid w:val="006C168D"/>
    <w:rsid w:val="006C1D5C"/>
    <w:rsid w:val="006C3C80"/>
    <w:rsid w:val="006C3F43"/>
    <w:rsid w:val="006C642C"/>
    <w:rsid w:val="006C6FC6"/>
    <w:rsid w:val="006D6A40"/>
    <w:rsid w:val="006D7693"/>
    <w:rsid w:val="006E231B"/>
    <w:rsid w:val="006E346E"/>
    <w:rsid w:val="006E34B7"/>
    <w:rsid w:val="006F0F87"/>
    <w:rsid w:val="006F2F3E"/>
    <w:rsid w:val="006F4CD8"/>
    <w:rsid w:val="006F53D9"/>
    <w:rsid w:val="006F6A94"/>
    <w:rsid w:val="007004DC"/>
    <w:rsid w:val="00701575"/>
    <w:rsid w:val="00703E8A"/>
    <w:rsid w:val="00711522"/>
    <w:rsid w:val="007124FE"/>
    <w:rsid w:val="00713186"/>
    <w:rsid w:val="00713757"/>
    <w:rsid w:val="0071379B"/>
    <w:rsid w:val="0071497D"/>
    <w:rsid w:val="00717772"/>
    <w:rsid w:val="00721AF1"/>
    <w:rsid w:val="0072280F"/>
    <w:rsid w:val="00722B5E"/>
    <w:rsid w:val="00723845"/>
    <w:rsid w:val="0072708F"/>
    <w:rsid w:val="00732D1D"/>
    <w:rsid w:val="00736034"/>
    <w:rsid w:val="0073681C"/>
    <w:rsid w:val="00741EBE"/>
    <w:rsid w:val="00746130"/>
    <w:rsid w:val="00746A40"/>
    <w:rsid w:val="007479DC"/>
    <w:rsid w:val="00750358"/>
    <w:rsid w:val="00755CDF"/>
    <w:rsid w:val="00757A4C"/>
    <w:rsid w:val="00760FFC"/>
    <w:rsid w:val="0076110A"/>
    <w:rsid w:val="00764A94"/>
    <w:rsid w:val="00764DC3"/>
    <w:rsid w:val="007651E5"/>
    <w:rsid w:val="007670DC"/>
    <w:rsid w:val="00767239"/>
    <w:rsid w:val="00770601"/>
    <w:rsid w:val="0077111A"/>
    <w:rsid w:val="00772272"/>
    <w:rsid w:val="007756ED"/>
    <w:rsid w:val="00777CC9"/>
    <w:rsid w:val="007869A0"/>
    <w:rsid w:val="00786A23"/>
    <w:rsid w:val="007870FC"/>
    <w:rsid w:val="00787CD0"/>
    <w:rsid w:val="00791053"/>
    <w:rsid w:val="00791A3A"/>
    <w:rsid w:val="00794196"/>
    <w:rsid w:val="00797637"/>
    <w:rsid w:val="00797D95"/>
    <w:rsid w:val="007A2E54"/>
    <w:rsid w:val="007A3680"/>
    <w:rsid w:val="007A59B8"/>
    <w:rsid w:val="007B2862"/>
    <w:rsid w:val="007B662A"/>
    <w:rsid w:val="007C1A93"/>
    <w:rsid w:val="007C751E"/>
    <w:rsid w:val="007D021A"/>
    <w:rsid w:val="007D1E3A"/>
    <w:rsid w:val="007D28C9"/>
    <w:rsid w:val="007D3CC8"/>
    <w:rsid w:val="007D62F9"/>
    <w:rsid w:val="007D63A4"/>
    <w:rsid w:val="007E1AA2"/>
    <w:rsid w:val="007E4C1F"/>
    <w:rsid w:val="007F0746"/>
    <w:rsid w:val="007F0759"/>
    <w:rsid w:val="007F25C0"/>
    <w:rsid w:val="007F456A"/>
    <w:rsid w:val="007F4C9B"/>
    <w:rsid w:val="007F5F52"/>
    <w:rsid w:val="007F77C6"/>
    <w:rsid w:val="008003A1"/>
    <w:rsid w:val="008006B7"/>
    <w:rsid w:val="00800FDB"/>
    <w:rsid w:val="00802081"/>
    <w:rsid w:val="008020B5"/>
    <w:rsid w:val="008021E8"/>
    <w:rsid w:val="008034CF"/>
    <w:rsid w:val="008063D8"/>
    <w:rsid w:val="00806461"/>
    <w:rsid w:val="00806722"/>
    <w:rsid w:val="0081096D"/>
    <w:rsid w:val="00810EAD"/>
    <w:rsid w:val="00811833"/>
    <w:rsid w:val="008174D4"/>
    <w:rsid w:val="00820FE6"/>
    <w:rsid w:val="00821A66"/>
    <w:rsid w:val="00822476"/>
    <w:rsid w:val="00822882"/>
    <w:rsid w:val="00824CB2"/>
    <w:rsid w:val="00825F68"/>
    <w:rsid w:val="00835408"/>
    <w:rsid w:val="008359DA"/>
    <w:rsid w:val="00837CEF"/>
    <w:rsid w:val="00840035"/>
    <w:rsid w:val="00840220"/>
    <w:rsid w:val="008428A9"/>
    <w:rsid w:val="00843E9B"/>
    <w:rsid w:val="00844112"/>
    <w:rsid w:val="008456C9"/>
    <w:rsid w:val="0084611D"/>
    <w:rsid w:val="00847BEF"/>
    <w:rsid w:val="00847D9E"/>
    <w:rsid w:val="00850C62"/>
    <w:rsid w:val="00863011"/>
    <w:rsid w:val="00865075"/>
    <w:rsid w:val="0086748F"/>
    <w:rsid w:val="00872CE4"/>
    <w:rsid w:val="00874F4B"/>
    <w:rsid w:val="0087539B"/>
    <w:rsid w:val="00877B62"/>
    <w:rsid w:val="00880199"/>
    <w:rsid w:val="00881015"/>
    <w:rsid w:val="008810B0"/>
    <w:rsid w:val="008813D6"/>
    <w:rsid w:val="008819B6"/>
    <w:rsid w:val="00881A82"/>
    <w:rsid w:val="00881AAC"/>
    <w:rsid w:val="008836B7"/>
    <w:rsid w:val="008841D3"/>
    <w:rsid w:val="0088709F"/>
    <w:rsid w:val="00887DE6"/>
    <w:rsid w:val="00894C2A"/>
    <w:rsid w:val="00897708"/>
    <w:rsid w:val="00897D88"/>
    <w:rsid w:val="008A2F16"/>
    <w:rsid w:val="008B1823"/>
    <w:rsid w:val="008B203C"/>
    <w:rsid w:val="008B6E16"/>
    <w:rsid w:val="008B7110"/>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60C5"/>
    <w:rsid w:val="009010F0"/>
    <w:rsid w:val="00901162"/>
    <w:rsid w:val="0090223A"/>
    <w:rsid w:val="009028E2"/>
    <w:rsid w:val="00914EAB"/>
    <w:rsid w:val="00916597"/>
    <w:rsid w:val="00922D49"/>
    <w:rsid w:val="009259CF"/>
    <w:rsid w:val="00925E37"/>
    <w:rsid w:val="00925EDD"/>
    <w:rsid w:val="00927D0E"/>
    <w:rsid w:val="009309DA"/>
    <w:rsid w:val="00936688"/>
    <w:rsid w:val="00937CFA"/>
    <w:rsid w:val="009406B3"/>
    <w:rsid w:val="00943E9B"/>
    <w:rsid w:val="00945CF5"/>
    <w:rsid w:val="009500A1"/>
    <w:rsid w:val="0095037E"/>
    <w:rsid w:val="00952AAD"/>
    <w:rsid w:val="00954567"/>
    <w:rsid w:val="009547A9"/>
    <w:rsid w:val="009548FE"/>
    <w:rsid w:val="00956F0B"/>
    <w:rsid w:val="00957466"/>
    <w:rsid w:val="00957C7C"/>
    <w:rsid w:val="0096260B"/>
    <w:rsid w:val="009664D5"/>
    <w:rsid w:val="00970C69"/>
    <w:rsid w:val="00971DF7"/>
    <w:rsid w:val="00971F1C"/>
    <w:rsid w:val="0097211D"/>
    <w:rsid w:val="00972E10"/>
    <w:rsid w:val="009746CA"/>
    <w:rsid w:val="00974975"/>
    <w:rsid w:val="00974EA8"/>
    <w:rsid w:val="00981963"/>
    <w:rsid w:val="00983C82"/>
    <w:rsid w:val="00984520"/>
    <w:rsid w:val="0098545C"/>
    <w:rsid w:val="00992BA2"/>
    <w:rsid w:val="00992F83"/>
    <w:rsid w:val="0099508A"/>
    <w:rsid w:val="009974EB"/>
    <w:rsid w:val="009A037F"/>
    <w:rsid w:val="009A1126"/>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1EA4"/>
    <w:rsid w:val="009D27AA"/>
    <w:rsid w:val="009D38BA"/>
    <w:rsid w:val="009D4991"/>
    <w:rsid w:val="009D5BB5"/>
    <w:rsid w:val="009D696D"/>
    <w:rsid w:val="009D6ED2"/>
    <w:rsid w:val="009E0F1A"/>
    <w:rsid w:val="009E140D"/>
    <w:rsid w:val="009E348F"/>
    <w:rsid w:val="009E4465"/>
    <w:rsid w:val="009E6401"/>
    <w:rsid w:val="009E6C54"/>
    <w:rsid w:val="009F2261"/>
    <w:rsid w:val="009F2A25"/>
    <w:rsid w:val="009F4CB1"/>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804"/>
    <w:rsid w:val="00A348F0"/>
    <w:rsid w:val="00A36822"/>
    <w:rsid w:val="00A36AB5"/>
    <w:rsid w:val="00A411D1"/>
    <w:rsid w:val="00A428A4"/>
    <w:rsid w:val="00A42CE1"/>
    <w:rsid w:val="00A43389"/>
    <w:rsid w:val="00A43E71"/>
    <w:rsid w:val="00A45753"/>
    <w:rsid w:val="00A47B15"/>
    <w:rsid w:val="00A52F84"/>
    <w:rsid w:val="00A56B05"/>
    <w:rsid w:val="00A57678"/>
    <w:rsid w:val="00A60E2F"/>
    <w:rsid w:val="00A618F3"/>
    <w:rsid w:val="00A63284"/>
    <w:rsid w:val="00A64CB8"/>
    <w:rsid w:val="00A67018"/>
    <w:rsid w:val="00A672F3"/>
    <w:rsid w:val="00A673DC"/>
    <w:rsid w:val="00A7076E"/>
    <w:rsid w:val="00A709BE"/>
    <w:rsid w:val="00A7162E"/>
    <w:rsid w:val="00A7195A"/>
    <w:rsid w:val="00A72D71"/>
    <w:rsid w:val="00A75705"/>
    <w:rsid w:val="00A77C69"/>
    <w:rsid w:val="00A829DE"/>
    <w:rsid w:val="00A83953"/>
    <w:rsid w:val="00A85AF5"/>
    <w:rsid w:val="00A903B6"/>
    <w:rsid w:val="00A90F4F"/>
    <w:rsid w:val="00A92C40"/>
    <w:rsid w:val="00A947AA"/>
    <w:rsid w:val="00A968D2"/>
    <w:rsid w:val="00AA0AC5"/>
    <w:rsid w:val="00AA19FE"/>
    <w:rsid w:val="00AA1B53"/>
    <w:rsid w:val="00AA3556"/>
    <w:rsid w:val="00AA35FD"/>
    <w:rsid w:val="00AA3DB7"/>
    <w:rsid w:val="00AB3012"/>
    <w:rsid w:val="00AB321C"/>
    <w:rsid w:val="00AB5B99"/>
    <w:rsid w:val="00AB688F"/>
    <w:rsid w:val="00AB75EA"/>
    <w:rsid w:val="00AB7AA2"/>
    <w:rsid w:val="00AC44D9"/>
    <w:rsid w:val="00AC4BC1"/>
    <w:rsid w:val="00AD04BD"/>
    <w:rsid w:val="00AD25F6"/>
    <w:rsid w:val="00AD67CB"/>
    <w:rsid w:val="00AD7214"/>
    <w:rsid w:val="00AE1066"/>
    <w:rsid w:val="00AE4518"/>
    <w:rsid w:val="00AE5D7F"/>
    <w:rsid w:val="00AE79F0"/>
    <w:rsid w:val="00AF2DAE"/>
    <w:rsid w:val="00AF5585"/>
    <w:rsid w:val="00AF6EC1"/>
    <w:rsid w:val="00B00331"/>
    <w:rsid w:val="00B01A80"/>
    <w:rsid w:val="00B06D4D"/>
    <w:rsid w:val="00B07C27"/>
    <w:rsid w:val="00B10017"/>
    <w:rsid w:val="00B10DE1"/>
    <w:rsid w:val="00B10FF8"/>
    <w:rsid w:val="00B203C4"/>
    <w:rsid w:val="00B22E81"/>
    <w:rsid w:val="00B23996"/>
    <w:rsid w:val="00B23CB2"/>
    <w:rsid w:val="00B2561A"/>
    <w:rsid w:val="00B25A64"/>
    <w:rsid w:val="00B32AB3"/>
    <w:rsid w:val="00B34E7C"/>
    <w:rsid w:val="00B368EA"/>
    <w:rsid w:val="00B37EEF"/>
    <w:rsid w:val="00B51D20"/>
    <w:rsid w:val="00B5298E"/>
    <w:rsid w:val="00B54370"/>
    <w:rsid w:val="00B54B5F"/>
    <w:rsid w:val="00B55185"/>
    <w:rsid w:val="00B55BB5"/>
    <w:rsid w:val="00B60D38"/>
    <w:rsid w:val="00B61923"/>
    <w:rsid w:val="00B621D6"/>
    <w:rsid w:val="00B63EF5"/>
    <w:rsid w:val="00B65D6F"/>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40D"/>
    <w:rsid w:val="00BA22A8"/>
    <w:rsid w:val="00BA285B"/>
    <w:rsid w:val="00BA3E48"/>
    <w:rsid w:val="00BA4BD3"/>
    <w:rsid w:val="00BA7473"/>
    <w:rsid w:val="00BB0187"/>
    <w:rsid w:val="00BB1EB3"/>
    <w:rsid w:val="00BB22CA"/>
    <w:rsid w:val="00BB2678"/>
    <w:rsid w:val="00BC013A"/>
    <w:rsid w:val="00BC2343"/>
    <w:rsid w:val="00BC23F8"/>
    <w:rsid w:val="00BC56FA"/>
    <w:rsid w:val="00BD30C8"/>
    <w:rsid w:val="00BD3EB4"/>
    <w:rsid w:val="00BD5C65"/>
    <w:rsid w:val="00BD7DB4"/>
    <w:rsid w:val="00BE1A80"/>
    <w:rsid w:val="00BE2F07"/>
    <w:rsid w:val="00BE5751"/>
    <w:rsid w:val="00BE5CAB"/>
    <w:rsid w:val="00BE6018"/>
    <w:rsid w:val="00BF0F8F"/>
    <w:rsid w:val="00BF1F57"/>
    <w:rsid w:val="00BF4086"/>
    <w:rsid w:val="00BF426C"/>
    <w:rsid w:val="00BF47C9"/>
    <w:rsid w:val="00BF58D0"/>
    <w:rsid w:val="00BF7D6A"/>
    <w:rsid w:val="00C013E1"/>
    <w:rsid w:val="00C01611"/>
    <w:rsid w:val="00C02D59"/>
    <w:rsid w:val="00C030B6"/>
    <w:rsid w:val="00C03284"/>
    <w:rsid w:val="00C050D7"/>
    <w:rsid w:val="00C05B5F"/>
    <w:rsid w:val="00C104CC"/>
    <w:rsid w:val="00C152FE"/>
    <w:rsid w:val="00C16739"/>
    <w:rsid w:val="00C21C43"/>
    <w:rsid w:val="00C22C7D"/>
    <w:rsid w:val="00C22CCE"/>
    <w:rsid w:val="00C231D6"/>
    <w:rsid w:val="00C23BA2"/>
    <w:rsid w:val="00C32AF2"/>
    <w:rsid w:val="00C33204"/>
    <w:rsid w:val="00C338EB"/>
    <w:rsid w:val="00C3465D"/>
    <w:rsid w:val="00C379E9"/>
    <w:rsid w:val="00C439FB"/>
    <w:rsid w:val="00C43F23"/>
    <w:rsid w:val="00C47790"/>
    <w:rsid w:val="00C50011"/>
    <w:rsid w:val="00C5274B"/>
    <w:rsid w:val="00C55A77"/>
    <w:rsid w:val="00C645E6"/>
    <w:rsid w:val="00C64D82"/>
    <w:rsid w:val="00C64FBC"/>
    <w:rsid w:val="00C65A83"/>
    <w:rsid w:val="00C721F2"/>
    <w:rsid w:val="00C72C6F"/>
    <w:rsid w:val="00C75BB1"/>
    <w:rsid w:val="00C76CF1"/>
    <w:rsid w:val="00C80F23"/>
    <w:rsid w:val="00C81151"/>
    <w:rsid w:val="00C82CC6"/>
    <w:rsid w:val="00C8434E"/>
    <w:rsid w:val="00C850A3"/>
    <w:rsid w:val="00C85C32"/>
    <w:rsid w:val="00C87568"/>
    <w:rsid w:val="00C905A7"/>
    <w:rsid w:val="00C909E1"/>
    <w:rsid w:val="00C90DB6"/>
    <w:rsid w:val="00C9394F"/>
    <w:rsid w:val="00C93B1A"/>
    <w:rsid w:val="00C96A14"/>
    <w:rsid w:val="00C96F5F"/>
    <w:rsid w:val="00CA21B5"/>
    <w:rsid w:val="00CA5927"/>
    <w:rsid w:val="00CA79EC"/>
    <w:rsid w:val="00CB26A5"/>
    <w:rsid w:val="00CB39C2"/>
    <w:rsid w:val="00CB4664"/>
    <w:rsid w:val="00CB4C8C"/>
    <w:rsid w:val="00CB6782"/>
    <w:rsid w:val="00CC080A"/>
    <w:rsid w:val="00CC52E1"/>
    <w:rsid w:val="00CD319D"/>
    <w:rsid w:val="00CD6BC3"/>
    <w:rsid w:val="00CD72D0"/>
    <w:rsid w:val="00CE3519"/>
    <w:rsid w:val="00CE5277"/>
    <w:rsid w:val="00CE6358"/>
    <w:rsid w:val="00CF2D54"/>
    <w:rsid w:val="00CF3CDE"/>
    <w:rsid w:val="00CF6570"/>
    <w:rsid w:val="00D03538"/>
    <w:rsid w:val="00D049B8"/>
    <w:rsid w:val="00D0516C"/>
    <w:rsid w:val="00D05EE7"/>
    <w:rsid w:val="00D068D0"/>
    <w:rsid w:val="00D078D1"/>
    <w:rsid w:val="00D129A8"/>
    <w:rsid w:val="00D12FB9"/>
    <w:rsid w:val="00D148B5"/>
    <w:rsid w:val="00D200BD"/>
    <w:rsid w:val="00D22399"/>
    <w:rsid w:val="00D26460"/>
    <w:rsid w:val="00D33751"/>
    <w:rsid w:val="00D33924"/>
    <w:rsid w:val="00D36F6E"/>
    <w:rsid w:val="00D37343"/>
    <w:rsid w:val="00D4205E"/>
    <w:rsid w:val="00D42507"/>
    <w:rsid w:val="00D5574C"/>
    <w:rsid w:val="00D61982"/>
    <w:rsid w:val="00D6267A"/>
    <w:rsid w:val="00D67D12"/>
    <w:rsid w:val="00D7585A"/>
    <w:rsid w:val="00D80618"/>
    <w:rsid w:val="00D81A17"/>
    <w:rsid w:val="00D82494"/>
    <w:rsid w:val="00D84A4B"/>
    <w:rsid w:val="00D92168"/>
    <w:rsid w:val="00D940A9"/>
    <w:rsid w:val="00D940B5"/>
    <w:rsid w:val="00D95CB0"/>
    <w:rsid w:val="00D977C0"/>
    <w:rsid w:val="00DA00A3"/>
    <w:rsid w:val="00DA13F3"/>
    <w:rsid w:val="00DA2DE3"/>
    <w:rsid w:val="00DA7146"/>
    <w:rsid w:val="00DA716A"/>
    <w:rsid w:val="00DB1F4F"/>
    <w:rsid w:val="00DB37EE"/>
    <w:rsid w:val="00DB4450"/>
    <w:rsid w:val="00DB7895"/>
    <w:rsid w:val="00DB7B69"/>
    <w:rsid w:val="00DC02EC"/>
    <w:rsid w:val="00DC234A"/>
    <w:rsid w:val="00DC41E4"/>
    <w:rsid w:val="00DC5116"/>
    <w:rsid w:val="00DC77DD"/>
    <w:rsid w:val="00DC7C77"/>
    <w:rsid w:val="00DD2417"/>
    <w:rsid w:val="00DD7EA2"/>
    <w:rsid w:val="00DE00F2"/>
    <w:rsid w:val="00DE117F"/>
    <w:rsid w:val="00DE401C"/>
    <w:rsid w:val="00DE4CDE"/>
    <w:rsid w:val="00DF1ED6"/>
    <w:rsid w:val="00DF63FA"/>
    <w:rsid w:val="00E00A1C"/>
    <w:rsid w:val="00E012CC"/>
    <w:rsid w:val="00E02B71"/>
    <w:rsid w:val="00E02DEB"/>
    <w:rsid w:val="00E042A1"/>
    <w:rsid w:val="00E04CE6"/>
    <w:rsid w:val="00E104FA"/>
    <w:rsid w:val="00E1082A"/>
    <w:rsid w:val="00E11166"/>
    <w:rsid w:val="00E13182"/>
    <w:rsid w:val="00E15383"/>
    <w:rsid w:val="00E1738C"/>
    <w:rsid w:val="00E22D28"/>
    <w:rsid w:val="00E230E3"/>
    <w:rsid w:val="00E23611"/>
    <w:rsid w:val="00E25852"/>
    <w:rsid w:val="00E30EDF"/>
    <w:rsid w:val="00E31FBA"/>
    <w:rsid w:val="00E36AAE"/>
    <w:rsid w:val="00E41773"/>
    <w:rsid w:val="00E427F2"/>
    <w:rsid w:val="00E513F6"/>
    <w:rsid w:val="00E52F3B"/>
    <w:rsid w:val="00E53D94"/>
    <w:rsid w:val="00E53DEA"/>
    <w:rsid w:val="00E55A61"/>
    <w:rsid w:val="00E57F92"/>
    <w:rsid w:val="00E616DB"/>
    <w:rsid w:val="00E627A4"/>
    <w:rsid w:val="00E630ED"/>
    <w:rsid w:val="00E70C95"/>
    <w:rsid w:val="00E74EC5"/>
    <w:rsid w:val="00E75FDC"/>
    <w:rsid w:val="00E76B86"/>
    <w:rsid w:val="00E833B9"/>
    <w:rsid w:val="00E8342F"/>
    <w:rsid w:val="00E8375E"/>
    <w:rsid w:val="00E847A7"/>
    <w:rsid w:val="00E85F25"/>
    <w:rsid w:val="00E86E79"/>
    <w:rsid w:val="00E906B4"/>
    <w:rsid w:val="00E9095B"/>
    <w:rsid w:val="00E926B8"/>
    <w:rsid w:val="00E92E98"/>
    <w:rsid w:val="00E9399B"/>
    <w:rsid w:val="00E94008"/>
    <w:rsid w:val="00E94762"/>
    <w:rsid w:val="00E96B52"/>
    <w:rsid w:val="00EA2244"/>
    <w:rsid w:val="00EA4C93"/>
    <w:rsid w:val="00EA6FA7"/>
    <w:rsid w:val="00EB067F"/>
    <w:rsid w:val="00EB0BF5"/>
    <w:rsid w:val="00EB1F02"/>
    <w:rsid w:val="00EB5BC5"/>
    <w:rsid w:val="00EC086C"/>
    <w:rsid w:val="00EC42D0"/>
    <w:rsid w:val="00EC5CE0"/>
    <w:rsid w:val="00EC638F"/>
    <w:rsid w:val="00ED48AC"/>
    <w:rsid w:val="00EE224C"/>
    <w:rsid w:val="00EE4874"/>
    <w:rsid w:val="00EE4A8C"/>
    <w:rsid w:val="00EE674E"/>
    <w:rsid w:val="00EE79A6"/>
    <w:rsid w:val="00EF0C36"/>
    <w:rsid w:val="00EF2689"/>
    <w:rsid w:val="00EF454D"/>
    <w:rsid w:val="00EF6111"/>
    <w:rsid w:val="00F005A0"/>
    <w:rsid w:val="00F0225B"/>
    <w:rsid w:val="00F06616"/>
    <w:rsid w:val="00F11352"/>
    <w:rsid w:val="00F1498D"/>
    <w:rsid w:val="00F14DDF"/>
    <w:rsid w:val="00F152AD"/>
    <w:rsid w:val="00F20DFE"/>
    <w:rsid w:val="00F2285F"/>
    <w:rsid w:val="00F23155"/>
    <w:rsid w:val="00F24236"/>
    <w:rsid w:val="00F24E0E"/>
    <w:rsid w:val="00F26693"/>
    <w:rsid w:val="00F36130"/>
    <w:rsid w:val="00F40444"/>
    <w:rsid w:val="00F423BD"/>
    <w:rsid w:val="00F432FF"/>
    <w:rsid w:val="00F4715C"/>
    <w:rsid w:val="00F54869"/>
    <w:rsid w:val="00F556B2"/>
    <w:rsid w:val="00F5754B"/>
    <w:rsid w:val="00F576DE"/>
    <w:rsid w:val="00F57CE6"/>
    <w:rsid w:val="00F63BF7"/>
    <w:rsid w:val="00F65617"/>
    <w:rsid w:val="00F710BE"/>
    <w:rsid w:val="00F723CF"/>
    <w:rsid w:val="00F736D2"/>
    <w:rsid w:val="00F7564C"/>
    <w:rsid w:val="00F76220"/>
    <w:rsid w:val="00F769BE"/>
    <w:rsid w:val="00F82E6B"/>
    <w:rsid w:val="00F8677B"/>
    <w:rsid w:val="00F97B71"/>
    <w:rsid w:val="00FA1EC5"/>
    <w:rsid w:val="00FA2DDA"/>
    <w:rsid w:val="00FA34CA"/>
    <w:rsid w:val="00FA4A55"/>
    <w:rsid w:val="00FA4D4F"/>
    <w:rsid w:val="00FA54E8"/>
    <w:rsid w:val="00FA57F6"/>
    <w:rsid w:val="00FA7193"/>
    <w:rsid w:val="00FB2D17"/>
    <w:rsid w:val="00FB2F69"/>
    <w:rsid w:val="00FB368B"/>
    <w:rsid w:val="00FB45FF"/>
    <w:rsid w:val="00FB5D97"/>
    <w:rsid w:val="00FB6DE6"/>
    <w:rsid w:val="00FC023D"/>
    <w:rsid w:val="00FC1CA5"/>
    <w:rsid w:val="00FC2979"/>
    <w:rsid w:val="00FD1C3C"/>
    <w:rsid w:val="00FD38A8"/>
    <w:rsid w:val="00FD5477"/>
    <w:rsid w:val="00FD6AC8"/>
    <w:rsid w:val="00FE3EA1"/>
    <w:rsid w:val="00FE4818"/>
    <w:rsid w:val="00FE5D80"/>
    <w:rsid w:val="00FF1577"/>
    <w:rsid w:val="00FF6ADB"/>
    <w:rsid w:val="2FA972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BE9B9F7-3084-4E23-82E2-17FB52A4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footnote text" w:semiHidden="1" w:qFormat="1"/>
    <w:lsdException w:name="annotation text" w:semiHidden="1" w:qFormat="1"/>
    <w:lsdException w:name="header" w:uiPriority="99"/>
    <w:lsdException w:name="caption" w:semiHidden="1" w:unhideWhenUsed="1" w:qFormat="1"/>
    <w:lsdException w:name="footnote reference" w:semiHidden="1" w:qFormat="1"/>
    <w:lsdException w:name="annotation reference" w:semiHidden="1"/>
    <w:lsdException w:name="Title" w:qFormat="1"/>
    <w:lsdException w:name="Default Paragraph Font" w:semiHidden="1" w:uiPriority="1" w:unhideWhenUsed="1"/>
    <w:lsdException w:name="Subtitle" w:qFormat="1"/>
    <w:lsdException w:name="Date" w:uiPriority="99"/>
    <w:lsdException w:name="Body Text Indent 3" w:qFormat="1"/>
    <w:lsdException w:name="Hyperlink" w:qFormat="1"/>
    <w:lsdException w:name="Strong" w:uiPriority="22"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semiHidden/>
    <w:rPr>
      <w:b/>
      <w:bCs/>
    </w:rPr>
  </w:style>
  <w:style w:type="paragraph" w:styleId="a5">
    <w:name w:val="annotation text"/>
    <w:basedOn w:val="a"/>
    <w:semiHidden/>
    <w:qFormat/>
    <w:pPr>
      <w:jc w:val="left"/>
    </w:pPr>
  </w:style>
  <w:style w:type="paragraph" w:styleId="a6">
    <w:name w:val="Document Map"/>
    <w:basedOn w:val="a"/>
    <w:semiHidden/>
    <w:pPr>
      <w:shd w:val="clear" w:color="auto" w:fill="000080"/>
    </w:pPr>
  </w:style>
  <w:style w:type="paragraph" w:styleId="a7">
    <w:name w:val="Body Text"/>
    <w:basedOn w:val="a"/>
    <w:pPr>
      <w:spacing w:after="120"/>
    </w:pPr>
  </w:style>
  <w:style w:type="paragraph" w:styleId="a8">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rPr>
      <w:rFonts w:ascii="宋体" w:hAnsi="Courier New"/>
      <w:szCs w:val="21"/>
    </w:rPr>
  </w:style>
  <w:style w:type="paragraph" w:styleId="ab">
    <w:name w:val="Date"/>
    <w:basedOn w:val="a"/>
    <w:next w:val="a"/>
    <w:link w:val="ac"/>
    <w:uiPriority w:val="99"/>
    <w:rPr>
      <w:sz w:val="24"/>
      <w:szCs w:val="20"/>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d">
    <w:name w:val="Balloon Text"/>
    <w:basedOn w:val="a"/>
    <w:semiHidden/>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qFormat/>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rPr>
      <w:sz w:val="21"/>
      <w:szCs w:val="21"/>
    </w:rPr>
  </w:style>
  <w:style w:type="character" w:styleId="af9">
    <w:name w:val="footnote reference"/>
    <w:basedOn w:val="a1"/>
    <w:semiHidden/>
    <w:qFormat/>
    <w:rPr>
      <w:vertAlign w:val="superscript"/>
    </w:rPr>
  </w:style>
  <w:style w:type="table" w:styleId="afa">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qFormat/>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ac">
    <w:name w:val="日期 字符"/>
    <w:basedOn w:val="a1"/>
    <w:link w:val="ab"/>
    <w:uiPriority w:val="99"/>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19917">
      <w:bodyDiv w:val="1"/>
      <w:marLeft w:val="0"/>
      <w:marRight w:val="0"/>
      <w:marTop w:val="0"/>
      <w:marBottom w:val="0"/>
      <w:divBdr>
        <w:top w:val="none" w:sz="0" w:space="0" w:color="auto"/>
        <w:left w:val="none" w:sz="0" w:space="0" w:color="auto"/>
        <w:bottom w:val="none" w:sz="0" w:space="0" w:color="auto"/>
        <w:right w:val="none" w:sz="0" w:space="0" w:color="auto"/>
      </w:divBdr>
    </w:div>
    <w:div w:id="1890339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1265</Words>
  <Characters>7211</Characters>
  <Application>Microsoft Office Word</Application>
  <DocSecurity>0</DocSecurity>
  <Lines>60</Lines>
  <Paragraphs>16</Paragraphs>
  <ScaleCrop>false</ScaleCrop>
  <Company>TRT. Ltd. Co.</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Jesse.Zhang@FA</cp:lastModifiedBy>
  <cp:revision>156</cp:revision>
  <cp:lastPrinted>2007-07-19T00:46:00Z</cp:lastPrinted>
  <dcterms:created xsi:type="dcterms:W3CDTF">2012-11-21T04:46:00Z</dcterms:created>
  <dcterms:modified xsi:type="dcterms:W3CDTF">2022-10-25T05:50:00Z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