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C5D"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p>
    <w:p w14:paraId="6EF3447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597878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136A29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4808CB0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摩根中证创新药产业交易型开放式指数证券投资基金</w:t>
      </w:r>
    </w:p>
    <w:p w14:paraId="1460D62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14:paraId="620397FD"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3EEAA33F" w14:textId="77777777" w:rsidR="00881A82" w:rsidRPr="00473486" w:rsidRDefault="00881A82">
      <w:pPr>
        <w:spacing w:line="360" w:lineRule="auto"/>
        <w:jc w:val="center"/>
        <w:rPr>
          <w:rFonts w:eastAsiaTheme="minorEastAsia"/>
          <w:b/>
          <w:color w:val="000000" w:themeColor="text1"/>
          <w:sz w:val="24"/>
        </w:rPr>
      </w:pPr>
    </w:p>
    <w:p w14:paraId="4A8575A9" w14:textId="77777777" w:rsidR="00881A82" w:rsidRPr="00473486" w:rsidRDefault="00881A82">
      <w:pPr>
        <w:spacing w:line="360" w:lineRule="auto"/>
        <w:jc w:val="center"/>
        <w:rPr>
          <w:rFonts w:eastAsiaTheme="minorEastAsia"/>
          <w:b/>
          <w:color w:val="000000" w:themeColor="text1"/>
          <w:sz w:val="24"/>
        </w:rPr>
      </w:pPr>
    </w:p>
    <w:p w14:paraId="7CFFC30F" w14:textId="77777777" w:rsidR="00881A82" w:rsidRPr="00473486" w:rsidRDefault="00881A82">
      <w:pPr>
        <w:spacing w:line="360" w:lineRule="auto"/>
        <w:jc w:val="center"/>
        <w:rPr>
          <w:rFonts w:eastAsiaTheme="minorEastAsia"/>
          <w:b/>
          <w:color w:val="000000" w:themeColor="text1"/>
          <w:sz w:val="24"/>
        </w:rPr>
      </w:pPr>
    </w:p>
    <w:p w14:paraId="7AEB2183" w14:textId="77777777" w:rsidR="00881A82" w:rsidRPr="00473486" w:rsidRDefault="00881A82">
      <w:pPr>
        <w:spacing w:line="360" w:lineRule="auto"/>
        <w:jc w:val="center"/>
        <w:rPr>
          <w:rFonts w:eastAsiaTheme="minorEastAsia"/>
          <w:b/>
          <w:color w:val="000000" w:themeColor="text1"/>
          <w:sz w:val="24"/>
        </w:rPr>
      </w:pPr>
    </w:p>
    <w:p w14:paraId="2971A397" w14:textId="77777777" w:rsidR="00881A82" w:rsidRPr="00473486" w:rsidRDefault="00881A82">
      <w:pPr>
        <w:spacing w:line="360" w:lineRule="auto"/>
        <w:jc w:val="center"/>
        <w:rPr>
          <w:rFonts w:eastAsiaTheme="minorEastAsia"/>
          <w:b/>
          <w:color w:val="000000" w:themeColor="text1"/>
          <w:sz w:val="24"/>
        </w:rPr>
      </w:pPr>
    </w:p>
    <w:p w14:paraId="079D9B38" w14:textId="77777777" w:rsidR="00881A82" w:rsidRPr="00473486" w:rsidRDefault="00881A82">
      <w:pPr>
        <w:spacing w:line="360" w:lineRule="auto"/>
        <w:jc w:val="center"/>
        <w:rPr>
          <w:rFonts w:eastAsiaTheme="minorEastAsia"/>
          <w:b/>
          <w:color w:val="000000" w:themeColor="text1"/>
          <w:sz w:val="24"/>
        </w:rPr>
      </w:pPr>
    </w:p>
    <w:p w14:paraId="44587222" w14:textId="77777777" w:rsidR="00881A82" w:rsidRPr="00473486" w:rsidRDefault="00881A82">
      <w:pPr>
        <w:spacing w:line="360" w:lineRule="auto"/>
        <w:jc w:val="center"/>
        <w:rPr>
          <w:rFonts w:eastAsiaTheme="minorEastAsia"/>
          <w:b/>
          <w:color w:val="000000" w:themeColor="text1"/>
          <w:sz w:val="24"/>
        </w:rPr>
      </w:pPr>
    </w:p>
    <w:p w14:paraId="101F6470" w14:textId="77777777" w:rsidR="00881A82" w:rsidRPr="00473486" w:rsidRDefault="00881A82">
      <w:pPr>
        <w:spacing w:line="360" w:lineRule="auto"/>
        <w:jc w:val="center"/>
        <w:rPr>
          <w:rFonts w:eastAsiaTheme="minorEastAsia"/>
          <w:b/>
          <w:color w:val="000000" w:themeColor="text1"/>
          <w:sz w:val="24"/>
        </w:rPr>
      </w:pPr>
    </w:p>
    <w:p w14:paraId="1F5CC740" w14:textId="77777777" w:rsidR="00881A82" w:rsidRPr="00473486" w:rsidRDefault="00881A82">
      <w:pPr>
        <w:spacing w:line="360" w:lineRule="auto"/>
        <w:jc w:val="center"/>
        <w:rPr>
          <w:rFonts w:eastAsiaTheme="minorEastAsia"/>
          <w:b/>
          <w:color w:val="000000" w:themeColor="text1"/>
          <w:sz w:val="24"/>
        </w:rPr>
      </w:pPr>
    </w:p>
    <w:p w14:paraId="45549C52" w14:textId="77777777" w:rsidR="00881A82" w:rsidRPr="00473486" w:rsidRDefault="00881A82">
      <w:pPr>
        <w:spacing w:line="360" w:lineRule="auto"/>
        <w:jc w:val="center"/>
        <w:rPr>
          <w:rFonts w:eastAsiaTheme="minorEastAsia"/>
          <w:b/>
          <w:color w:val="000000" w:themeColor="text1"/>
          <w:sz w:val="24"/>
        </w:rPr>
      </w:pPr>
    </w:p>
    <w:p w14:paraId="59FDC6DC" w14:textId="77777777" w:rsidR="00881A82" w:rsidRPr="00473486" w:rsidRDefault="00881A82">
      <w:pPr>
        <w:spacing w:line="360" w:lineRule="auto"/>
        <w:jc w:val="center"/>
        <w:rPr>
          <w:rFonts w:eastAsiaTheme="minorEastAsia"/>
          <w:b/>
          <w:color w:val="000000" w:themeColor="text1"/>
          <w:sz w:val="24"/>
        </w:rPr>
      </w:pPr>
    </w:p>
    <w:p w14:paraId="77C2D44A" w14:textId="77777777" w:rsidR="00881A82" w:rsidRPr="00473486" w:rsidRDefault="00881A82">
      <w:pPr>
        <w:spacing w:line="360" w:lineRule="auto"/>
        <w:jc w:val="center"/>
        <w:rPr>
          <w:rFonts w:eastAsiaTheme="minorEastAsia"/>
          <w:b/>
          <w:color w:val="000000" w:themeColor="text1"/>
          <w:sz w:val="24"/>
        </w:rPr>
      </w:pPr>
    </w:p>
    <w:p w14:paraId="08570A15" w14:textId="77777777" w:rsidR="00881A82" w:rsidRPr="00473486" w:rsidRDefault="00881A82">
      <w:pPr>
        <w:spacing w:line="360" w:lineRule="auto"/>
        <w:jc w:val="center"/>
        <w:rPr>
          <w:rFonts w:eastAsiaTheme="minorEastAsia"/>
          <w:b/>
          <w:color w:val="000000" w:themeColor="text1"/>
          <w:sz w:val="24"/>
        </w:rPr>
      </w:pPr>
    </w:p>
    <w:p w14:paraId="0E2A6A06" w14:textId="77777777" w:rsidR="00881A82" w:rsidRPr="00473486" w:rsidRDefault="00881A82">
      <w:pPr>
        <w:spacing w:line="360" w:lineRule="auto"/>
        <w:jc w:val="center"/>
        <w:rPr>
          <w:rFonts w:eastAsiaTheme="minorEastAsia"/>
          <w:b/>
          <w:color w:val="000000" w:themeColor="text1"/>
          <w:sz w:val="24"/>
        </w:rPr>
      </w:pPr>
    </w:p>
    <w:p w14:paraId="0C3229F8" w14:textId="77777777" w:rsidR="00881A82" w:rsidRPr="00473486" w:rsidRDefault="00881A82">
      <w:pPr>
        <w:spacing w:line="360" w:lineRule="auto"/>
        <w:rPr>
          <w:rFonts w:eastAsiaTheme="minorEastAsia"/>
          <w:b/>
          <w:color w:val="000000" w:themeColor="text1"/>
          <w:sz w:val="24"/>
        </w:rPr>
      </w:pPr>
    </w:p>
    <w:p w14:paraId="7B80D500"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18784CE6"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基金托管人：中信建投证券股份有限公司</w:t>
      </w:r>
    </w:p>
    <w:p w14:paraId="5A2ADC9C"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14:paraId="395E2A55"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6C8ADAAA"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5F39928"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基金托管人中信建投证券股份有限公司根据本基金合同规定，于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D474E81"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39B5C78"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A372482"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08082E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4D2B363B"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14D22AE2" w14:textId="77777777">
        <w:tc>
          <w:tcPr>
            <w:tcW w:w="2835" w:type="dxa"/>
            <w:vAlign w:val="center"/>
          </w:tcPr>
          <w:p w14:paraId="0DCC4C8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719FA6E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摩根中证创新药产业</w:t>
            </w:r>
            <w:r w:rsidRPr="00473486">
              <w:rPr>
                <w:rFonts w:eastAsiaTheme="minorEastAsia"/>
                <w:color w:val="000000" w:themeColor="text1"/>
                <w:kern w:val="0"/>
                <w:szCs w:val="21"/>
              </w:rPr>
              <w:t>ETF</w:t>
            </w:r>
          </w:p>
        </w:tc>
      </w:tr>
      <w:tr w:rsidR="00881A82" w:rsidRPr="00473486" w14:paraId="5E851545" w14:textId="77777777">
        <w:tc>
          <w:tcPr>
            <w:tcW w:w="2835" w:type="dxa"/>
            <w:tcBorders>
              <w:top w:val="single" w:sz="4" w:space="0" w:color="auto"/>
              <w:left w:val="single" w:sz="4" w:space="0" w:color="auto"/>
              <w:bottom w:val="single" w:sz="4" w:space="0" w:color="auto"/>
              <w:right w:val="single" w:sz="4" w:space="0" w:color="auto"/>
            </w:tcBorders>
            <w:vAlign w:val="center"/>
          </w:tcPr>
          <w:p w14:paraId="5DC3E07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3E87103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14:paraId="025478EF" w14:textId="77777777">
        <w:tc>
          <w:tcPr>
            <w:tcW w:w="2835" w:type="dxa"/>
            <w:tcBorders>
              <w:top w:val="single" w:sz="4" w:space="0" w:color="auto"/>
              <w:left w:val="single" w:sz="4" w:space="0" w:color="auto"/>
              <w:bottom w:val="single" w:sz="4" w:space="0" w:color="auto"/>
              <w:right w:val="single" w:sz="4" w:space="0" w:color="auto"/>
            </w:tcBorders>
            <w:vAlign w:val="center"/>
          </w:tcPr>
          <w:p w14:paraId="328DE05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07E549F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560900</w:t>
            </w:r>
          </w:p>
        </w:tc>
      </w:tr>
      <w:tr w:rsidR="00881A82" w:rsidRPr="00473486" w14:paraId="799630CE" w14:textId="77777777">
        <w:tc>
          <w:tcPr>
            <w:tcW w:w="2835" w:type="dxa"/>
            <w:vAlign w:val="center"/>
          </w:tcPr>
          <w:p w14:paraId="7DB00C4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65D3635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49DF0481" w14:textId="77777777">
        <w:tc>
          <w:tcPr>
            <w:tcW w:w="2835" w:type="dxa"/>
            <w:vAlign w:val="center"/>
          </w:tcPr>
          <w:p w14:paraId="11DB3DE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22E1C21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w:t>
            </w:r>
          </w:p>
        </w:tc>
      </w:tr>
      <w:tr w:rsidR="00881A82" w:rsidRPr="00473486" w14:paraId="00034E6E" w14:textId="77777777">
        <w:tc>
          <w:tcPr>
            <w:tcW w:w="2835" w:type="dxa"/>
            <w:vAlign w:val="center"/>
          </w:tcPr>
          <w:p w14:paraId="0BBCAC2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6024D4C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236,969,080.00</w:t>
            </w:r>
            <w:r w:rsidRPr="00473486">
              <w:rPr>
                <w:rFonts w:eastAsiaTheme="minorEastAsia"/>
                <w:color w:val="000000" w:themeColor="text1"/>
                <w:kern w:val="0"/>
                <w:szCs w:val="21"/>
              </w:rPr>
              <w:t>份</w:t>
            </w:r>
          </w:p>
        </w:tc>
      </w:tr>
      <w:tr w:rsidR="00881A82" w:rsidRPr="00473486" w14:paraId="2F27C1AF" w14:textId="77777777">
        <w:tc>
          <w:tcPr>
            <w:tcW w:w="2835" w:type="dxa"/>
            <w:vAlign w:val="center"/>
          </w:tcPr>
          <w:p w14:paraId="19E482A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6E75902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14:paraId="0E8513EC" w14:textId="77777777">
        <w:tc>
          <w:tcPr>
            <w:tcW w:w="2835" w:type="dxa"/>
            <w:vAlign w:val="center"/>
          </w:tcPr>
          <w:p w14:paraId="233E178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2019CF1E"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92B7E67"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349CFA5A"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053D2CBC"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16E9DA34"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w:t>
            </w:r>
            <w:r>
              <w:rPr>
                <w:rFonts w:eastAsiaTheme="minorEastAsia"/>
                <w:color w:val="000000" w:themeColor="text1"/>
                <w:kern w:val="0"/>
                <w:szCs w:val="21"/>
              </w:rPr>
              <w:t>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2464AF52"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45A699A1"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2360A236"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w:t>
            </w:r>
            <w:r>
              <w:rPr>
                <w:rFonts w:eastAsiaTheme="minorEastAsia"/>
                <w:color w:val="000000" w:themeColor="text1"/>
                <w:kern w:val="0"/>
                <w:szCs w:val="21"/>
              </w:rPr>
              <w:t>指数成份股的调整进行相应的跟踪调整。指数调整方案公布后，本基金将及时对现有组合的构成进行相应的调整，若成份股的集中调整短期内会对跟踪误差产生较大影响，将采用逐步调整的方式。</w:t>
            </w:r>
          </w:p>
          <w:p w14:paraId="4D3BBA99"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07725647"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48649B56"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56A81F43"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w:t>
            </w:r>
            <w:r>
              <w:rPr>
                <w:rFonts w:eastAsiaTheme="minorEastAsia"/>
                <w:color w:val="000000" w:themeColor="text1"/>
                <w:kern w:val="0"/>
                <w:szCs w:val="21"/>
              </w:rPr>
              <w:t>组合进行调</w:t>
            </w:r>
            <w:r>
              <w:rPr>
                <w:rFonts w:eastAsiaTheme="minorEastAsia"/>
                <w:color w:val="000000" w:themeColor="text1"/>
                <w:kern w:val="0"/>
                <w:szCs w:val="21"/>
              </w:rPr>
              <w:lastRenderedPageBreak/>
              <w:t>整，保证基金正常运行，从而有效跟踪标的指数。</w:t>
            </w:r>
          </w:p>
          <w:p w14:paraId="0AC43232" w14:textId="77777777" w:rsidR="0012177B" w:rsidRDefault="00E225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23C66E6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w:t>
            </w:r>
          </w:p>
        </w:tc>
      </w:tr>
      <w:tr w:rsidR="00881A82" w:rsidRPr="00473486" w14:paraId="43B66DD6" w14:textId="77777777">
        <w:tc>
          <w:tcPr>
            <w:tcW w:w="2835" w:type="dxa"/>
            <w:vAlign w:val="center"/>
          </w:tcPr>
          <w:p w14:paraId="2259FD4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7157787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本基金的业绩比较基准为标的指数，即中证创新药产业指数收益率。本基金标的指数变更的，相应更换基金名称和业绩比较基准，并在履行适当程序后及时公告。</w:t>
            </w:r>
          </w:p>
        </w:tc>
      </w:tr>
      <w:tr w:rsidR="00881A82" w:rsidRPr="00473486" w14:paraId="51129686" w14:textId="77777777">
        <w:tc>
          <w:tcPr>
            <w:tcW w:w="2835" w:type="dxa"/>
            <w:vAlign w:val="center"/>
          </w:tcPr>
          <w:p w14:paraId="48A0928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5321C1B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07E6BB8C" w14:textId="77777777">
        <w:tc>
          <w:tcPr>
            <w:tcW w:w="2835" w:type="dxa"/>
            <w:vAlign w:val="center"/>
          </w:tcPr>
          <w:p w14:paraId="5125803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26B4F9F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6127D487" w14:textId="77777777">
        <w:tc>
          <w:tcPr>
            <w:tcW w:w="2835" w:type="dxa"/>
            <w:vAlign w:val="center"/>
          </w:tcPr>
          <w:p w14:paraId="39B5A78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08E8AC5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中信建投证券股份有限公司</w:t>
            </w:r>
          </w:p>
        </w:tc>
      </w:tr>
    </w:tbl>
    <w:p w14:paraId="501119DB"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3B19C61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66D150E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2256A" w:rsidRPr="00473486" w14:paraId="24D39DD1" w14:textId="77777777" w:rsidTr="00E2256A">
        <w:tc>
          <w:tcPr>
            <w:tcW w:w="3402" w:type="dxa"/>
            <w:vAlign w:val="center"/>
          </w:tcPr>
          <w:p w14:paraId="07195AA7"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72B77D00"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04435C05"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E2256A" w:rsidRPr="00473486" w14:paraId="1E08B60C" w14:textId="77777777" w:rsidTr="00E2256A">
        <w:tc>
          <w:tcPr>
            <w:tcW w:w="3402" w:type="dxa"/>
            <w:vAlign w:val="center"/>
          </w:tcPr>
          <w:p w14:paraId="655A2FD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4FE95D69"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-10,136,757.67</w:t>
            </w:r>
          </w:p>
        </w:tc>
      </w:tr>
      <w:tr w:rsidR="00E2256A" w:rsidRPr="00473486" w14:paraId="6C94688F" w14:textId="77777777" w:rsidTr="00E2256A">
        <w:tc>
          <w:tcPr>
            <w:tcW w:w="3402" w:type="dxa"/>
            <w:vAlign w:val="center"/>
          </w:tcPr>
          <w:p w14:paraId="4F3CB85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67797EA1"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37,067,232.05</w:t>
            </w:r>
          </w:p>
        </w:tc>
      </w:tr>
      <w:tr w:rsidR="00E2256A" w:rsidRPr="00473486" w14:paraId="7991B2A0" w14:textId="77777777" w:rsidTr="00E2256A">
        <w:tc>
          <w:tcPr>
            <w:tcW w:w="3402" w:type="dxa"/>
            <w:vAlign w:val="center"/>
          </w:tcPr>
          <w:p w14:paraId="147C150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773FC113"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0.1575</w:t>
            </w:r>
          </w:p>
        </w:tc>
      </w:tr>
      <w:tr w:rsidR="00E2256A" w:rsidRPr="00473486" w14:paraId="6DE7AB87" w14:textId="77777777" w:rsidTr="00E2256A">
        <w:tc>
          <w:tcPr>
            <w:tcW w:w="3402" w:type="dxa"/>
            <w:vAlign w:val="center"/>
          </w:tcPr>
          <w:p w14:paraId="657EACA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47B20DF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193,327,398.64</w:t>
            </w:r>
          </w:p>
        </w:tc>
      </w:tr>
      <w:tr w:rsidR="00E2256A" w:rsidRPr="00473486" w14:paraId="6201EEF0" w14:textId="77777777" w:rsidTr="00E2256A">
        <w:trPr>
          <w:trHeight w:val="158"/>
        </w:trPr>
        <w:tc>
          <w:tcPr>
            <w:tcW w:w="3402" w:type="dxa"/>
            <w:vAlign w:val="center"/>
          </w:tcPr>
          <w:p w14:paraId="6BAC45A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4AF8781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0.8158</w:t>
            </w:r>
          </w:p>
        </w:tc>
      </w:tr>
    </w:tbl>
    <w:p w14:paraId="7F38648B" w14:textId="77777777" w:rsidR="0012177B" w:rsidRDefault="00E2256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176364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F0C754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3BFC86A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61C593C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05D33973" w14:textId="77777777">
        <w:tc>
          <w:tcPr>
            <w:tcW w:w="1395" w:type="dxa"/>
            <w:vAlign w:val="center"/>
          </w:tcPr>
          <w:p w14:paraId="73C3D39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3A9A64C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50194DC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75C8E40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36E1484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7B9F5E6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2BF58A9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12177B" w14:paraId="6E09B1A1" w14:textId="77777777">
        <w:tc>
          <w:tcPr>
            <w:tcW w:w="1395" w:type="dxa"/>
            <w:vAlign w:val="center"/>
          </w:tcPr>
          <w:p w14:paraId="134F9BCA" w14:textId="77777777" w:rsidR="0012177B" w:rsidRDefault="00E2256A">
            <w:pPr>
              <w:jc w:val="left"/>
            </w:pPr>
            <w:r>
              <w:rPr>
                <w:rFonts w:eastAsiaTheme="minorEastAsia"/>
                <w:color w:val="000000" w:themeColor="text1"/>
                <w:szCs w:val="21"/>
              </w:rPr>
              <w:t>过去三个月</w:t>
            </w:r>
          </w:p>
        </w:tc>
        <w:tc>
          <w:tcPr>
            <w:tcW w:w="1092" w:type="dxa"/>
            <w:vAlign w:val="center"/>
          </w:tcPr>
          <w:p w14:paraId="701851E5" w14:textId="77777777" w:rsidR="0012177B" w:rsidRDefault="00E2256A">
            <w:pPr>
              <w:jc w:val="center"/>
            </w:pPr>
            <w:r>
              <w:rPr>
                <w:rFonts w:eastAsiaTheme="minorEastAsia"/>
                <w:color w:val="000000" w:themeColor="text1"/>
                <w:szCs w:val="21"/>
              </w:rPr>
              <w:t>23.79%</w:t>
            </w:r>
          </w:p>
        </w:tc>
        <w:tc>
          <w:tcPr>
            <w:tcW w:w="1161" w:type="dxa"/>
            <w:vAlign w:val="center"/>
          </w:tcPr>
          <w:p w14:paraId="700AC343" w14:textId="77777777" w:rsidR="0012177B" w:rsidRDefault="00E2256A">
            <w:pPr>
              <w:jc w:val="center"/>
            </w:pPr>
            <w:r>
              <w:rPr>
                <w:rFonts w:eastAsiaTheme="minorEastAsia"/>
                <w:color w:val="000000" w:themeColor="text1"/>
                <w:szCs w:val="21"/>
              </w:rPr>
              <w:t>2.20%</w:t>
            </w:r>
          </w:p>
        </w:tc>
        <w:tc>
          <w:tcPr>
            <w:tcW w:w="1181" w:type="dxa"/>
            <w:vAlign w:val="center"/>
          </w:tcPr>
          <w:p w14:paraId="67F1D1F4" w14:textId="77777777" w:rsidR="0012177B" w:rsidRDefault="00E2256A">
            <w:pPr>
              <w:jc w:val="center"/>
            </w:pPr>
            <w:r>
              <w:rPr>
                <w:rFonts w:eastAsiaTheme="minorEastAsia"/>
                <w:color w:val="000000" w:themeColor="text1"/>
                <w:szCs w:val="21"/>
              </w:rPr>
              <w:t>23.27%</w:t>
            </w:r>
          </w:p>
        </w:tc>
        <w:tc>
          <w:tcPr>
            <w:tcW w:w="1188" w:type="dxa"/>
            <w:vAlign w:val="center"/>
          </w:tcPr>
          <w:p w14:paraId="43107E25" w14:textId="77777777" w:rsidR="0012177B" w:rsidRDefault="00E2256A">
            <w:pPr>
              <w:jc w:val="center"/>
            </w:pPr>
            <w:r>
              <w:rPr>
                <w:rFonts w:eastAsiaTheme="minorEastAsia"/>
                <w:color w:val="000000" w:themeColor="text1"/>
                <w:szCs w:val="21"/>
              </w:rPr>
              <w:t>2.20%</w:t>
            </w:r>
          </w:p>
        </w:tc>
        <w:tc>
          <w:tcPr>
            <w:tcW w:w="1199" w:type="dxa"/>
            <w:vAlign w:val="center"/>
          </w:tcPr>
          <w:p w14:paraId="6AC4189F" w14:textId="77777777" w:rsidR="0012177B" w:rsidRDefault="00E2256A">
            <w:pPr>
              <w:jc w:val="center"/>
            </w:pPr>
            <w:r>
              <w:rPr>
                <w:rFonts w:eastAsiaTheme="minorEastAsia"/>
                <w:color w:val="000000" w:themeColor="text1"/>
                <w:szCs w:val="21"/>
              </w:rPr>
              <w:t>0.52%</w:t>
            </w:r>
          </w:p>
        </w:tc>
        <w:tc>
          <w:tcPr>
            <w:tcW w:w="1204" w:type="dxa"/>
            <w:vAlign w:val="center"/>
          </w:tcPr>
          <w:p w14:paraId="7FF17B07" w14:textId="77777777" w:rsidR="0012177B" w:rsidRDefault="00E2256A">
            <w:pPr>
              <w:jc w:val="center"/>
            </w:pPr>
            <w:r>
              <w:rPr>
                <w:rFonts w:eastAsiaTheme="minorEastAsia"/>
                <w:color w:val="000000" w:themeColor="text1"/>
                <w:szCs w:val="21"/>
              </w:rPr>
              <w:t>0.00%</w:t>
            </w:r>
          </w:p>
        </w:tc>
      </w:tr>
      <w:tr w:rsidR="0012177B" w14:paraId="611190FE" w14:textId="77777777">
        <w:tc>
          <w:tcPr>
            <w:tcW w:w="1395" w:type="dxa"/>
            <w:vAlign w:val="center"/>
          </w:tcPr>
          <w:p w14:paraId="04F05186" w14:textId="77777777" w:rsidR="0012177B" w:rsidRDefault="00E2256A">
            <w:pPr>
              <w:jc w:val="left"/>
            </w:pPr>
            <w:r>
              <w:rPr>
                <w:rFonts w:eastAsiaTheme="minorEastAsia"/>
                <w:color w:val="000000" w:themeColor="text1"/>
                <w:szCs w:val="21"/>
              </w:rPr>
              <w:t>过去六个月</w:t>
            </w:r>
          </w:p>
        </w:tc>
        <w:tc>
          <w:tcPr>
            <w:tcW w:w="1092" w:type="dxa"/>
            <w:vAlign w:val="center"/>
          </w:tcPr>
          <w:p w14:paraId="127421AD" w14:textId="77777777" w:rsidR="0012177B" w:rsidRDefault="00E2256A">
            <w:pPr>
              <w:jc w:val="center"/>
            </w:pPr>
            <w:r>
              <w:rPr>
                <w:rFonts w:eastAsiaTheme="minorEastAsia"/>
                <w:color w:val="000000" w:themeColor="text1"/>
                <w:szCs w:val="21"/>
              </w:rPr>
              <w:t>8.98%</w:t>
            </w:r>
          </w:p>
        </w:tc>
        <w:tc>
          <w:tcPr>
            <w:tcW w:w="1161" w:type="dxa"/>
            <w:vAlign w:val="center"/>
          </w:tcPr>
          <w:p w14:paraId="0C3CB2D5" w14:textId="77777777" w:rsidR="0012177B" w:rsidRDefault="00E2256A">
            <w:pPr>
              <w:jc w:val="center"/>
            </w:pPr>
            <w:r>
              <w:rPr>
                <w:rFonts w:eastAsiaTheme="minorEastAsia"/>
                <w:color w:val="000000" w:themeColor="text1"/>
                <w:szCs w:val="21"/>
              </w:rPr>
              <w:t>1.83%</w:t>
            </w:r>
          </w:p>
        </w:tc>
        <w:tc>
          <w:tcPr>
            <w:tcW w:w="1181" w:type="dxa"/>
            <w:vAlign w:val="center"/>
          </w:tcPr>
          <w:p w14:paraId="0FA545B6" w14:textId="77777777" w:rsidR="0012177B" w:rsidRDefault="00E2256A">
            <w:pPr>
              <w:jc w:val="center"/>
            </w:pPr>
            <w:r>
              <w:rPr>
                <w:rFonts w:eastAsiaTheme="minorEastAsia"/>
                <w:color w:val="000000" w:themeColor="text1"/>
                <w:szCs w:val="21"/>
              </w:rPr>
              <w:t>7.70%</w:t>
            </w:r>
          </w:p>
        </w:tc>
        <w:tc>
          <w:tcPr>
            <w:tcW w:w="1188" w:type="dxa"/>
            <w:vAlign w:val="center"/>
          </w:tcPr>
          <w:p w14:paraId="527010A9" w14:textId="77777777" w:rsidR="0012177B" w:rsidRDefault="00E2256A">
            <w:pPr>
              <w:jc w:val="center"/>
            </w:pPr>
            <w:r>
              <w:rPr>
                <w:rFonts w:eastAsiaTheme="minorEastAsia"/>
                <w:color w:val="000000" w:themeColor="text1"/>
                <w:szCs w:val="21"/>
              </w:rPr>
              <w:t>1.83%</w:t>
            </w:r>
          </w:p>
        </w:tc>
        <w:tc>
          <w:tcPr>
            <w:tcW w:w="1199" w:type="dxa"/>
            <w:vAlign w:val="center"/>
          </w:tcPr>
          <w:p w14:paraId="303C106B" w14:textId="77777777" w:rsidR="0012177B" w:rsidRDefault="00E2256A">
            <w:pPr>
              <w:jc w:val="center"/>
            </w:pPr>
            <w:r>
              <w:rPr>
                <w:rFonts w:eastAsiaTheme="minorEastAsia"/>
                <w:color w:val="000000" w:themeColor="text1"/>
                <w:szCs w:val="21"/>
              </w:rPr>
              <w:t>1.28%</w:t>
            </w:r>
          </w:p>
        </w:tc>
        <w:tc>
          <w:tcPr>
            <w:tcW w:w="1204" w:type="dxa"/>
            <w:vAlign w:val="center"/>
          </w:tcPr>
          <w:p w14:paraId="0B4E975D" w14:textId="77777777" w:rsidR="0012177B" w:rsidRDefault="00E2256A">
            <w:pPr>
              <w:jc w:val="center"/>
            </w:pPr>
            <w:r>
              <w:rPr>
                <w:rFonts w:eastAsiaTheme="minorEastAsia"/>
                <w:color w:val="000000" w:themeColor="text1"/>
                <w:szCs w:val="21"/>
              </w:rPr>
              <w:t>0.00%</w:t>
            </w:r>
          </w:p>
        </w:tc>
      </w:tr>
      <w:tr w:rsidR="0012177B" w14:paraId="51FD60ED" w14:textId="77777777">
        <w:tc>
          <w:tcPr>
            <w:tcW w:w="1395" w:type="dxa"/>
            <w:vAlign w:val="center"/>
          </w:tcPr>
          <w:p w14:paraId="79F441AD" w14:textId="77777777" w:rsidR="0012177B" w:rsidRDefault="00E2256A">
            <w:pPr>
              <w:jc w:val="left"/>
            </w:pPr>
            <w:r>
              <w:rPr>
                <w:rFonts w:eastAsiaTheme="minorEastAsia"/>
                <w:color w:val="000000" w:themeColor="text1"/>
                <w:szCs w:val="21"/>
              </w:rPr>
              <w:t>过去一年</w:t>
            </w:r>
          </w:p>
        </w:tc>
        <w:tc>
          <w:tcPr>
            <w:tcW w:w="1092" w:type="dxa"/>
            <w:vAlign w:val="center"/>
          </w:tcPr>
          <w:p w14:paraId="2A888F26" w14:textId="77777777" w:rsidR="0012177B" w:rsidRDefault="00E2256A">
            <w:pPr>
              <w:jc w:val="center"/>
            </w:pPr>
            <w:r>
              <w:rPr>
                <w:rFonts w:eastAsiaTheme="minorEastAsia"/>
                <w:color w:val="000000" w:themeColor="text1"/>
                <w:szCs w:val="21"/>
              </w:rPr>
              <w:t>-10.11%</w:t>
            </w:r>
          </w:p>
        </w:tc>
        <w:tc>
          <w:tcPr>
            <w:tcW w:w="1161" w:type="dxa"/>
            <w:vAlign w:val="center"/>
          </w:tcPr>
          <w:p w14:paraId="53E85DAD" w14:textId="77777777" w:rsidR="0012177B" w:rsidRDefault="00E2256A">
            <w:pPr>
              <w:jc w:val="center"/>
            </w:pPr>
            <w:r>
              <w:rPr>
                <w:rFonts w:eastAsiaTheme="minorEastAsia"/>
                <w:color w:val="000000" w:themeColor="text1"/>
                <w:szCs w:val="21"/>
              </w:rPr>
              <w:t>1.84%</w:t>
            </w:r>
          </w:p>
        </w:tc>
        <w:tc>
          <w:tcPr>
            <w:tcW w:w="1181" w:type="dxa"/>
            <w:vAlign w:val="center"/>
          </w:tcPr>
          <w:p w14:paraId="145E8A85" w14:textId="77777777" w:rsidR="0012177B" w:rsidRDefault="00E2256A">
            <w:pPr>
              <w:jc w:val="center"/>
            </w:pPr>
            <w:r>
              <w:rPr>
                <w:rFonts w:eastAsiaTheme="minorEastAsia"/>
                <w:color w:val="000000" w:themeColor="text1"/>
                <w:szCs w:val="21"/>
              </w:rPr>
              <w:t>-10.98%</w:t>
            </w:r>
          </w:p>
        </w:tc>
        <w:tc>
          <w:tcPr>
            <w:tcW w:w="1188" w:type="dxa"/>
            <w:vAlign w:val="center"/>
          </w:tcPr>
          <w:p w14:paraId="09F4CD89" w14:textId="77777777" w:rsidR="0012177B" w:rsidRDefault="00E2256A">
            <w:pPr>
              <w:jc w:val="center"/>
            </w:pPr>
            <w:r>
              <w:rPr>
                <w:rFonts w:eastAsiaTheme="minorEastAsia"/>
                <w:color w:val="000000" w:themeColor="text1"/>
                <w:szCs w:val="21"/>
              </w:rPr>
              <w:t>1.84%</w:t>
            </w:r>
          </w:p>
        </w:tc>
        <w:tc>
          <w:tcPr>
            <w:tcW w:w="1199" w:type="dxa"/>
            <w:vAlign w:val="center"/>
          </w:tcPr>
          <w:p w14:paraId="0F7DC39C" w14:textId="77777777" w:rsidR="0012177B" w:rsidRDefault="00E2256A">
            <w:pPr>
              <w:jc w:val="center"/>
            </w:pPr>
            <w:r>
              <w:rPr>
                <w:rFonts w:eastAsiaTheme="minorEastAsia"/>
                <w:color w:val="000000" w:themeColor="text1"/>
                <w:szCs w:val="21"/>
              </w:rPr>
              <w:t>0.87%</w:t>
            </w:r>
          </w:p>
        </w:tc>
        <w:tc>
          <w:tcPr>
            <w:tcW w:w="1204" w:type="dxa"/>
            <w:vAlign w:val="center"/>
          </w:tcPr>
          <w:p w14:paraId="66C5EC0B" w14:textId="77777777" w:rsidR="0012177B" w:rsidRDefault="00E2256A">
            <w:pPr>
              <w:jc w:val="center"/>
            </w:pPr>
            <w:r>
              <w:rPr>
                <w:rFonts w:eastAsiaTheme="minorEastAsia"/>
                <w:color w:val="000000" w:themeColor="text1"/>
                <w:szCs w:val="21"/>
              </w:rPr>
              <w:t>0.00%</w:t>
            </w:r>
          </w:p>
        </w:tc>
      </w:tr>
      <w:tr w:rsidR="0012177B" w14:paraId="5A064CBD" w14:textId="77777777">
        <w:tc>
          <w:tcPr>
            <w:tcW w:w="1395" w:type="dxa"/>
            <w:vAlign w:val="center"/>
          </w:tcPr>
          <w:p w14:paraId="007C3267" w14:textId="77777777" w:rsidR="0012177B" w:rsidRDefault="00E2256A">
            <w:pPr>
              <w:jc w:val="left"/>
            </w:pPr>
            <w:r>
              <w:rPr>
                <w:rFonts w:eastAsiaTheme="minorEastAsia"/>
                <w:color w:val="000000" w:themeColor="text1"/>
                <w:szCs w:val="21"/>
              </w:rPr>
              <w:t>过去三年</w:t>
            </w:r>
          </w:p>
        </w:tc>
        <w:tc>
          <w:tcPr>
            <w:tcW w:w="1092" w:type="dxa"/>
            <w:vAlign w:val="center"/>
          </w:tcPr>
          <w:p w14:paraId="37A645C7" w14:textId="77777777" w:rsidR="0012177B" w:rsidRDefault="00E2256A">
            <w:pPr>
              <w:jc w:val="center"/>
            </w:pPr>
            <w:r>
              <w:rPr>
                <w:rFonts w:eastAsiaTheme="minorEastAsia"/>
                <w:color w:val="000000" w:themeColor="text1"/>
                <w:szCs w:val="21"/>
              </w:rPr>
              <w:t>-</w:t>
            </w:r>
          </w:p>
        </w:tc>
        <w:tc>
          <w:tcPr>
            <w:tcW w:w="1161" w:type="dxa"/>
            <w:vAlign w:val="center"/>
          </w:tcPr>
          <w:p w14:paraId="00CFAB28" w14:textId="77777777" w:rsidR="0012177B" w:rsidRDefault="00E2256A">
            <w:pPr>
              <w:jc w:val="center"/>
            </w:pPr>
            <w:r>
              <w:rPr>
                <w:rFonts w:eastAsiaTheme="minorEastAsia"/>
                <w:color w:val="000000" w:themeColor="text1"/>
                <w:szCs w:val="21"/>
              </w:rPr>
              <w:t>-</w:t>
            </w:r>
          </w:p>
        </w:tc>
        <w:tc>
          <w:tcPr>
            <w:tcW w:w="1181" w:type="dxa"/>
            <w:vAlign w:val="center"/>
          </w:tcPr>
          <w:p w14:paraId="39E5BD87" w14:textId="77777777" w:rsidR="0012177B" w:rsidRDefault="00E2256A">
            <w:pPr>
              <w:jc w:val="center"/>
            </w:pPr>
            <w:r>
              <w:rPr>
                <w:rFonts w:eastAsiaTheme="minorEastAsia"/>
                <w:color w:val="000000" w:themeColor="text1"/>
                <w:szCs w:val="21"/>
              </w:rPr>
              <w:t>-</w:t>
            </w:r>
          </w:p>
        </w:tc>
        <w:tc>
          <w:tcPr>
            <w:tcW w:w="1188" w:type="dxa"/>
            <w:vAlign w:val="center"/>
          </w:tcPr>
          <w:p w14:paraId="3DA4AD06" w14:textId="77777777" w:rsidR="0012177B" w:rsidRDefault="00E2256A">
            <w:pPr>
              <w:jc w:val="center"/>
            </w:pPr>
            <w:r>
              <w:rPr>
                <w:rFonts w:eastAsiaTheme="minorEastAsia"/>
                <w:color w:val="000000" w:themeColor="text1"/>
                <w:szCs w:val="21"/>
              </w:rPr>
              <w:t>-</w:t>
            </w:r>
          </w:p>
        </w:tc>
        <w:tc>
          <w:tcPr>
            <w:tcW w:w="1199" w:type="dxa"/>
            <w:vAlign w:val="center"/>
          </w:tcPr>
          <w:p w14:paraId="718EA155" w14:textId="77777777" w:rsidR="0012177B" w:rsidRDefault="00E2256A">
            <w:pPr>
              <w:jc w:val="center"/>
            </w:pPr>
            <w:r>
              <w:rPr>
                <w:rFonts w:eastAsiaTheme="minorEastAsia"/>
                <w:color w:val="000000" w:themeColor="text1"/>
                <w:szCs w:val="21"/>
              </w:rPr>
              <w:t>-</w:t>
            </w:r>
          </w:p>
        </w:tc>
        <w:tc>
          <w:tcPr>
            <w:tcW w:w="1204" w:type="dxa"/>
            <w:vAlign w:val="center"/>
          </w:tcPr>
          <w:p w14:paraId="07D03823" w14:textId="77777777" w:rsidR="0012177B" w:rsidRDefault="00E2256A">
            <w:pPr>
              <w:jc w:val="center"/>
            </w:pPr>
            <w:r>
              <w:rPr>
                <w:rFonts w:eastAsiaTheme="minorEastAsia"/>
                <w:color w:val="000000" w:themeColor="text1"/>
                <w:szCs w:val="21"/>
              </w:rPr>
              <w:t>-</w:t>
            </w:r>
          </w:p>
        </w:tc>
      </w:tr>
      <w:tr w:rsidR="0012177B" w14:paraId="50F84A5E" w14:textId="77777777">
        <w:tc>
          <w:tcPr>
            <w:tcW w:w="1395" w:type="dxa"/>
            <w:vAlign w:val="center"/>
          </w:tcPr>
          <w:p w14:paraId="3EBAC713" w14:textId="77777777" w:rsidR="0012177B" w:rsidRDefault="00E2256A">
            <w:pPr>
              <w:jc w:val="left"/>
            </w:pPr>
            <w:r>
              <w:rPr>
                <w:rFonts w:eastAsiaTheme="minorEastAsia"/>
                <w:color w:val="000000" w:themeColor="text1"/>
                <w:szCs w:val="21"/>
              </w:rPr>
              <w:t>过去五年</w:t>
            </w:r>
          </w:p>
        </w:tc>
        <w:tc>
          <w:tcPr>
            <w:tcW w:w="1092" w:type="dxa"/>
            <w:vAlign w:val="center"/>
          </w:tcPr>
          <w:p w14:paraId="1E740AA2" w14:textId="77777777" w:rsidR="0012177B" w:rsidRDefault="00E2256A">
            <w:pPr>
              <w:jc w:val="center"/>
            </w:pPr>
            <w:r>
              <w:rPr>
                <w:rFonts w:eastAsiaTheme="minorEastAsia"/>
                <w:color w:val="000000" w:themeColor="text1"/>
                <w:szCs w:val="21"/>
              </w:rPr>
              <w:t>-</w:t>
            </w:r>
          </w:p>
        </w:tc>
        <w:tc>
          <w:tcPr>
            <w:tcW w:w="1161" w:type="dxa"/>
            <w:vAlign w:val="center"/>
          </w:tcPr>
          <w:p w14:paraId="64C89D73" w14:textId="77777777" w:rsidR="0012177B" w:rsidRDefault="00E2256A">
            <w:pPr>
              <w:jc w:val="center"/>
            </w:pPr>
            <w:r>
              <w:rPr>
                <w:rFonts w:eastAsiaTheme="minorEastAsia"/>
                <w:color w:val="000000" w:themeColor="text1"/>
                <w:szCs w:val="21"/>
              </w:rPr>
              <w:t>-</w:t>
            </w:r>
          </w:p>
        </w:tc>
        <w:tc>
          <w:tcPr>
            <w:tcW w:w="1181" w:type="dxa"/>
            <w:vAlign w:val="center"/>
          </w:tcPr>
          <w:p w14:paraId="7F4D323E" w14:textId="77777777" w:rsidR="0012177B" w:rsidRDefault="00E2256A">
            <w:pPr>
              <w:jc w:val="center"/>
            </w:pPr>
            <w:r>
              <w:rPr>
                <w:rFonts w:eastAsiaTheme="minorEastAsia"/>
                <w:color w:val="000000" w:themeColor="text1"/>
                <w:szCs w:val="21"/>
              </w:rPr>
              <w:t>-</w:t>
            </w:r>
          </w:p>
        </w:tc>
        <w:tc>
          <w:tcPr>
            <w:tcW w:w="1188" w:type="dxa"/>
            <w:vAlign w:val="center"/>
          </w:tcPr>
          <w:p w14:paraId="4F8D8330" w14:textId="77777777" w:rsidR="0012177B" w:rsidRDefault="00E2256A">
            <w:pPr>
              <w:jc w:val="center"/>
            </w:pPr>
            <w:r>
              <w:rPr>
                <w:rFonts w:eastAsiaTheme="minorEastAsia"/>
                <w:color w:val="000000" w:themeColor="text1"/>
                <w:szCs w:val="21"/>
              </w:rPr>
              <w:t>-</w:t>
            </w:r>
          </w:p>
        </w:tc>
        <w:tc>
          <w:tcPr>
            <w:tcW w:w="1199" w:type="dxa"/>
            <w:vAlign w:val="center"/>
          </w:tcPr>
          <w:p w14:paraId="02EE9C49" w14:textId="77777777" w:rsidR="0012177B" w:rsidRDefault="00E2256A">
            <w:pPr>
              <w:jc w:val="center"/>
            </w:pPr>
            <w:r>
              <w:rPr>
                <w:rFonts w:eastAsiaTheme="minorEastAsia"/>
                <w:color w:val="000000" w:themeColor="text1"/>
                <w:szCs w:val="21"/>
              </w:rPr>
              <w:t>-</w:t>
            </w:r>
          </w:p>
        </w:tc>
        <w:tc>
          <w:tcPr>
            <w:tcW w:w="1204" w:type="dxa"/>
            <w:vAlign w:val="center"/>
          </w:tcPr>
          <w:p w14:paraId="16EE59D0" w14:textId="77777777" w:rsidR="0012177B" w:rsidRDefault="00E2256A">
            <w:pPr>
              <w:jc w:val="center"/>
            </w:pPr>
            <w:r>
              <w:rPr>
                <w:rFonts w:eastAsiaTheme="minorEastAsia"/>
                <w:color w:val="000000" w:themeColor="text1"/>
                <w:szCs w:val="21"/>
              </w:rPr>
              <w:t>-</w:t>
            </w:r>
          </w:p>
        </w:tc>
      </w:tr>
      <w:tr w:rsidR="0012177B" w14:paraId="7375CDDB" w14:textId="77777777">
        <w:tc>
          <w:tcPr>
            <w:tcW w:w="1395" w:type="dxa"/>
            <w:vAlign w:val="center"/>
          </w:tcPr>
          <w:p w14:paraId="6049E5C4" w14:textId="77777777" w:rsidR="0012177B" w:rsidRDefault="00E2256A">
            <w:pPr>
              <w:jc w:val="left"/>
            </w:pPr>
            <w:r>
              <w:rPr>
                <w:rFonts w:eastAsiaTheme="minorEastAsia"/>
                <w:color w:val="000000" w:themeColor="text1"/>
                <w:szCs w:val="21"/>
              </w:rPr>
              <w:t>自基金合同生效起至今</w:t>
            </w:r>
          </w:p>
        </w:tc>
        <w:tc>
          <w:tcPr>
            <w:tcW w:w="1092" w:type="dxa"/>
            <w:vAlign w:val="center"/>
          </w:tcPr>
          <w:p w14:paraId="0E008671" w14:textId="77777777" w:rsidR="0012177B" w:rsidRDefault="00E2256A">
            <w:pPr>
              <w:jc w:val="center"/>
            </w:pPr>
            <w:r>
              <w:rPr>
                <w:rFonts w:eastAsiaTheme="minorEastAsia"/>
                <w:color w:val="000000" w:themeColor="text1"/>
                <w:szCs w:val="21"/>
              </w:rPr>
              <w:t>-18.42%</w:t>
            </w:r>
          </w:p>
        </w:tc>
        <w:tc>
          <w:tcPr>
            <w:tcW w:w="1161" w:type="dxa"/>
            <w:vAlign w:val="center"/>
          </w:tcPr>
          <w:p w14:paraId="453268A7" w14:textId="77777777" w:rsidR="0012177B" w:rsidRDefault="00E2256A">
            <w:pPr>
              <w:jc w:val="center"/>
            </w:pPr>
            <w:r>
              <w:rPr>
                <w:rFonts w:eastAsiaTheme="minorEastAsia"/>
                <w:color w:val="000000" w:themeColor="text1"/>
                <w:szCs w:val="21"/>
              </w:rPr>
              <w:t>1.67%</w:t>
            </w:r>
          </w:p>
        </w:tc>
        <w:tc>
          <w:tcPr>
            <w:tcW w:w="1181" w:type="dxa"/>
            <w:vAlign w:val="center"/>
          </w:tcPr>
          <w:p w14:paraId="39E5B313" w14:textId="77777777" w:rsidR="0012177B" w:rsidRDefault="00E2256A">
            <w:pPr>
              <w:jc w:val="center"/>
            </w:pPr>
            <w:r>
              <w:rPr>
                <w:rFonts w:eastAsiaTheme="minorEastAsia"/>
                <w:color w:val="000000" w:themeColor="text1"/>
                <w:szCs w:val="21"/>
              </w:rPr>
              <w:t>-20.54%</w:t>
            </w:r>
          </w:p>
        </w:tc>
        <w:tc>
          <w:tcPr>
            <w:tcW w:w="1188" w:type="dxa"/>
            <w:vAlign w:val="center"/>
          </w:tcPr>
          <w:p w14:paraId="3C13A2AA" w14:textId="77777777" w:rsidR="0012177B" w:rsidRDefault="00E2256A">
            <w:pPr>
              <w:jc w:val="center"/>
            </w:pPr>
            <w:r>
              <w:rPr>
                <w:rFonts w:eastAsiaTheme="minorEastAsia"/>
                <w:color w:val="000000" w:themeColor="text1"/>
                <w:szCs w:val="21"/>
              </w:rPr>
              <w:t>1.72%</w:t>
            </w:r>
          </w:p>
        </w:tc>
        <w:tc>
          <w:tcPr>
            <w:tcW w:w="1199" w:type="dxa"/>
            <w:vAlign w:val="center"/>
          </w:tcPr>
          <w:p w14:paraId="58542787" w14:textId="77777777" w:rsidR="0012177B" w:rsidRDefault="00E2256A">
            <w:pPr>
              <w:jc w:val="center"/>
            </w:pPr>
            <w:r>
              <w:rPr>
                <w:rFonts w:eastAsiaTheme="minorEastAsia"/>
                <w:color w:val="000000" w:themeColor="text1"/>
                <w:szCs w:val="21"/>
              </w:rPr>
              <w:t>2.12%</w:t>
            </w:r>
          </w:p>
        </w:tc>
        <w:tc>
          <w:tcPr>
            <w:tcW w:w="1204" w:type="dxa"/>
            <w:vAlign w:val="center"/>
          </w:tcPr>
          <w:p w14:paraId="2F7D42BB" w14:textId="77777777" w:rsidR="0012177B" w:rsidRDefault="00E2256A">
            <w:pPr>
              <w:jc w:val="center"/>
            </w:pPr>
            <w:r>
              <w:rPr>
                <w:rFonts w:eastAsiaTheme="minorEastAsia"/>
                <w:color w:val="000000" w:themeColor="text1"/>
                <w:szCs w:val="21"/>
              </w:rPr>
              <w:t>-0.05%</w:t>
            </w:r>
          </w:p>
        </w:tc>
      </w:tr>
    </w:tbl>
    <w:p w14:paraId="0967472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A21F2CB"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636C3C19"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摩根中证创新药产业交易型开放式指数证券投资基金</w:t>
      </w:r>
    </w:p>
    <w:p w14:paraId="4A4A6991"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23C0BB64"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33E1AB65"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14B4D460" wp14:editId="784416FA">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737900C7" w14:textId="77777777" w:rsidR="0012177B" w:rsidRDefault="00E2256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14:paraId="041FD04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14:paraId="5384E7C3"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2CBC0CBE" w14:textId="77777777" w:rsidR="00881A82" w:rsidRPr="00473486" w:rsidRDefault="00881A82">
      <w:pPr>
        <w:tabs>
          <w:tab w:val="left" w:pos="1800"/>
        </w:tabs>
        <w:spacing w:line="288" w:lineRule="auto"/>
        <w:rPr>
          <w:rFonts w:eastAsiaTheme="minorEastAsia"/>
          <w:color w:val="000000" w:themeColor="text1"/>
          <w:szCs w:val="21"/>
        </w:rPr>
      </w:pPr>
    </w:p>
    <w:p w14:paraId="454193E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7FD3548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195F6397" w14:textId="77777777">
        <w:trPr>
          <w:cantSplit/>
          <w:trHeight w:val="292"/>
        </w:trPr>
        <w:tc>
          <w:tcPr>
            <w:tcW w:w="851" w:type="dxa"/>
            <w:vMerge w:val="restart"/>
            <w:vAlign w:val="center"/>
          </w:tcPr>
          <w:p w14:paraId="695E18C1"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59E884FF"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4842FF2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4D43772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303FC46D"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268526D4" w14:textId="77777777">
        <w:trPr>
          <w:cantSplit/>
        </w:trPr>
        <w:tc>
          <w:tcPr>
            <w:tcW w:w="851" w:type="dxa"/>
            <w:vMerge/>
            <w:vAlign w:val="center"/>
          </w:tcPr>
          <w:p w14:paraId="7B7C5119"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6B402397"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16A24D4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6B7B1BD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6CE71344"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77DAF8BB" w14:textId="77777777" w:rsidR="00881A82" w:rsidRPr="00473486" w:rsidRDefault="00881A82">
            <w:pPr>
              <w:widowControl/>
              <w:spacing w:line="360" w:lineRule="auto"/>
              <w:jc w:val="left"/>
              <w:rPr>
                <w:rFonts w:eastAsiaTheme="minorEastAsia"/>
                <w:color w:val="000000" w:themeColor="text1"/>
                <w:kern w:val="0"/>
                <w:szCs w:val="21"/>
              </w:rPr>
            </w:pPr>
          </w:p>
        </w:tc>
      </w:tr>
      <w:tr w:rsidR="0012177B" w14:paraId="336A489B" w14:textId="77777777">
        <w:tc>
          <w:tcPr>
            <w:tcW w:w="851" w:type="dxa"/>
            <w:vAlign w:val="center"/>
          </w:tcPr>
          <w:p w14:paraId="5D2F6775" w14:textId="77777777" w:rsidR="0012177B" w:rsidRDefault="00E2256A">
            <w:pPr>
              <w:jc w:val="center"/>
            </w:pPr>
            <w:r>
              <w:rPr>
                <w:rFonts w:eastAsiaTheme="minorEastAsia"/>
                <w:color w:val="000000" w:themeColor="text1"/>
                <w:szCs w:val="21"/>
              </w:rPr>
              <w:t>胡迪</w:t>
            </w:r>
          </w:p>
        </w:tc>
        <w:tc>
          <w:tcPr>
            <w:tcW w:w="850" w:type="dxa"/>
            <w:vAlign w:val="center"/>
          </w:tcPr>
          <w:p w14:paraId="7EA0E88A" w14:textId="77777777" w:rsidR="0012177B" w:rsidRDefault="00E2256A">
            <w:pPr>
              <w:jc w:val="center"/>
            </w:pPr>
            <w:r>
              <w:rPr>
                <w:rFonts w:eastAsiaTheme="minorEastAsia"/>
                <w:color w:val="000000" w:themeColor="text1"/>
                <w:szCs w:val="21"/>
              </w:rPr>
              <w:t>本基金基金经理、指数及量化投资部总监</w:t>
            </w:r>
          </w:p>
        </w:tc>
        <w:tc>
          <w:tcPr>
            <w:tcW w:w="1560" w:type="dxa"/>
            <w:vAlign w:val="center"/>
          </w:tcPr>
          <w:p w14:paraId="7E05EBB1" w14:textId="77777777" w:rsidR="0012177B" w:rsidRDefault="00E2256A">
            <w:pPr>
              <w:jc w:val="center"/>
            </w:pPr>
            <w:r>
              <w:rPr>
                <w:rFonts w:eastAsiaTheme="minorEastAsia"/>
                <w:color w:val="000000" w:themeColor="text1"/>
                <w:szCs w:val="21"/>
              </w:rPr>
              <w:t>2022-05-19</w:t>
            </w:r>
          </w:p>
        </w:tc>
        <w:tc>
          <w:tcPr>
            <w:tcW w:w="1559" w:type="dxa"/>
            <w:vAlign w:val="center"/>
          </w:tcPr>
          <w:p w14:paraId="442FE55A" w14:textId="77777777" w:rsidR="0012177B" w:rsidRDefault="00E2256A">
            <w:pPr>
              <w:jc w:val="center"/>
            </w:pPr>
            <w:r>
              <w:rPr>
                <w:rFonts w:eastAsiaTheme="minorEastAsia"/>
                <w:color w:val="000000" w:themeColor="text1"/>
                <w:szCs w:val="21"/>
              </w:rPr>
              <w:t>-</w:t>
            </w:r>
          </w:p>
        </w:tc>
        <w:tc>
          <w:tcPr>
            <w:tcW w:w="1417" w:type="dxa"/>
            <w:vAlign w:val="center"/>
          </w:tcPr>
          <w:p w14:paraId="7C7E97DE" w14:textId="77777777" w:rsidR="0012177B" w:rsidRDefault="00E2256A">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14:paraId="1F950840" w14:textId="77777777" w:rsidR="0012177B" w:rsidRDefault="00E2256A">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12177B" w14:paraId="1C2EFA36" w14:textId="77777777">
        <w:tc>
          <w:tcPr>
            <w:tcW w:w="851" w:type="dxa"/>
            <w:vAlign w:val="center"/>
          </w:tcPr>
          <w:p w14:paraId="0F70357B" w14:textId="77777777" w:rsidR="0012177B" w:rsidRDefault="00E2256A">
            <w:pPr>
              <w:jc w:val="center"/>
            </w:pPr>
            <w:r>
              <w:rPr>
                <w:rFonts w:eastAsiaTheme="minorEastAsia"/>
                <w:color w:val="000000" w:themeColor="text1"/>
                <w:szCs w:val="21"/>
              </w:rPr>
              <w:t>毛时超</w:t>
            </w:r>
          </w:p>
        </w:tc>
        <w:tc>
          <w:tcPr>
            <w:tcW w:w="850" w:type="dxa"/>
            <w:vAlign w:val="center"/>
          </w:tcPr>
          <w:p w14:paraId="5EC07AFC" w14:textId="77777777" w:rsidR="0012177B" w:rsidRDefault="00E2256A">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14:paraId="193B0472" w14:textId="77777777" w:rsidR="0012177B" w:rsidRDefault="00E2256A">
            <w:pPr>
              <w:jc w:val="center"/>
            </w:pPr>
            <w:r>
              <w:rPr>
                <w:rFonts w:eastAsiaTheme="minorEastAsia"/>
                <w:color w:val="000000" w:themeColor="text1"/>
                <w:szCs w:val="21"/>
              </w:rPr>
              <w:lastRenderedPageBreak/>
              <w:t>2022-06-08</w:t>
            </w:r>
          </w:p>
        </w:tc>
        <w:tc>
          <w:tcPr>
            <w:tcW w:w="1559" w:type="dxa"/>
            <w:vAlign w:val="center"/>
          </w:tcPr>
          <w:p w14:paraId="0826364D" w14:textId="77777777" w:rsidR="0012177B" w:rsidRDefault="00E2256A">
            <w:pPr>
              <w:jc w:val="center"/>
            </w:pPr>
            <w:r>
              <w:rPr>
                <w:rFonts w:eastAsiaTheme="minorEastAsia"/>
                <w:color w:val="000000" w:themeColor="text1"/>
                <w:szCs w:val="21"/>
              </w:rPr>
              <w:t>-</w:t>
            </w:r>
          </w:p>
        </w:tc>
        <w:tc>
          <w:tcPr>
            <w:tcW w:w="1417" w:type="dxa"/>
            <w:vAlign w:val="center"/>
          </w:tcPr>
          <w:p w14:paraId="3CFDD3E2" w14:textId="77777777" w:rsidR="0012177B" w:rsidRDefault="00E2256A">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14:paraId="70B64982" w14:textId="77777777" w:rsidR="0012177B" w:rsidRDefault="00E2256A">
            <w:r>
              <w:rPr>
                <w:rFonts w:eastAsiaTheme="minorEastAsia"/>
                <w:color w:val="000000" w:themeColor="text1"/>
                <w:szCs w:val="21"/>
              </w:rPr>
              <w:t>毛时超先生曾任平安基金管理有限公司量化研究员、</w:t>
            </w:r>
            <w:r>
              <w:rPr>
                <w:rFonts w:eastAsiaTheme="minorEastAsia"/>
                <w:color w:val="000000" w:themeColor="text1"/>
                <w:szCs w:val="21"/>
              </w:rPr>
              <w:lastRenderedPageBreak/>
              <w:t>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5141B85E" w14:textId="77777777" w:rsidR="0012177B" w:rsidRDefault="00E2256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14AC450" w14:textId="77777777" w:rsidR="0012177B" w:rsidRDefault="00E2256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胡迪女士为本基金首任基金经理，其任职日期指本基金基金合同生效之日。</w:t>
      </w:r>
      <w:r>
        <w:rPr>
          <w:rFonts w:eastAsiaTheme="minorEastAsia"/>
          <w:color w:val="000000" w:themeColor="text1"/>
          <w:szCs w:val="21"/>
        </w:rPr>
        <w:t xml:space="preserve"> </w:t>
      </w:r>
    </w:p>
    <w:p w14:paraId="0C5A2CE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14:paraId="7A7A16D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38CC719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62F263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9DAF7A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505CC246"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1195DF22"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D9DDDD0"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6C5352D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39D2F7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50328E5E"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E8C977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329ACE73" w14:textId="77777777" w:rsidR="00881A82" w:rsidRPr="00473486" w:rsidRDefault="00881A82">
      <w:pPr>
        <w:spacing w:line="360" w:lineRule="auto"/>
        <w:ind w:firstLineChars="200" w:firstLine="480"/>
        <w:rPr>
          <w:rFonts w:eastAsiaTheme="minorEastAsia"/>
          <w:color w:val="000000" w:themeColor="text1"/>
          <w:sz w:val="24"/>
        </w:rPr>
      </w:pPr>
    </w:p>
    <w:p w14:paraId="77EEEA0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239580CA"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397A824D"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创新药行业相关股票，在经历几年的持续调整之后，无论是估值水平还是机构投资者持有占比，均处于历史相对低位。在九月中期以前，由于股票投资者风险偏好持续下降，高分红、低估值风格股票明显占优，但是创新药公司处于快速发展时期，自由现金流和现金分红不具优势，导致行业整体表现依然相对较弱。但是随着一系列政策出台，使得投资者的预期出现反转，对股票的风险偏好大幅提升，创</w:t>
      </w:r>
      <w:r>
        <w:rPr>
          <w:rFonts w:eastAsiaTheme="minorEastAsia"/>
          <w:color w:val="000000" w:themeColor="text1"/>
          <w:szCs w:val="21"/>
        </w:rPr>
        <w:t>新药行业相关股票跟随市场大涨。</w:t>
      </w:r>
    </w:p>
    <w:p w14:paraId="2BE5914D"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从中长期视角来看，伴随着人口老龄化、国家人均医疗卫生支出持续增加等背景，内部医疗改革持续引导产业升级，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以及商业化变现能力，在国内以及全球市场中迎来业绩爆发。放眼全球，创新仍是推动医药产业发展的第一动力，在肿瘤、减重等前沿治疗领域，国内外不断有突破性的创新品</w:t>
      </w:r>
      <w:r>
        <w:rPr>
          <w:rFonts w:eastAsiaTheme="minorEastAsia"/>
          <w:color w:val="000000" w:themeColor="text1"/>
          <w:szCs w:val="21"/>
        </w:rPr>
        <w:t>种及亮眼的临床数据出现，我们认为未来在国内重磅产品催化下，创新药板块或仍会有较好的表现。</w:t>
      </w:r>
    </w:p>
    <w:p w14:paraId="2103FBD5"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本基金采用复制标的指数的投资策略，基于多套系统处理日常的申购赎回，力争将跟踪误差控制在合理水平。</w:t>
      </w:r>
    </w:p>
    <w:p w14:paraId="30E0F17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本基金投资跟踪的中证创新药产业指数估值水平，当前依然处于历史上的较低位置，考虑到创新药产业链发展空间巨大，在人口老龄化与人均医疗卫生支出不断提升的背景下，相关企业或具有较好的投资机会和配置价值。</w:t>
      </w:r>
    </w:p>
    <w:p w14:paraId="409B7EC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285C56E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本报告期摩根中证创新药产业</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:23.79%</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:23.27%</w:t>
      </w:r>
      <w:r w:rsidRPr="00473486">
        <w:rPr>
          <w:rFonts w:eastAsiaTheme="minorEastAsia"/>
          <w:color w:val="000000" w:themeColor="text1"/>
          <w:szCs w:val="21"/>
        </w:rPr>
        <w:t>。</w:t>
      </w:r>
    </w:p>
    <w:p w14:paraId="797E2930" w14:textId="77777777" w:rsidR="00881A82" w:rsidRPr="00473486" w:rsidRDefault="00881A82">
      <w:pPr>
        <w:spacing w:line="360" w:lineRule="auto"/>
        <w:ind w:firstLineChars="200" w:firstLine="480"/>
        <w:rPr>
          <w:rFonts w:eastAsiaTheme="minorEastAsia"/>
          <w:color w:val="000000" w:themeColor="text1"/>
          <w:sz w:val="24"/>
        </w:rPr>
      </w:pPr>
    </w:p>
    <w:p w14:paraId="77FF17C3"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103F817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6F565BD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14:paraId="5F0D337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677DA145" w14:textId="77777777">
        <w:trPr>
          <w:jc w:val="center"/>
        </w:trPr>
        <w:tc>
          <w:tcPr>
            <w:tcW w:w="720" w:type="dxa"/>
            <w:vAlign w:val="center"/>
          </w:tcPr>
          <w:p w14:paraId="187D6F9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1F2E051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4386F18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2AED2A5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557B5095" w14:textId="77777777">
        <w:trPr>
          <w:jc w:val="center"/>
        </w:trPr>
        <w:tc>
          <w:tcPr>
            <w:tcW w:w="720" w:type="dxa"/>
            <w:vAlign w:val="center"/>
          </w:tcPr>
          <w:p w14:paraId="59A0BC3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0661764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402612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193,248,942.19</w:t>
            </w:r>
          </w:p>
        </w:tc>
        <w:tc>
          <w:tcPr>
            <w:tcW w:w="1843" w:type="dxa"/>
            <w:vAlign w:val="center"/>
          </w:tcPr>
          <w:p w14:paraId="4A55B7D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99.76</w:t>
            </w:r>
          </w:p>
        </w:tc>
      </w:tr>
      <w:tr w:rsidR="00881A82" w:rsidRPr="00473486" w14:paraId="28CA8DC3" w14:textId="77777777">
        <w:trPr>
          <w:jc w:val="center"/>
        </w:trPr>
        <w:tc>
          <w:tcPr>
            <w:tcW w:w="720" w:type="dxa"/>
            <w:vAlign w:val="center"/>
          </w:tcPr>
          <w:p w14:paraId="76CF3FEA"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7D3E16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667B0DB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193,248,942.19</w:t>
            </w:r>
          </w:p>
        </w:tc>
        <w:tc>
          <w:tcPr>
            <w:tcW w:w="1843" w:type="dxa"/>
            <w:vAlign w:val="center"/>
          </w:tcPr>
          <w:p w14:paraId="19CB56B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99.76</w:t>
            </w:r>
          </w:p>
        </w:tc>
      </w:tr>
      <w:tr w:rsidR="00881A82" w:rsidRPr="00473486" w14:paraId="2C5EE4E5" w14:textId="77777777">
        <w:trPr>
          <w:jc w:val="center"/>
        </w:trPr>
        <w:tc>
          <w:tcPr>
            <w:tcW w:w="720" w:type="dxa"/>
            <w:vAlign w:val="center"/>
          </w:tcPr>
          <w:p w14:paraId="7DAD3F2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7A5D197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60A75AD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F54341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36A8232" w14:textId="77777777">
        <w:trPr>
          <w:jc w:val="center"/>
        </w:trPr>
        <w:tc>
          <w:tcPr>
            <w:tcW w:w="720" w:type="dxa"/>
            <w:vAlign w:val="center"/>
          </w:tcPr>
          <w:p w14:paraId="4F7FE1CF"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8069A0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304F60C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04147C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66C5CD8" w14:textId="77777777">
        <w:trPr>
          <w:jc w:val="center"/>
        </w:trPr>
        <w:tc>
          <w:tcPr>
            <w:tcW w:w="720" w:type="dxa"/>
            <w:vAlign w:val="center"/>
          </w:tcPr>
          <w:p w14:paraId="78116BF0"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F66C3BB"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346FCC5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FFF765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B23CF81" w14:textId="77777777">
        <w:trPr>
          <w:jc w:val="center"/>
        </w:trPr>
        <w:tc>
          <w:tcPr>
            <w:tcW w:w="720" w:type="dxa"/>
          </w:tcPr>
          <w:p w14:paraId="4632B7D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22C47A9E"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66A0D75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372EE1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726CF33" w14:textId="77777777">
        <w:trPr>
          <w:jc w:val="center"/>
        </w:trPr>
        <w:tc>
          <w:tcPr>
            <w:tcW w:w="720" w:type="dxa"/>
            <w:vAlign w:val="center"/>
          </w:tcPr>
          <w:p w14:paraId="17DC4CB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79782C4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124755D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5B40B6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27254E3" w14:textId="77777777">
        <w:trPr>
          <w:jc w:val="center"/>
        </w:trPr>
        <w:tc>
          <w:tcPr>
            <w:tcW w:w="720" w:type="dxa"/>
            <w:vAlign w:val="center"/>
          </w:tcPr>
          <w:p w14:paraId="26E7D4B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26D8F7D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6CA951F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6B96C0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E91C4FB" w14:textId="77777777">
        <w:trPr>
          <w:jc w:val="center"/>
        </w:trPr>
        <w:tc>
          <w:tcPr>
            <w:tcW w:w="720" w:type="dxa"/>
            <w:vAlign w:val="center"/>
          </w:tcPr>
          <w:p w14:paraId="772F441B"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B54B02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2AF5B72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F814DC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057E0B8" w14:textId="77777777">
        <w:trPr>
          <w:jc w:val="center"/>
        </w:trPr>
        <w:tc>
          <w:tcPr>
            <w:tcW w:w="720" w:type="dxa"/>
            <w:vAlign w:val="center"/>
          </w:tcPr>
          <w:p w14:paraId="093E841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3E5D1A1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14BF2B7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419,020.50</w:t>
            </w:r>
          </w:p>
        </w:tc>
        <w:tc>
          <w:tcPr>
            <w:tcW w:w="1843" w:type="dxa"/>
            <w:vAlign w:val="center"/>
          </w:tcPr>
          <w:p w14:paraId="04F2594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w:t>
            </w:r>
          </w:p>
        </w:tc>
      </w:tr>
      <w:tr w:rsidR="00881A82" w:rsidRPr="00473486" w14:paraId="048E0F79" w14:textId="77777777">
        <w:trPr>
          <w:jc w:val="center"/>
        </w:trPr>
        <w:tc>
          <w:tcPr>
            <w:tcW w:w="720" w:type="dxa"/>
            <w:vAlign w:val="center"/>
          </w:tcPr>
          <w:p w14:paraId="2654CA3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1DDE4B84"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7403CEE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38,816.46</w:t>
            </w:r>
          </w:p>
        </w:tc>
        <w:tc>
          <w:tcPr>
            <w:tcW w:w="1843" w:type="dxa"/>
            <w:vAlign w:val="center"/>
          </w:tcPr>
          <w:p w14:paraId="51249C5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0.02</w:t>
            </w:r>
          </w:p>
        </w:tc>
      </w:tr>
      <w:tr w:rsidR="00881A82" w:rsidRPr="00473486" w14:paraId="2DE41558" w14:textId="77777777">
        <w:trPr>
          <w:jc w:val="center"/>
        </w:trPr>
        <w:tc>
          <w:tcPr>
            <w:tcW w:w="720" w:type="dxa"/>
            <w:vAlign w:val="center"/>
          </w:tcPr>
          <w:p w14:paraId="58F436F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2BEDDA21"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5ED5FE8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193,706,779.15</w:t>
            </w:r>
          </w:p>
        </w:tc>
        <w:tc>
          <w:tcPr>
            <w:tcW w:w="1843" w:type="dxa"/>
            <w:vAlign w:val="center"/>
          </w:tcPr>
          <w:p w14:paraId="52915E8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2213A29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650671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358FFC6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6FD3D35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2C5F801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26779EF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6C25B0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2A355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34D2DB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E06B0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0B8878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1A9AC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B0F32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6DDD3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CD497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CACF6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7FFDC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37317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70871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FB67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6C894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78E15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69AED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64EE4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146,316,472.98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151B6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75.68</w:t>
            </w:r>
          </w:p>
        </w:tc>
      </w:tr>
      <w:tr w:rsidR="00881A82" w:rsidRPr="00473486" w14:paraId="1D2735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FFB09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27649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4A710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DF35F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F51B6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34B79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7510C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1156B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996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71FC9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C4E31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48875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7C6E2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11,187,115.00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9B3A7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5.79</w:t>
            </w:r>
          </w:p>
        </w:tc>
      </w:tr>
      <w:tr w:rsidR="00881A82" w:rsidRPr="00473486" w14:paraId="48F07E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498B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E2900C"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BCFCB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37E8F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440C0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E243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31046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84131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DCD0B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57D5D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024C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00A12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32C5A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D5A73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48CEC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C398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E8A48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FC7B6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16E64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9CC1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60ECE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6E743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6DA20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ED889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4E6FE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BCCB4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CF267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030AC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C2529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B00A5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C0AB6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7BBCF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0D654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35,745,354.21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F390A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18.49</w:t>
            </w:r>
          </w:p>
        </w:tc>
      </w:tr>
      <w:tr w:rsidR="00881A82" w:rsidRPr="00473486" w14:paraId="637482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D4CD3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D13DB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39C9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52C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EBFA4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C3AC5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B716E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F6E74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13415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5FA8E1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E8F8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A46C5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4DCC74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D4E24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00235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292A2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43A78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47F0C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10AE7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C338D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CA0A7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FF86A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DEEE8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71436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3D724F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BAD6A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C8A09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DC5092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FE2B7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7F903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B1E74E"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03716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A23577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193,248,942.19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E017A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99.96</w:t>
            </w:r>
          </w:p>
        </w:tc>
      </w:tr>
    </w:tbl>
    <w:p w14:paraId="070202FD"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73396A5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7CB181E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7C8B5FAB" w14:textId="77777777">
        <w:tc>
          <w:tcPr>
            <w:tcW w:w="817" w:type="dxa"/>
            <w:vAlign w:val="center"/>
          </w:tcPr>
          <w:p w14:paraId="40D1E70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4F986BC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256B9DA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2C8B691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7B4B0F8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09A0E55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12177B" w14:paraId="69EEBD5D" w14:textId="77777777">
        <w:tc>
          <w:tcPr>
            <w:tcW w:w="817" w:type="dxa"/>
            <w:vAlign w:val="center"/>
          </w:tcPr>
          <w:p w14:paraId="09E2293F" w14:textId="77777777" w:rsidR="0012177B" w:rsidRDefault="00E2256A">
            <w:pPr>
              <w:jc w:val="center"/>
            </w:pPr>
            <w:r>
              <w:rPr>
                <w:rFonts w:eastAsiaTheme="minorEastAsia"/>
                <w:color w:val="000000" w:themeColor="text1"/>
                <w:szCs w:val="21"/>
              </w:rPr>
              <w:t>1</w:t>
            </w:r>
          </w:p>
        </w:tc>
        <w:tc>
          <w:tcPr>
            <w:tcW w:w="1276" w:type="dxa"/>
            <w:vAlign w:val="center"/>
          </w:tcPr>
          <w:p w14:paraId="44550EC2" w14:textId="77777777" w:rsidR="0012177B" w:rsidRDefault="00E2256A">
            <w:pPr>
              <w:jc w:val="center"/>
            </w:pPr>
            <w:r>
              <w:rPr>
                <w:rFonts w:eastAsiaTheme="minorEastAsia"/>
                <w:color w:val="000000" w:themeColor="text1"/>
                <w:szCs w:val="21"/>
              </w:rPr>
              <w:t>600276</w:t>
            </w:r>
          </w:p>
        </w:tc>
        <w:tc>
          <w:tcPr>
            <w:tcW w:w="1701" w:type="dxa"/>
            <w:vAlign w:val="center"/>
          </w:tcPr>
          <w:p w14:paraId="0E23FD26" w14:textId="77777777" w:rsidR="0012177B" w:rsidRDefault="00E2256A">
            <w:pPr>
              <w:jc w:val="center"/>
            </w:pPr>
            <w:r>
              <w:rPr>
                <w:rFonts w:eastAsiaTheme="minorEastAsia"/>
                <w:color w:val="000000" w:themeColor="text1"/>
                <w:szCs w:val="21"/>
              </w:rPr>
              <w:t>恒瑞医药</w:t>
            </w:r>
          </w:p>
        </w:tc>
        <w:tc>
          <w:tcPr>
            <w:tcW w:w="1276" w:type="dxa"/>
            <w:vAlign w:val="center"/>
          </w:tcPr>
          <w:p w14:paraId="15B35806" w14:textId="77777777" w:rsidR="0012177B" w:rsidRDefault="00E2256A">
            <w:pPr>
              <w:jc w:val="right"/>
            </w:pPr>
            <w:r>
              <w:rPr>
                <w:rFonts w:eastAsiaTheme="minorEastAsia"/>
                <w:color w:val="000000" w:themeColor="text1"/>
                <w:szCs w:val="21"/>
              </w:rPr>
              <w:t>399,060.00</w:t>
            </w:r>
          </w:p>
        </w:tc>
        <w:tc>
          <w:tcPr>
            <w:tcW w:w="1842" w:type="dxa"/>
            <w:vAlign w:val="center"/>
          </w:tcPr>
          <w:p w14:paraId="1C44A105" w14:textId="77777777" w:rsidR="0012177B" w:rsidRDefault="00E2256A">
            <w:pPr>
              <w:jc w:val="right"/>
            </w:pPr>
            <w:r>
              <w:rPr>
                <w:rFonts w:eastAsiaTheme="minorEastAsia"/>
                <w:color w:val="000000" w:themeColor="text1"/>
                <w:szCs w:val="21"/>
              </w:rPr>
              <w:t>20,870,838.00</w:t>
            </w:r>
          </w:p>
        </w:tc>
        <w:tc>
          <w:tcPr>
            <w:tcW w:w="1616" w:type="dxa"/>
            <w:vAlign w:val="center"/>
          </w:tcPr>
          <w:p w14:paraId="0FE1F132" w14:textId="77777777" w:rsidR="0012177B" w:rsidRDefault="00E2256A">
            <w:pPr>
              <w:jc w:val="right"/>
            </w:pPr>
            <w:r>
              <w:rPr>
                <w:rFonts w:eastAsiaTheme="minorEastAsia"/>
                <w:color w:val="000000" w:themeColor="text1"/>
                <w:szCs w:val="21"/>
              </w:rPr>
              <w:t>10.80</w:t>
            </w:r>
          </w:p>
        </w:tc>
      </w:tr>
      <w:tr w:rsidR="0012177B" w14:paraId="514FF12A" w14:textId="77777777">
        <w:tc>
          <w:tcPr>
            <w:tcW w:w="817" w:type="dxa"/>
            <w:vAlign w:val="center"/>
          </w:tcPr>
          <w:p w14:paraId="06E38D74" w14:textId="77777777" w:rsidR="0012177B" w:rsidRDefault="00E2256A">
            <w:pPr>
              <w:jc w:val="center"/>
            </w:pPr>
            <w:r>
              <w:rPr>
                <w:rFonts w:eastAsiaTheme="minorEastAsia"/>
                <w:color w:val="000000" w:themeColor="text1"/>
                <w:szCs w:val="21"/>
              </w:rPr>
              <w:t>2</w:t>
            </w:r>
          </w:p>
        </w:tc>
        <w:tc>
          <w:tcPr>
            <w:tcW w:w="1276" w:type="dxa"/>
            <w:vAlign w:val="center"/>
          </w:tcPr>
          <w:p w14:paraId="62B6477F" w14:textId="77777777" w:rsidR="0012177B" w:rsidRDefault="00E2256A">
            <w:pPr>
              <w:jc w:val="center"/>
            </w:pPr>
            <w:r>
              <w:rPr>
                <w:rFonts w:eastAsiaTheme="minorEastAsia"/>
                <w:color w:val="000000" w:themeColor="text1"/>
                <w:szCs w:val="21"/>
              </w:rPr>
              <w:t>603259</w:t>
            </w:r>
          </w:p>
        </w:tc>
        <w:tc>
          <w:tcPr>
            <w:tcW w:w="1701" w:type="dxa"/>
            <w:vAlign w:val="center"/>
          </w:tcPr>
          <w:p w14:paraId="05E1C15C" w14:textId="77777777" w:rsidR="0012177B" w:rsidRDefault="00E2256A">
            <w:pPr>
              <w:jc w:val="center"/>
            </w:pPr>
            <w:r>
              <w:rPr>
                <w:rFonts w:eastAsiaTheme="minorEastAsia"/>
                <w:color w:val="000000" w:themeColor="text1"/>
                <w:szCs w:val="21"/>
              </w:rPr>
              <w:t>药明康德</w:t>
            </w:r>
          </w:p>
        </w:tc>
        <w:tc>
          <w:tcPr>
            <w:tcW w:w="1276" w:type="dxa"/>
            <w:vAlign w:val="center"/>
          </w:tcPr>
          <w:p w14:paraId="40C3A151" w14:textId="77777777" w:rsidR="0012177B" w:rsidRDefault="00E2256A">
            <w:pPr>
              <w:jc w:val="right"/>
            </w:pPr>
            <w:r>
              <w:rPr>
                <w:rFonts w:eastAsiaTheme="minorEastAsia"/>
                <w:color w:val="000000" w:themeColor="text1"/>
                <w:szCs w:val="21"/>
              </w:rPr>
              <w:t>396,865.00</w:t>
            </w:r>
          </w:p>
        </w:tc>
        <w:tc>
          <w:tcPr>
            <w:tcW w:w="1842" w:type="dxa"/>
            <w:vAlign w:val="center"/>
          </w:tcPr>
          <w:p w14:paraId="2C10716D" w14:textId="77777777" w:rsidR="0012177B" w:rsidRDefault="00E2256A">
            <w:pPr>
              <w:jc w:val="right"/>
            </w:pPr>
            <w:r>
              <w:rPr>
                <w:rFonts w:eastAsiaTheme="minorEastAsia"/>
                <w:color w:val="000000" w:themeColor="text1"/>
                <w:szCs w:val="21"/>
              </w:rPr>
              <w:t>20,779,851.40</w:t>
            </w:r>
          </w:p>
        </w:tc>
        <w:tc>
          <w:tcPr>
            <w:tcW w:w="1616" w:type="dxa"/>
            <w:vAlign w:val="center"/>
          </w:tcPr>
          <w:p w14:paraId="0DDC23A4" w14:textId="77777777" w:rsidR="0012177B" w:rsidRDefault="00E2256A">
            <w:pPr>
              <w:jc w:val="right"/>
            </w:pPr>
            <w:r>
              <w:rPr>
                <w:rFonts w:eastAsiaTheme="minorEastAsia"/>
                <w:color w:val="000000" w:themeColor="text1"/>
                <w:szCs w:val="21"/>
              </w:rPr>
              <w:t>10.75</w:t>
            </w:r>
          </w:p>
        </w:tc>
      </w:tr>
      <w:tr w:rsidR="0012177B" w14:paraId="032EA650" w14:textId="77777777">
        <w:tc>
          <w:tcPr>
            <w:tcW w:w="817" w:type="dxa"/>
            <w:vAlign w:val="center"/>
          </w:tcPr>
          <w:p w14:paraId="02E3C702" w14:textId="77777777" w:rsidR="0012177B" w:rsidRDefault="00E2256A">
            <w:pPr>
              <w:jc w:val="center"/>
            </w:pPr>
            <w:r>
              <w:rPr>
                <w:rFonts w:eastAsiaTheme="minorEastAsia"/>
                <w:color w:val="000000" w:themeColor="text1"/>
                <w:szCs w:val="21"/>
              </w:rPr>
              <w:t>3</w:t>
            </w:r>
          </w:p>
        </w:tc>
        <w:tc>
          <w:tcPr>
            <w:tcW w:w="1276" w:type="dxa"/>
            <w:vAlign w:val="center"/>
          </w:tcPr>
          <w:p w14:paraId="775636AB" w14:textId="77777777" w:rsidR="0012177B" w:rsidRDefault="00E2256A">
            <w:pPr>
              <w:jc w:val="center"/>
            </w:pPr>
            <w:r>
              <w:rPr>
                <w:rFonts w:eastAsiaTheme="minorEastAsia"/>
                <w:color w:val="000000" w:themeColor="text1"/>
                <w:szCs w:val="21"/>
              </w:rPr>
              <w:t>300122</w:t>
            </w:r>
          </w:p>
        </w:tc>
        <w:tc>
          <w:tcPr>
            <w:tcW w:w="1701" w:type="dxa"/>
            <w:vAlign w:val="center"/>
          </w:tcPr>
          <w:p w14:paraId="417C3F00" w14:textId="77777777" w:rsidR="0012177B" w:rsidRDefault="00E2256A">
            <w:pPr>
              <w:jc w:val="center"/>
            </w:pPr>
            <w:r>
              <w:rPr>
                <w:rFonts w:eastAsiaTheme="minorEastAsia"/>
                <w:color w:val="000000" w:themeColor="text1"/>
                <w:szCs w:val="21"/>
              </w:rPr>
              <w:t>智飞生物</w:t>
            </w:r>
          </w:p>
        </w:tc>
        <w:tc>
          <w:tcPr>
            <w:tcW w:w="1276" w:type="dxa"/>
            <w:vAlign w:val="center"/>
          </w:tcPr>
          <w:p w14:paraId="5689BDBD" w14:textId="77777777" w:rsidR="0012177B" w:rsidRDefault="00E2256A">
            <w:pPr>
              <w:jc w:val="right"/>
            </w:pPr>
            <w:r>
              <w:rPr>
                <w:rFonts w:eastAsiaTheme="minorEastAsia"/>
                <w:color w:val="000000" w:themeColor="text1"/>
                <w:szCs w:val="21"/>
              </w:rPr>
              <w:t>246,850.00</w:t>
            </w:r>
          </w:p>
        </w:tc>
        <w:tc>
          <w:tcPr>
            <w:tcW w:w="1842" w:type="dxa"/>
            <w:vAlign w:val="center"/>
          </w:tcPr>
          <w:p w14:paraId="7D40D439" w14:textId="77777777" w:rsidR="0012177B" w:rsidRDefault="00E2256A">
            <w:pPr>
              <w:jc w:val="right"/>
            </w:pPr>
            <w:r>
              <w:rPr>
                <w:rFonts w:eastAsiaTheme="minorEastAsia"/>
                <w:color w:val="000000" w:themeColor="text1"/>
                <w:szCs w:val="21"/>
              </w:rPr>
              <w:t>8,239,853.00</w:t>
            </w:r>
          </w:p>
        </w:tc>
        <w:tc>
          <w:tcPr>
            <w:tcW w:w="1616" w:type="dxa"/>
            <w:vAlign w:val="center"/>
          </w:tcPr>
          <w:p w14:paraId="3B1A835F" w14:textId="77777777" w:rsidR="0012177B" w:rsidRDefault="00E2256A">
            <w:pPr>
              <w:jc w:val="right"/>
            </w:pPr>
            <w:r>
              <w:rPr>
                <w:rFonts w:eastAsiaTheme="minorEastAsia"/>
                <w:color w:val="000000" w:themeColor="text1"/>
                <w:szCs w:val="21"/>
              </w:rPr>
              <w:t>4.26</w:t>
            </w:r>
          </w:p>
        </w:tc>
      </w:tr>
      <w:tr w:rsidR="0012177B" w14:paraId="7E63F372" w14:textId="77777777">
        <w:tc>
          <w:tcPr>
            <w:tcW w:w="817" w:type="dxa"/>
            <w:vAlign w:val="center"/>
          </w:tcPr>
          <w:p w14:paraId="2FAEF386" w14:textId="77777777" w:rsidR="0012177B" w:rsidRDefault="00E2256A">
            <w:pPr>
              <w:jc w:val="center"/>
            </w:pPr>
            <w:r>
              <w:rPr>
                <w:rFonts w:eastAsiaTheme="minorEastAsia"/>
                <w:color w:val="000000" w:themeColor="text1"/>
                <w:szCs w:val="21"/>
              </w:rPr>
              <w:t>4</w:t>
            </w:r>
          </w:p>
        </w:tc>
        <w:tc>
          <w:tcPr>
            <w:tcW w:w="1276" w:type="dxa"/>
            <w:vAlign w:val="center"/>
          </w:tcPr>
          <w:p w14:paraId="65C138D1" w14:textId="77777777" w:rsidR="0012177B" w:rsidRDefault="00E2256A">
            <w:pPr>
              <w:jc w:val="center"/>
            </w:pPr>
            <w:r>
              <w:rPr>
                <w:rFonts w:eastAsiaTheme="minorEastAsia"/>
                <w:color w:val="000000" w:themeColor="text1"/>
                <w:szCs w:val="21"/>
              </w:rPr>
              <w:t>002422</w:t>
            </w:r>
          </w:p>
        </w:tc>
        <w:tc>
          <w:tcPr>
            <w:tcW w:w="1701" w:type="dxa"/>
            <w:vAlign w:val="center"/>
          </w:tcPr>
          <w:p w14:paraId="40AD924D" w14:textId="77777777" w:rsidR="0012177B" w:rsidRDefault="00E2256A">
            <w:pPr>
              <w:jc w:val="center"/>
            </w:pPr>
            <w:r>
              <w:rPr>
                <w:rFonts w:eastAsiaTheme="minorEastAsia"/>
                <w:color w:val="000000" w:themeColor="text1"/>
                <w:szCs w:val="21"/>
              </w:rPr>
              <w:t>科伦药业</w:t>
            </w:r>
          </w:p>
        </w:tc>
        <w:tc>
          <w:tcPr>
            <w:tcW w:w="1276" w:type="dxa"/>
            <w:vAlign w:val="center"/>
          </w:tcPr>
          <w:p w14:paraId="5DD26EC9" w14:textId="77777777" w:rsidR="0012177B" w:rsidRDefault="00E2256A">
            <w:pPr>
              <w:jc w:val="right"/>
            </w:pPr>
            <w:r>
              <w:rPr>
                <w:rFonts w:eastAsiaTheme="minorEastAsia"/>
                <w:color w:val="000000" w:themeColor="text1"/>
                <w:szCs w:val="21"/>
              </w:rPr>
              <w:t>231,200.00</w:t>
            </w:r>
          </w:p>
        </w:tc>
        <w:tc>
          <w:tcPr>
            <w:tcW w:w="1842" w:type="dxa"/>
            <w:vAlign w:val="center"/>
          </w:tcPr>
          <w:p w14:paraId="6CF0F48D" w14:textId="77777777" w:rsidR="0012177B" w:rsidRDefault="00E2256A">
            <w:pPr>
              <w:jc w:val="right"/>
            </w:pPr>
            <w:r>
              <w:rPr>
                <w:rFonts w:eastAsiaTheme="minorEastAsia"/>
                <w:color w:val="000000" w:themeColor="text1"/>
                <w:szCs w:val="21"/>
              </w:rPr>
              <w:t>7,398,400.00</w:t>
            </w:r>
          </w:p>
        </w:tc>
        <w:tc>
          <w:tcPr>
            <w:tcW w:w="1616" w:type="dxa"/>
            <w:vAlign w:val="center"/>
          </w:tcPr>
          <w:p w14:paraId="72E2B5C3" w14:textId="77777777" w:rsidR="0012177B" w:rsidRDefault="00E2256A">
            <w:pPr>
              <w:jc w:val="right"/>
            </w:pPr>
            <w:r>
              <w:rPr>
                <w:rFonts w:eastAsiaTheme="minorEastAsia"/>
                <w:color w:val="000000" w:themeColor="text1"/>
                <w:szCs w:val="21"/>
              </w:rPr>
              <w:t>3.83</w:t>
            </w:r>
          </w:p>
        </w:tc>
      </w:tr>
      <w:tr w:rsidR="0012177B" w14:paraId="50E4BE23" w14:textId="77777777">
        <w:tc>
          <w:tcPr>
            <w:tcW w:w="817" w:type="dxa"/>
            <w:vAlign w:val="center"/>
          </w:tcPr>
          <w:p w14:paraId="5B7F551F" w14:textId="77777777" w:rsidR="0012177B" w:rsidRDefault="00E2256A">
            <w:pPr>
              <w:jc w:val="center"/>
            </w:pPr>
            <w:r>
              <w:rPr>
                <w:rFonts w:eastAsiaTheme="minorEastAsia"/>
                <w:color w:val="000000" w:themeColor="text1"/>
                <w:szCs w:val="21"/>
              </w:rPr>
              <w:t>5</w:t>
            </w:r>
          </w:p>
        </w:tc>
        <w:tc>
          <w:tcPr>
            <w:tcW w:w="1276" w:type="dxa"/>
            <w:vAlign w:val="center"/>
          </w:tcPr>
          <w:p w14:paraId="3EF17814" w14:textId="77777777" w:rsidR="0012177B" w:rsidRDefault="00E2256A">
            <w:pPr>
              <w:jc w:val="center"/>
            </w:pPr>
            <w:r>
              <w:rPr>
                <w:rFonts w:eastAsiaTheme="minorEastAsia"/>
                <w:color w:val="000000" w:themeColor="text1"/>
                <w:szCs w:val="21"/>
              </w:rPr>
              <w:t>300347</w:t>
            </w:r>
          </w:p>
        </w:tc>
        <w:tc>
          <w:tcPr>
            <w:tcW w:w="1701" w:type="dxa"/>
            <w:vAlign w:val="center"/>
          </w:tcPr>
          <w:p w14:paraId="50986DBB" w14:textId="77777777" w:rsidR="0012177B" w:rsidRDefault="00E2256A">
            <w:pPr>
              <w:jc w:val="center"/>
            </w:pPr>
            <w:r>
              <w:rPr>
                <w:rFonts w:eastAsiaTheme="minorEastAsia"/>
                <w:color w:val="000000" w:themeColor="text1"/>
                <w:szCs w:val="21"/>
              </w:rPr>
              <w:t>泰格医药</w:t>
            </w:r>
          </w:p>
        </w:tc>
        <w:tc>
          <w:tcPr>
            <w:tcW w:w="1276" w:type="dxa"/>
            <w:vAlign w:val="center"/>
          </w:tcPr>
          <w:p w14:paraId="02B6904E" w14:textId="77777777" w:rsidR="0012177B" w:rsidRDefault="00E2256A">
            <w:pPr>
              <w:jc w:val="right"/>
            </w:pPr>
            <w:r>
              <w:rPr>
                <w:rFonts w:eastAsiaTheme="minorEastAsia"/>
                <w:color w:val="000000" w:themeColor="text1"/>
                <w:szCs w:val="21"/>
              </w:rPr>
              <w:t>107,100.00</w:t>
            </w:r>
          </w:p>
        </w:tc>
        <w:tc>
          <w:tcPr>
            <w:tcW w:w="1842" w:type="dxa"/>
            <w:vAlign w:val="center"/>
          </w:tcPr>
          <w:p w14:paraId="30CAACFF" w14:textId="77777777" w:rsidR="0012177B" w:rsidRDefault="00E2256A">
            <w:pPr>
              <w:jc w:val="right"/>
            </w:pPr>
            <w:r>
              <w:rPr>
                <w:rFonts w:eastAsiaTheme="minorEastAsia"/>
                <w:color w:val="000000" w:themeColor="text1"/>
                <w:szCs w:val="21"/>
              </w:rPr>
              <w:t>7,388,829.00</w:t>
            </w:r>
          </w:p>
        </w:tc>
        <w:tc>
          <w:tcPr>
            <w:tcW w:w="1616" w:type="dxa"/>
            <w:vAlign w:val="center"/>
          </w:tcPr>
          <w:p w14:paraId="6A5B7001" w14:textId="77777777" w:rsidR="0012177B" w:rsidRDefault="00E2256A">
            <w:pPr>
              <w:jc w:val="right"/>
            </w:pPr>
            <w:r>
              <w:rPr>
                <w:rFonts w:eastAsiaTheme="minorEastAsia"/>
                <w:color w:val="000000" w:themeColor="text1"/>
                <w:szCs w:val="21"/>
              </w:rPr>
              <w:t>3.82</w:t>
            </w:r>
          </w:p>
        </w:tc>
      </w:tr>
      <w:tr w:rsidR="0012177B" w14:paraId="0D1A089D" w14:textId="77777777">
        <w:tc>
          <w:tcPr>
            <w:tcW w:w="817" w:type="dxa"/>
            <w:vAlign w:val="center"/>
          </w:tcPr>
          <w:p w14:paraId="725F3481" w14:textId="77777777" w:rsidR="0012177B" w:rsidRDefault="00E2256A">
            <w:pPr>
              <w:jc w:val="center"/>
            </w:pPr>
            <w:r>
              <w:rPr>
                <w:rFonts w:eastAsiaTheme="minorEastAsia"/>
                <w:color w:val="000000" w:themeColor="text1"/>
                <w:szCs w:val="21"/>
              </w:rPr>
              <w:t>6</w:t>
            </w:r>
          </w:p>
        </w:tc>
        <w:tc>
          <w:tcPr>
            <w:tcW w:w="1276" w:type="dxa"/>
            <w:vAlign w:val="center"/>
          </w:tcPr>
          <w:p w14:paraId="496E395D" w14:textId="77777777" w:rsidR="0012177B" w:rsidRDefault="00E2256A">
            <w:pPr>
              <w:jc w:val="center"/>
            </w:pPr>
            <w:r>
              <w:rPr>
                <w:rFonts w:eastAsiaTheme="minorEastAsia"/>
                <w:color w:val="000000" w:themeColor="text1"/>
                <w:szCs w:val="21"/>
              </w:rPr>
              <w:t>000661</w:t>
            </w:r>
          </w:p>
        </w:tc>
        <w:tc>
          <w:tcPr>
            <w:tcW w:w="1701" w:type="dxa"/>
            <w:vAlign w:val="center"/>
          </w:tcPr>
          <w:p w14:paraId="249B9268" w14:textId="77777777" w:rsidR="0012177B" w:rsidRDefault="00E2256A">
            <w:pPr>
              <w:jc w:val="center"/>
            </w:pPr>
            <w:r>
              <w:rPr>
                <w:rFonts w:eastAsiaTheme="minorEastAsia"/>
                <w:color w:val="000000" w:themeColor="text1"/>
                <w:szCs w:val="21"/>
              </w:rPr>
              <w:t>长春高新</w:t>
            </w:r>
          </w:p>
        </w:tc>
        <w:tc>
          <w:tcPr>
            <w:tcW w:w="1276" w:type="dxa"/>
            <w:vAlign w:val="center"/>
          </w:tcPr>
          <w:p w14:paraId="7F4C6FA7" w14:textId="77777777" w:rsidR="0012177B" w:rsidRDefault="00E2256A">
            <w:pPr>
              <w:jc w:val="right"/>
            </w:pPr>
            <w:r>
              <w:rPr>
                <w:rFonts w:eastAsiaTheme="minorEastAsia"/>
                <w:color w:val="000000" w:themeColor="text1"/>
                <w:szCs w:val="21"/>
              </w:rPr>
              <w:t>66,800.00</w:t>
            </w:r>
          </w:p>
        </w:tc>
        <w:tc>
          <w:tcPr>
            <w:tcW w:w="1842" w:type="dxa"/>
            <w:vAlign w:val="center"/>
          </w:tcPr>
          <w:p w14:paraId="32644BA3" w14:textId="77777777" w:rsidR="0012177B" w:rsidRDefault="00E2256A">
            <w:pPr>
              <w:jc w:val="right"/>
            </w:pPr>
            <w:r>
              <w:rPr>
                <w:rFonts w:eastAsiaTheme="minorEastAsia"/>
                <w:color w:val="000000" w:themeColor="text1"/>
                <w:szCs w:val="21"/>
              </w:rPr>
              <w:t>7,340,652.00</w:t>
            </w:r>
          </w:p>
        </w:tc>
        <w:tc>
          <w:tcPr>
            <w:tcW w:w="1616" w:type="dxa"/>
            <w:vAlign w:val="center"/>
          </w:tcPr>
          <w:p w14:paraId="4CB66A54" w14:textId="77777777" w:rsidR="0012177B" w:rsidRDefault="00E2256A">
            <w:pPr>
              <w:jc w:val="right"/>
            </w:pPr>
            <w:r>
              <w:rPr>
                <w:rFonts w:eastAsiaTheme="minorEastAsia"/>
                <w:color w:val="000000" w:themeColor="text1"/>
                <w:szCs w:val="21"/>
              </w:rPr>
              <w:t>3.80</w:t>
            </w:r>
          </w:p>
        </w:tc>
      </w:tr>
      <w:tr w:rsidR="0012177B" w14:paraId="448DA1E7" w14:textId="77777777">
        <w:tc>
          <w:tcPr>
            <w:tcW w:w="817" w:type="dxa"/>
            <w:vAlign w:val="center"/>
          </w:tcPr>
          <w:p w14:paraId="3AC91852" w14:textId="77777777" w:rsidR="0012177B" w:rsidRDefault="00E2256A">
            <w:pPr>
              <w:jc w:val="center"/>
            </w:pPr>
            <w:r>
              <w:rPr>
                <w:rFonts w:eastAsiaTheme="minorEastAsia"/>
                <w:color w:val="000000" w:themeColor="text1"/>
                <w:szCs w:val="21"/>
              </w:rPr>
              <w:t>7</w:t>
            </w:r>
          </w:p>
        </w:tc>
        <w:tc>
          <w:tcPr>
            <w:tcW w:w="1276" w:type="dxa"/>
            <w:vAlign w:val="center"/>
          </w:tcPr>
          <w:p w14:paraId="4FB6DED9" w14:textId="77777777" w:rsidR="0012177B" w:rsidRDefault="00E2256A">
            <w:pPr>
              <w:jc w:val="center"/>
            </w:pPr>
            <w:r>
              <w:rPr>
                <w:rFonts w:eastAsiaTheme="minorEastAsia"/>
                <w:color w:val="000000" w:themeColor="text1"/>
                <w:szCs w:val="21"/>
              </w:rPr>
              <w:t>600196</w:t>
            </w:r>
          </w:p>
        </w:tc>
        <w:tc>
          <w:tcPr>
            <w:tcW w:w="1701" w:type="dxa"/>
            <w:vAlign w:val="center"/>
          </w:tcPr>
          <w:p w14:paraId="35901B9A" w14:textId="77777777" w:rsidR="0012177B" w:rsidRDefault="00E2256A">
            <w:pPr>
              <w:jc w:val="center"/>
            </w:pPr>
            <w:r>
              <w:rPr>
                <w:rFonts w:eastAsiaTheme="minorEastAsia"/>
                <w:color w:val="000000" w:themeColor="text1"/>
                <w:szCs w:val="21"/>
              </w:rPr>
              <w:t>复星医药</w:t>
            </w:r>
          </w:p>
        </w:tc>
        <w:tc>
          <w:tcPr>
            <w:tcW w:w="1276" w:type="dxa"/>
            <w:vAlign w:val="center"/>
          </w:tcPr>
          <w:p w14:paraId="747FA494" w14:textId="77777777" w:rsidR="0012177B" w:rsidRDefault="00E2256A">
            <w:pPr>
              <w:jc w:val="right"/>
            </w:pPr>
            <w:r>
              <w:rPr>
                <w:rFonts w:eastAsiaTheme="minorEastAsia"/>
                <w:color w:val="000000" w:themeColor="text1"/>
                <w:szCs w:val="21"/>
              </w:rPr>
              <w:t>262,300.00</w:t>
            </w:r>
          </w:p>
        </w:tc>
        <w:tc>
          <w:tcPr>
            <w:tcW w:w="1842" w:type="dxa"/>
            <w:vAlign w:val="center"/>
          </w:tcPr>
          <w:p w14:paraId="5FD9C676" w14:textId="77777777" w:rsidR="0012177B" w:rsidRDefault="00E2256A">
            <w:pPr>
              <w:jc w:val="right"/>
            </w:pPr>
            <w:r>
              <w:rPr>
                <w:rFonts w:eastAsiaTheme="minorEastAsia"/>
                <w:color w:val="000000" w:themeColor="text1"/>
                <w:szCs w:val="21"/>
              </w:rPr>
              <w:t>7,257,841.00</w:t>
            </w:r>
          </w:p>
        </w:tc>
        <w:tc>
          <w:tcPr>
            <w:tcW w:w="1616" w:type="dxa"/>
            <w:vAlign w:val="center"/>
          </w:tcPr>
          <w:p w14:paraId="409F9115" w14:textId="77777777" w:rsidR="0012177B" w:rsidRDefault="00E2256A">
            <w:pPr>
              <w:jc w:val="right"/>
            </w:pPr>
            <w:r>
              <w:rPr>
                <w:rFonts w:eastAsiaTheme="minorEastAsia"/>
                <w:color w:val="000000" w:themeColor="text1"/>
                <w:szCs w:val="21"/>
              </w:rPr>
              <w:t>3.75</w:t>
            </w:r>
          </w:p>
        </w:tc>
      </w:tr>
      <w:tr w:rsidR="0012177B" w14:paraId="4E28FCF6" w14:textId="77777777">
        <w:tc>
          <w:tcPr>
            <w:tcW w:w="817" w:type="dxa"/>
            <w:vAlign w:val="center"/>
          </w:tcPr>
          <w:p w14:paraId="0888FB81" w14:textId="77777777" w:rsidR="0012177B" w:rsidRDefault="00E2256A">
            <w:pPr>
              <w:jc w:val="center"/>
            </w:pPr>
            <w:r>
              <w:rPr>
                <w:rFonts w:eastAsiaTheme="minorEastAsia"/>
                <w:color w:val="000000" w:themeColor="text1"/>
                <w:szCs w:val="21"/>
              </w:rPr>
              <w:t>8</w:t>
            </w:r>
          </w:p>
        </w:tc>
        <w:tc>
          <w:tcPr>
            <w:tcW w:w="1276" w:type="dxa"/>
            <w:vAlign w:val="center"/>
          </w:tcPr>
          <w:p w14:paraId="0A253C83" w14:textId="77777777" w:rsidR="0012177B" w:rsidRDefault="00E2256A">
            <w:pPr>
              <w:jc w:val="center"/>
            </w:pPr>
            <w:r>
              <w:rPr>
                <w:rFonts w:eastAsiaTheme="minorEastAsia"/>
                <w:color w:val="000000" w:themeColor="text1"/>
                <w:szCs w:val="21"/>
              </w:rPr>
              <w:t>603392</w:t>
            </w:r>
          </w:p>
        </w:tc>
        <w:tc>
          <w:tcPr>
            <w:tcW w:w="1701" w:type="dxa"/>
            <w:vAlign w:val="center"/>
          </w:tcPr>
          <w:p w14:paraId="518F2D5A" w14:textId="77777777" w:rsidR="0012177B" w:rsidRDefault="00E2256A">
            <w:pPr>
              <w:jc w:val="center"/>
            </w:pPr>
            <w:r>
              <w:rPr>
                <w:rFonts w:eastAsiaTheme="minorEastAsia"/>
                <w:color w:val="000000" w:themeColor="text1"/>
                <w:szCs w:val="21"/>
              </w:rPr>
              <w:t>万泰生物</w:t>
            </w:r>
          </w:p>
        </w:tc>
        <w:tc>
          <w:tcPr>
            <w:tcW w:w="1276" w:type="dxa"/>
            <w:vAlign w:val="center"/>
          </w:tcPr>
          <w:p w14:paraId="7CCBC5A3" w14:textId="77777777" w:rsidR="0012177B" w:rsidRDefault="00E2256A">
            <w:pPr>
              <w:jc w:val="right"/>
            </w:pPr>
            <w:r>
              <w:rPr>
                <w:rFonts w:eastAsiaTheme="minorEastAsia"/>
                <w:color w:val="000000" w:themeColor="text1"/>
                <w:szCs w:val="21"/>
              </w:rPr>
              <w:t>78,419.00</w:t>
            </w:r>
          </w:p>
        </w:tc>
        <w:tc>
          <w:tcPr>
            <w:tcW w:w="1842" w:type="dxa"/>
            <w:vAlign w:val="center"/>
          </w:tcPr>
          <w:p w14:paraId="3069E64B" w14:textId="77777777" w:rsidR="0012177B" w:rsidRDefault="00E2256A">
            <w:pPr>
              <w:jc w:val="right"/>
            </w:pPr>
            <w:r>
              <w:rPr>
                <w:rFonts w:eastAsiaTheme="minorEastAsia"/>
                <w:color w:val="000000" w:themeColor="text1"/>
                <w:szCs w:val="21"/>
              </w:rPr>
              <w:t>6,420,163.53</w:t>
            </w:r>
          </w:p>
        </w:tc>
        <w:tc>
          <w:tcPr>
            <w:tcW w:w="1616" w:type="dxa"/>
            <w:vAlign w:val="center"/>
          </w:tcPr>
          <w:p w14:paraId="69B48A42" w14:textId="77777777" w:rsidR="0012177B" w:rsidRDefault="00E2256A">
            <w:pPr>
              <w:jc w:val="right"/>
            </w:pPr>
            <w:r>
              <w:rPr>
                <w:rFonts w:eastAsiaTheme="minorEastAsia"/>
                <w:color w:val="000000" w:themeColor="text1"/>
                <w:szCs w:val="21"/>
              </w:rPr>
              <w:t>3.32</w:t>
            </w:r>
          </w:p>
        </w:tc>
      </w:tr>
      <w:tr w:rsidR="0012177B" w14:paraId="50B0AB95" w14:textId="77777777">
        <w:tc>
          <w:tcPr>
            <w:tcW w:w="817" w:type="dxa"/>
            <w:vAlign w:val="center"/>
          </w:tcPr>
          <w:p w14:paraId="157D544B" w14:textId="77777777" w:rsidR="0012177B" w:rsidRDefault="00E2256A">
            <w:pPr>
              <w:jc w:val="center"/>
            </w:pPr>
            <w:r>
              <w:rPr>
                <w:rFonts w:eastAsiaTheme="minorEastAsia"/>
                <w:color w:val="000000" w:themeColor="text1"/>
                <w:szCs w:val="21"/>
              </w:rPr>
              <w:t>9</w:t>
            </w:r>
          </w:p>
        </w:tc>
        <w:tc>
          <w:tcPr>
            <w:tcW w:w="1276" w:type="dxa"/>
            <w:vAlign w:val="center"/>
          </w:tcPr>
          <w:p w14:paraId="04177C72" w14:textId="77777777" w:rsidR="0012177B" w:rsidRDefault="00E2256A">
            <w:pPr>
              <w:jc w:val="center"/>
            </w:pPr>
            <w:r>
              <w:rPr>
                <w:rFonts w:eastAsiaTheme="minorEastAsia"/>
                <w:color w:val="000000" w:themeColor="text1"/>
                <w:szCs w:val="21"/>
              </w:rPr>
              <w:t>000963</w:t>
            </w:r>
          </w:p>
        </w:tc>
        <w:tc>
          <w:tcPr>
            <w:tcW w:w="1701" w:type="dxa"/>
            <w:vAlign w:val="center"/>
          </w:tcPr>
          <w:p w14:paraId="140DC190" w14:textId="77777777" w:rsidR="0012177B" w:rsidRDefault="00E2256A">
            <w:pPr>
              <w:jc w:val="center"/>
            </w:pPr>
            <w:r>
              <w:rPr>
                <w:rFonts w:eastAsiaTheme="minorEastAsia"/>
                <w:color w:val="000000" w:themeColor="text1"/>
                <w:szCs w:val="21"/>
              </w:rPr>
              <w:t>华东医药</w:t>
            </w:r>
          </w:p>
        </w:tc>
        <w:tc>
          <w:tcPr>
            <w:tcW w:w="1276" w:type="dxa"/>
            <w:vAlign w:val="center"/>
          </w:tcPr>
          <w:p w14:paraId="6EC761DD" w14:textId="77777777" w:rsidR="0012177B" w:rsidRDefault="00E2256A">
            <w:pPr>
              <w:jc w:val="right"/>
            </w:pPr>
            <w:r>
              <w:rPr>
                <w:rFonts w:eastAsiaTheme="minorEastAsia"/>
                <w:color w:val="000000" w:themeColor="text1"/>
                <w:szCs w:val="21"/>
              </w:rPr>
              <w:t>181,000.00</w:t>
            </w:r>
          </w:p>
        </w:tc>
        <w:tc>
          <w:tcPr>
            <w:tcW w:w="1842" w:type="dxa"/>
            <w:vAlign w:val="center"/>
          </w:tcPr>
          <w:p w14:paraId="72025018" w14:textId="77777777" w:rsidR="0012177B" w:rsidRDefault="00E2256A">
            <w:pPr>
              <w:jc w:val="right"/>
            </w:pPr>
            <w:r>
              <w:rPr>
                <w:rFonts w:eastAsiaTheme="minorEastAsia"/>
                <w:color w:val="000000" w:themeColor="text1"/>
                <w:szCs w:val="21"/>
              </w:rPr>
              <w:t>6,333,190.00</w:t>
            </w:r>
          </w:p>
        </w:tc>
        <w:tc>
          <w:tcPr>
            <w:tcW w:w="1616" w:type="dxa"/>
            <w:vAlign w:val="center"/>
          </w:tcPr>
          <w:p w14:paraId="5DC7AFD0" w14:textId="77777777" w:rsidR="0012177B" w:rsidRDefault="00E2256A">
            <w:pPr>
              <w:jc w:val="right"/>
            </w:pPr>
            <w:r>
              <w:rPr>
                <w:rFonts w:eastAsiaTheme="minorEastAsia"/>
                <w:color w:val="000000" w:themeColor="text1"/>
                <w:szCs w:val="21"/>
              </w:rPr>
              <w:t>3.28</w:t>
            </w:r>
          </w:p>
        </w:tc>
      </w:tr>
      <w:tr w:rsidR="0012177B" w14:paraId="39A1632C" w14:textId="77777777">
        <w:tc>
          <w:tcPr>
            <w:tcW w:w="817" w:type="dxa"/>
            <w:vAlign w:val="center"/>
          </w:tcPr>
          <w:p w14:paraId="24B357FC" w14:textId="77777777" w:rsidR="0012177B" w:rsidRDefault="00E2256A">
            <w:pPr>
              <w:jc w:val="center"/>
            </w:pPr>
            <w:r>
              <w:rPr>
                <w:rFonts w:eastAsiaTheme="minorEastAsia"/>
                <w:color w:val="000000" w:themeColor="text1"/>
                <w:szCs w:val="21"/>
              </w:rPr>
              <w:t>10</w:t>
            </w:r>
          </w:p>
        </w:tc>
        <w:tc>
          <w:tcPr>
            <w:tcW w:w="1276" w:type="dxa"/>
            <w:vAlign w:val="center"/>
          </w:tcPr>
          <w:p w14:paraId="0F4324C2" w14:textId="77777777" w:rsidR="0012177B" w:rsidRDefault="00E2256A">
            <w:pPr>
              <w:jc w:val="center"/>
            </w:pPr>
            <w:r>
              <w:rPr>
                <w:rFonts w:eastAsiaTheme="minorEastAsia"/>
                <w:color w:val="000000" w:themeColor="text1"/>
                <w:szCs w:val="21"/>
              </w:rPr>
              <w:t>300759</w:t>
            </w:r>
          </w:p>
        </w:tc>
        <w:tc>
          <w:tcPr>
            <w:tcW w:w="1701" w:type="dxa"/>
            <w:vAlign w:val="center"/>
          </w:tcPr>
          <w:p w14:paraId="1DE5E186" w14:textId="77777777" w:rsidR="0012177B" w:rsidRDefault="00E2256A">
            <w:pPr>
              <w:jc w:val="center"/>
            </w:pPr>
            <w:r>
              <w:rPr>
                <w:rFonts w:eastAsiaTheme="minorEastAsia"/>
                <w:color w:val="000000" w:themeColor="text1"/>
                <w:szCs w:val="21"/>
              </w:rPr>
              <w:t>康龙化成</w:t>
            </w:r>
          </w:p>
        </w:tc>
        <w:tc>
          <w:tcPr>
            <w:tcW w:w="1276" w:type="dxa"/>
            <w:vAlign w:val="center"/>
          </w:tcPr>
          <w:p w14:paraId="17098A41" w14:textId="77777777" w:rsidR="0012177B" w:rsidRDefault="00E2256A">
            <w:pPr>
              <w:jc w:val="right"/>
            </w:pPr>
            <w:r>
              <w:rPr>
                <w:rFonts w:eastAsiaTheme="minorEastAsia"/>
                <w:color w:val="000000" w:themeColor="text1"/>
                <w:szCs w:val="21"/>
              </w:rPr>
              <w:t>183,925.00</w:t>
            </w:r>
          </w:p>
        </w:tc>
        <w:tc>
          <w:tcPr>
            <w:tcW w:w="1842" w:type="dxa"/>
            <w:vAlign w:val="center"/>
          </w:tcPr>
          <w:p w14:paraId="64099868" w14:textId="77777777" w:rsidR="0012177B" w:rsidRDefault="00E2256A">
            <w:pPr>
              <w:jc w:val="right"/>
            </w:pPr>
            <w:r>
              <w:rPr>
                <w:rFonts w:eastAsiaTheme="minorEastAsia"/>
                <w:color w:val="000000" w:themeColor="text1"/>
                <w:szCs w:val="21"/>
              </w:rPr>
              <w:t>5,582,123.75</w:t>
            </w:r>
          </w:p>
        </w:tc>
        <w:tc>
          <w:tcPr>
            <w:tcW w:w="1616" w:type="dxa"/>
            <w:vAlign w:val="center"/>
          </w:tcPr>
          <w:p w14:paraId="5F28C1D8" w14:textId="77777777" w:rsidR="0012177B" w:rsidRDefault="00E2256A">
            <w:pPr>
              <w:jc w:val="right"/>
            </w:pPr>
            <w:r>
              <w:rPr>
                <w:rFonts w:eastAsiaTheme="minorEastAsia"/>
                <w:color w:val="000000" w:themeColor="text1"/>
                <w:szCs w:val="21"/>
              </w:rPr>
              <w:t>2.89</w:t>
            </w:r>
          </w:p>
        </w:tc>
      </w:tr>
    </w:tbl>
    <w:p w14:paraId="7F66517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134F60A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本基金本报告期末未持有积极投资股票。</w:t>
      </w:r>
    </w:p>
    <w:p w14:paraId="673C93CD"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19FF203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6B83209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208709F1"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7795336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31E1A98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393128A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DF1B0F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2C1EB7D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317F913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5F2CA38"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4E4474A6"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333BE7E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C3BB24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39340EB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1D2534A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762EBE0"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68FFC31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36EC5DF0" w14:textId="77777777" w:rsidR="00881A82" w:rsidRPr="00473486" w:rsidRDefault="00881A82">
      <w:pPr>
        <w:adjustRightInd w:val="0"/>
        <w:snapToGrid w:val="0"/>
        <w:spacing w:line="360" w:lineRule="exact"/>
        <w:rPr>
          <w:rFonts w:eastAsiaTheme="minorEastAsia"/>
          <w:color w:val="000000" w:themeColor="text1"/>
          <w:sz w:val="24"/>
        </w:rPr>
      </w:pPr>
    </w:p>
    <w:p w14:paraId="24DCA172"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3F2A636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58349A8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7519B9C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6FA28F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7601915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38AB2E24" w14:textId="77777777">
        <w:trPr>
          <w:trHeight w:val="567"/>
        </w:trPr>
        <w:tc>
          <w:tcPr>
            <w:tcW w:w="944" w:type="dxa"/>
            <w:vAlign w:val="center"/>
          </w:tcPr>
          <w:p w14:paraId="3532D20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lastRenderedPageBreak/>
              <w:t>序号</w:t>
            </w:r>
          </w:p>
        </w:tc>
        <w:tc>
          <w:tcPr>
            <w:tcW w:w="2761" w:type="dxa"/>
            <w:vAlign w:val="center"/>
          </w:tcPr>
          <w:p w14:paraId="79B08C1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04FB52F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78B9CD9B" w14:textId="77777777">
        <w:trPr>
          <w:trHeight w:val="567"/>
        </w:trPr>
        <w:tc>
          <w:tcPr>
            <w:tcW w:w="944" w:type="dxa"/>
            <w:vAlign w:val="center"/>
          </w:tcPr>
          <w:p w14:paraId="1A15F57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5775CC2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5D253D9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12,812.25</w:t>
            </w:r>
          </w:p>
        </w:tc>
      </w:tr>
      <w:tr w:rsidR="00881A82" w:rsidRPr="00473486" w14:paraId="46CC57ED" w14:textId="77777777">
        <w:trPr>
          <w:trHeight w:val="567"/>
        </w:trPr>
        <w:tc>
          <w:tcPr>
            <w:tcW w:w="944" w:type="dxa"/>
            <w:vAlign w:val="center"/>
          </w:tcPr>
          <w:p w14:paraId="0B11B324"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41121B0F"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6EA4E40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26,004.21</w:t>
            </w:r>
          </w:p>
        </w:tc>
      </w:tr>
      <w:tr w:rsidR="00881A82" w:rsidRPr="00473486" w14:paraId="7770C40C" w14:textId="77777777">
        <w:trPr>
          <w:trHeight w:val="567"/>
        </w:trPr>
        <w:tc>
          <w:tcPr>
            <w:tcW w:w="944" w:type="dxa"/>
            <w:vAlign w:val="center"/>
          </w:tcPr>
          <w:p w14:paraId="2855FD4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05E2995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61222EF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8A34087" w14:textId="77777777">
        <w:trPr>
          <w:trHeight w:val="567"/>
        </w:trPr>
        <w:tc>
          <w:tcPr>
            <w:tcW w:w="944" w:type="dxa"/>
            <w:vAlign w:val="center"/>
          </w:tcPr>
          <w:p w14:paraId="3C1DE60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620ED3D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6DE1C08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54C5A8B" w14:textId="77777777">
        <w:trPr>
          <w:trHeight w:val="567"/>
        </w:trPr>
        <w:tc>
          <w:tcPr>
            <w:tcW w:w="944" w:type="dxa"/>
            <w:vAlign w:val="center"/>
          </w:tcPr>
          <w:p w14:paraId="79EF33E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68A76CA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7A010C9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D37D1FF" w14:textId="77777777">
        <w:trPr>
          <w:trHeight w:val="567"/>
        </w:trPr>
        <w:tc>
          <w:tcPr>
            <w:tcW w:w="944" w:type="dxa"/>
            <w:vAlign w:val="center"/>
          </w:tcPr>
          <w:p w14:paraId="2D3A32C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2CBAE38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18B830E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D805741" w14:textId="77777777">
        <w:trPr>
          <w:trHeight w:val="567"/>
        </w:trPr>
        <w:tc>
          <w:tcPr>
            <w:tcW w:w="944" w:type="dxa"/>
          </w:tcPr>
          <w:p w14:paraId="11800E9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78BB659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4834D29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1F50FC5" w14:textId="77777777">
        <w:trPr>
          <w:trHeight w:val="567"/>
        </w:trPr>
        <w:tc>
          <w:tcPr>
            <w:tcW w:w="944" w:type="dxa"/>
            <w:vAlign w:val="center"/>
          </w:tcPr>
          <w:p w14:paraId="2FA0356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302C78C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3521EFB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B9648B4" w14:textId="77777777">
        <w:trPr>
          <w:trHeight w:val="567"/>
        </w:trPr>
        <w:tc>
          <w:tcPr>
            <w:tcW w:w="944" w:type="dxa"/>
            <w:vAlign w:val="center"/>
          </w:tcPr>
          <w:p w14:paraId="616AFAC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60240BE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61E93B5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38,816.46</w:t>
            </w:r>
          </w:p>
        </w:tc>
      </w:tr>
    </w:tbl>
    <w:p w14:paraId="5F7001E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6705AC9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5FBB2D77"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2ACC1DCD"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73A006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5D2E214C"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4DC04ED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659CFC45" w14:textId="77777777" w:rsidR="00881A82" w:rsidRPr="00473486" w:rsidRDefault="00881A82">
      <w:pPr>
        <w:spacing w:line="360" w:lineRule="auto"/>
        <w:rPr>
          <w:rFonts w:eastAsiaTheme="minorEastAsia"/>
          <w:bCs/>
          <w:color w:val="000000" w:themeColor="text1"/>
          <w:szCs w:val="21"/>
        </w:rPr>
      </w:pPr>
    </w:p>
    <w:p w14:paraId="5286DA6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1A766F0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4C8D1FF3" w14:textId="77777777" w:rsidR="00881A82" w:rsidRPr="00473486" w:rsidRDefault="00881A82">
      <w:pPr>
        <w:spacing w:line="360" w:lineRule="auto"/>
        <w:ind w:firstLineChars="200" w:firstLine="420"/>
        <w:rPr>
          <w:rFonts w:eastAsiaTheme="minorEastAsia"/>
          <w:color w:val="000000" w:themeColor="text1"/>
          <w:szCs w:val="21"/>
        </w:rPr>
      </w:pPr>
    </w:p>
    <w:p w14:paraId="5D0F9C0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3AE1577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55696837"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1E630EC"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6EFB7C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233,969,080.00</w:t>
            </w:r>
          </w:p>
        </w:tc>
      </w:tr>
      <w:tr w:rsidR="00881A82" w:rsidRPr="00473486" w14:paraId="754A4A9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7CFDE8C"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C996F2A"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42,000,000.00</w:t>
            </w:r>
          </w:p>
        </w:tc>
      </w:tr>
      <w:tr w:rsidR="00881A82" w:rsidRPr="00473486" w14:paraId="2520D0E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E1D5741"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6A939F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39,000,000.00</w:t>
            </w:r>
          </w:p>
        </w:tc>
      </w:tr>
      <w:tr w:rsidR="00881A82" w:rsidRPr="00473486" w14:paraId="23174C4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6FA2B04"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6512C2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AC9132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FD6FD1D"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5B924E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236,969,080.00</w:t>
            </w:r>
          </w:p>
        </w:tc>
      </w:tr>
    </w:tbl>
    <w:p w14:paraId="7EEF735C"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43298E3A"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2C42200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7FD2DDD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7967220"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41A525C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77A7B35C"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7798CFB9"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460FA2FD" w14:textId="77777777">
        <w:tc>
          <w:tcPr>
            <w:tcW w:w="993" w:type="dxa"/>
            <w:vMerge w:val="restart"/>
            <w:vAlign w:val="center"/>
          </w:tcPr>
          <w:p w14:paraId="3C65DD6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2AEC63C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49BBD60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0320ECD9" w14:textId="77777777">
        <w:tc>
          <w:tcPr>
            <w:tcW w:w="993" w:type="dxa"/>
            <w:vMerge/>
            <w:vAlign w:val="center"/>
          </w:tcPr>
          <w:p w14:paraId="60EC9DD3"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706F804A"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00999285"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1E96A0B5"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139FEF90"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79B621F1"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5B410CB4"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6991381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12177B" w14:paraId="4AE36AF1" w14:textId="77777777">
        <w:tc>
          <w:tcPr>
            <w:tcW w:w="993" w:type="dxa"/>
            <w:vMerge w:val="restart"/>
            <w:vAlign w:val="center"/>
          </w:tcPr>
          <w:p w14:paraId="212B004C" w14:textId="77777777" w:rsidR="0012177B" w:rsidRDefault="00E2256A">
            <w:r>
              <w:rPr>
                <w:bCs/>
                <w:color w:val="000000"/>
                <w:kern w:val="0"/>
                <w:szCs w:val="21"/>
              </w:rPr>
              <w:t>机构</w:t>
            </w:r>
          </w:p>
        </w:tc>
        <w:tc>
          <w:tcPr>
            <w:tcW w:w="992" w:type="dxa"/>
            <w:vAlign w:val="center"/>
          </w:tcPr>
          <w:p w14:paraId="09B737AF" w14:textId="77777777" w:rsidR="0012177B" w:rsidRDefault="00E2256A">
            <w:pPr>
              <w:jc w:val="center"/>
            </w:pPr>
            <w:r>
              <w:rPr>
                <w:color w:val="000000"/>
                <w:kern w:val="0"/>
                <w:szCs w:val="21"/>
              </w:rPr>
              <w:t>1</w:t>
            </w:r>
          </w:p>
        </w:tc>
        <w:tc>
          <w:tcPr>
            <w:tcW w:w="1843" w:type="dxa"/>
            <w:vAlign w:val="center"/>
          </w:tcPr>
          <w:p w14:paraId="54DFF769" w14:textId="77777777" w:rsidR="0012177B" w:rsidRDefault="00E2256A">
            <w:pPr>
              <w:jc w:val="center"/>
            </w:pPr>
            <w:r>
              <w:rPr>
                <w:color w:val="000000"/>
                <w:kern w:val="0"/>
                <w:szCs w:val="21"/>
              </w:rPr>
              <w:t>20240701-20240930</w:t>
            </w:r>
          </w:p>
        </w:tc>
        <w:tc>
          <w:tcPr>
            <w:tcW w:w="851" w:type="dxa"/>
            <w:vAlign w:val="center"/>
          </w:tcPr>
          <w:p w14:paraId="2F2351E2" w14:textId="77777777" w:rsidR="0012177B" w:rsidRDefault="00E2256A">
            <w:pPr>
              <w:jc w:val="center"/>
            </w:pPr>
            <w:r>
              <w:rPr>
                <w:color w:val="000000"/>
                <w:kern w:val="0"/>
                <w:szCs w:val="21"/>
              </w:rPr>
              <w:t>200,000,000.00</w:t>
            </w:r>
          </w:p>
        </w:tc>
        <w:tc>
          <w:tcPr>
            <w:tcW w:w="850" w:type="dxa"/>
            <w:vAlign w:val="center"/>
          </w:tcPr>
          <w:p w14:paraId="790923AA" w14:textId="77777777" w:rsidR="0012177B" w:rsidRDefault="00E2256A">
            <w:pPr>
              <w:jc w:val="center"/>
            </w:pPr>
            <w:r>
              <w:rPr>
                <w:color w:val="000000"/>
                <w:kern w:val="0"/>
                <w:szCs w:val="21"/>
              </w:rPr>
              <w:t>0.00</w:t>
            </w:r>
          </w:p>
        </w:tc>
        <w:tc>
          <w:tcPr>
            <w:tcW w:w="1134" w:type="dxa"/>
            <w:vAlign w:val="center"/>
          </w:tcPr>
          <w:p w14:paraId="6EAA256B" w14:textId="77777777" w:rsidR="0012177B" w:rsidRDefault="00E2256A">
            <w:pPr>
              <w:jc w:val="center"/>
            </w:pPr>
            <w:r>
              <w:rPr>
                <w:color w:val="000000"/>
                <w:kern w:val="0"/>
                <w:szCs w:val="21"/>
              </w:rPr>
              <w:t>0.00</w:t>
            </w:r>
          </w:p>
        </w:tc>
        <w:tc>
          <w:tcPr>
            <w:tcW w:w="1419" w:type="dxa"/>
            <w:vAlign w:val="center"/>
          </w:tcPr>
          <w:p w14:paraId="106A7309" w14:textId="77777777" w:rsidR="0012177B" w:rsidRDefault="00E2256A">
            <w:pPr>
              <w:jc w:val="center"/>
            </w:pPr>
            <w:r>
              <w:rPr>
                <w:color w:val="000000"/>
                <w:kern w:val="0"/>
                <w:szCs w:val="21"/>
              </w:rPr>
              <w:t>200,000,000.00</w:t>
            </w:r>
          </w:p>
        </w:tc>
        <w:tc>
          <w:tcPr>
            <w:tcW w:w="1130" w:type="dxa"/>
            <w:vAlign w:val="center"/>
          </w:tcPr>
          <w:p w14:paraId="5ECBC8CE" w14:textId="77777777" w:rsidR="0012177B" w:rsidRDefault="00E2256A">
            <w:pPr>
              <w:jc w:val="center"/>
            </w:pPr>
            <w:r>
              <w:rPr>
                <w:color w:val="000000"/>
                <w:kern w:val="0"/>
                <w:szCs w:val="21"/>
              </w:rPr>
              <w:t>84.40%</w:t>
            </w:r>
          </w:p>
        </w:tc>
      </w:tr>
      <w:tr w:rsidR="00881A82" w:rsidRPr="00473486" w14:paraId="067CD8BB" w14:textId="77777777">
        <w:tc>
          <w:tcPr>
            <w:tcW w:w="9212" w:type="dxa"/>
            <w:gridSpan w:val="8"/>
            <w:vAlign w:val="center"/>
          </w:tcPr>
          <w:p w14:paraId="118A6CCE"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700F187C" w14:textId="77777777">
        <w:tc>
          <w:tcPr>
            <w:tcW w:w="9212" w:type="dxa"/>
            <w:gridSpan w:val="8"/>
            <w:vAlign w:val="center"/>
          </w:tcPr>
          <w:p w14:paraId="7E9332C1"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0E2B4F5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2E8FDE6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6052E8EE"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67BEED6B"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摩根中证创新药产业交易型开放式指数证券投资基金基金合同</w:t>
      </w:r>
    </w:p>
    <w:p w14:paraId="22A6FE7C"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摩根中证创新药产业交易型开放式指数证券投资基金托管协议</w:t>
      </w:r>
    </w:p>
    <w:p w14:paraId="7B7DA200"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1DBCDABB"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11FEDCE"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0F2E8AD" w14:textId="77777777" w:rsidR="0012177B" w:rsidRDefault="00E225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1D523F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58D1A2F4" w14:textId="77777777" w:rsidR="00881A82" w:rsidRPr="00473486" w:rsidRDefault="00881A82">
      <w:pPr>
        <w:spacing w:line="360" w:lineRule="auto"/>
        <w:ind w:firstLineChars="200" w:firstLine="480"/>
        <w:rPr>
          <w:rFonts w:eastAsiaTheme="minorEastAsia"/>
          <w:color w:val="000000" w:themeColor="text1"/>
          <w:sz w:val="24"/>
        </w:rPr>
      </w:pPr>
    </w:p>
    <w:p w14:paraId="7D655DE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34CF688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13E95976" w14:textId="77777777" w:rsidR="00881A82" w:rsidRPr="00473486" w:rsidRDefault="00881A82">
      <w:pPr>
        <w:spacing w:line="360" w:lineRule="auto"/>
        <w:ind w:firstLineChars="200" w:firstLine="480"/>
        <w:rPr>
          <w:rFonts w:eastAsiaTheme="minorEastAsia"/>
          <w:color w:val="000000" w:themeColor="text1"/>
          <w:sz w:val="24"/>
        </w:rPr>
      </w:pPr>
    </w:p>
    <w:p w14:paraId="7A19BE9C"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48B2501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7BB7986F" w14:textId="77777777" w:rsidR="00881A82" w:rsidRPr="00473486" w:rsidRDefault="00881A82">
      <w:pPr>
        <w:spacing w:line="360" w:lineRule="auto"/>
        <w:ind w:left="840"/>
        <w:jc w:val="right"/>
        <w:rPr>
          <w:rFonts w:eastAsiaTheme="minorEastAsia"/>
          <w:color w:val="000000" w:themeColor="text1"/>
          <w:sz w:val="24"/>
        </w:rPr>
      </w:pPr>
    </w:p>
    <w:p w14:paraId="4D5FD3DC" w14:textId="77777777" w:rsidR="00881A82" w:rsidRPr="00473486" w:rsidRDefault="00881A82">
      <w:pPr>
        <w:spacing w:line="360" w:lineRule="auto"/>
        <w:ind w:left="840"/>
        <w:jc w:val="right"/>
        <w:rPr>
          <w:rFonts w:eastAsiaTheme="minorEastAsia"/>
          <w:color w:val="000000" w:themeColor="text1"/>
          <w:sz w:val="24"/>
        </w:rPr>
      </w:pPr>
    </w:p>
    <w:p w14:paraId="704F6A5F" w14:textId="77777777" w:rsidR="00881A82" w:rsidRPr="00473486" w:rsidRDefault="00881A82">
      <w:pPr>
        <w:spacing w:line="360" w:lineRule="auto"/>
        <w:ind w:left="840"/>
        <w:jc w:val="right"/>
        <w:rPr>
          <w:rFonts w:eastAsiaTheme="minorEastAsia"/>
          <w:color w:val="000000" w:themeColor="text1"/>
          <w:sz w:val="24"/>
        </w:rPr>
      </w:pPr>
    </w:p>
    <w:p w14:paraId="31B0BB58" w14:textId="77777777" w:rsidR="00881A82" w:rsidRPr="00473486" w:rsidRDefault="00881A82">
      <w:pPr>
        <w:spacing w:line="360" w:lineRule="auto"/>
        <w:ind w:left="840"/>
        <w:jc w:val="right"/>
        <w:rPr>
          <w:rFonts w:eastAsiaTheme="minorEastAsia"/>
          <w:color w:val="000000" w:themeColor="text1"/>
          <w:sz w:val="24"/>
        </w:rPr>
      </w:pPr>
    </w:p>
    <w:p w14:paraId="640FEA1F" w14:textId="77777777" w:rsidR="00881A82" w:rsidRPr="00473486" w:rsidRDefault="00881A82">
      <w:pPr>
        <w:spacing w:line="360" w:lineRule="auto"/>
        <w:ind w:left="840"/>
        <w:jc w:val="right"/>
        <w:rPr>
          <w:rFonts w:eastAsiaTheme="minorEastAsia"/>
          <w:color w:val="000000" w:themeColor="text1"/>
          <w:sz w:val="24"/>
        </w:rPr>
      </w:pPr>
    </w:p>
    <w:p w14:paraId="51958838"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7097A7D4"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14:paraId="050E67E8"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FFBD" w14:textId="77777777" w:rsidR="007F3EDF" w:rsidRDefault="007F3EDF">
      <w:r>
        <w:separator/>
      </w:r>
    </w:p>
  </w:endnote>
  <w:endnote w:type="continuationSeparator" w:id="0">
    <w:p w14:paraId="694CFA27"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F18F"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3910"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587CAD8"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002"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6245A9B7"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662F" w14:textId="77777777" w:rsidR="007F3EDF" w:rsidRDefault="007F3EDF">
      <w:r>
        <w:separator/>
      </w:r>
    </w:p>
  </w:footnote>
  <w:footnote w:type="continuationSeparator" w:id="0">
    <w:p w14:paraId="3FDED61B"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E27" w14:textId="77777777" w:rsidR="00881A82" w:rsidRDefault="007D1E3A">
    <w:pPr>
      <w:pStyle w:val="af"/>
      <w:pBdr>
        <w:bottom w:val="single" w:sz="6" w:space="0" w:color="auto"/>
      </w:pBdr>
      <w:jc w:val="right"/>
    </w:pPr>
    <w:r>
      <w:t>摩根中</w:t>
    </w:r>
    <w:proofErr w:type="gramStart"/>
    <w:r>
      <w:t>证创新药产业</w:t>
    </w:r>
    <w:proofErr w:type="gramEnd"/>
    <w:r>
      <w:t>交易型开放式指数证券投资基金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177B"/>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56A"/>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BDD04"/>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1146</Words>
  <Characters>6533</Characters>
  <Application>Microsoft Office Word</Application>
  <DocSecurity>0</DocSecurity>
  <Lines>54</Lines>
  <Paragraphs>15</Paragraphs>
  <ScaleCrop>false</ScaleCrop>
  <Company>TRT. Ltd. Co.</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Niki.Jiang@GMC</cp:lastModifiedBy>
  <cp:revision>158</cp:revision>
  <cp:lastPrinted>2007-07-19T00:46:00Z</cp:lastPrinted>
  <dcterms:created xsi:type="dcterms:W3CDTF">2012-11-21T04:46:00Z</dcterms:created>
  <dcterms:modified xsi:type="dcterms:W3CDTF">2024-10-24T05:36:00Z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