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2" w:rsidRPr="00473486" w:rsidRDefault="00881A82">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36"/>
          <w:szCs w:val="36"/>
        </w:rPr>
      </w:pP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摩根中证碳中和</w:t>
      </w:r>
      <w:r w:rsidRPr="00473486">
        <w:rPr>
          <w:rFonts w:eastAsiaTheme="minorEastAsia"/>
          <w:b/>
          <w:color w:val="000000" w:themeColor="text1"/>
          <w:sz w:val="36"/>
          <w:szCs w:val="36"/>
        </w:rPr>
        <w:t>60</w:t>
      </w:r>
      <w:r w:rsidRPr="00473486">
        <w:rPr>
          <w:rFonts w:eastAsiaTheme="minorEastAsia"/>
          <w:b/>
          <w:color w:val="000000" w:themeColor="text1"/>
          <w:sz w:val="36"/>
          <w:szCs w:val="36"/>
        </w:rPr>
        <w:t>交易型开放式指数证券投资基金</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2023</w:t>
      </w:r>
      <w:r w:rsidRPr="00473486">
        <w:rPr>
          <w:rFonts w:eastAsiaTheme="minorEastAsia"/>
          <w:b/>
          <w:color w:val="000000" w:themeColor="text1"/>
          <w:sz w:val="36"/>
          <w:szCs w:val="36"/>
        </w:rPr>
        <w:t>年第</w:t>
      </w:r>
      <w:r w:rsidRPr="00473486">
        <w:rPr>
          <w:rFonts w:eastAsiaTheme="minorEastAsia"/>
          <w:b/>
          <w:color w:val="000000" w:themeColor="text1"/>
          <w:sz w:val="36"/>
          <w:szCs w:val="36"/>
        </w:rPr>
        <w:t>1</w:t>
      </w:r>
      <w:r w:rsidRPr="00473486">
        <w:rPr>
          <w:rFonts w:eastAsiaTheme="minorEastAsia"/>
          <w:b/>
          <w:color w:val="000000" w:themeColor="text1"/>
          <w:sz w:val="36"/>
          <w:szCs w:val="36"/>
        </w:rPr>
        <w:t>季度报告</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2023</w:t>
      </w:r>
      <w:r w:rsidRPr="00473486">
        <w:rPr>
          <w:rFonts w:eastAsiaTheme="minorEastAsia"/>
          <w:b/>
          <w:color w:val="000000" w:themeColor="text1"/>
          <w:sz w:val="36"/>
          <w:szCs w:val="36"/>
        </w:rPr>
        <w:t>年</w:t>
      </w:r>
      <w:r w:rsidRPr="00473486">
        <w:rPr>
          <w:rFonts w:eastAsiaTheme="minorEastAsia"/>
          <w:b/>
          <w:color w:val="000000" w:themeColor="text1"/>
          <w:sz w:val="36"/>
          <w:szCs w:val="36"/>
        </w:rPr>
        <w:t>3</w:t>
      </w:r>
      <w:r w:rsidRPr="00473486">
        <w:rPr>
          <w:rFonts w:eastAsiaTheme="minorEastAsia"/>
          <w:b/>
          <w:color w:val="000000" w:themeColor="text1"/>
          <w:sz w:val="36"/>
          <w:szCs w:val="36"/>
        </w:rPr>
        <w:t>月</w:t>
      </w:r>
      <w:r w:rsidRPr="00473486">
        <w:rPr>
          <w:rFonts w:eastAsiaTheme="minorEastAsia"/>
          <w:b/>
          <w:color w:val="000000" w:themeColor="text1"/>
          <w:sz w:val="36"/>
          <w:szCs w:val="36"/>
        </w:rPr>
        <w:t>31</w:t>
      </w:r>
      <w:r w:rsidRPr="00473486">
        <w:rPr>
          <w:rFonts w:eastAsiaTheme="minorEastAsia"/>
          <w:b/>
          <w:color w:val="000000" w:themeColor="text1"/>
          <w:sz w:val="36"/>
          <w:szCs w:val="36"/>
        </w:rPr>
        <w:t>日</w:t>
      </w: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rPr>
          <w:rFonts w:eastAsiaTheme="minorEastAsia"/>
          <w:b/>
          <w:color w:val="000000" w:themeColor="text1"/>
          <w:sz w:val="24"/>
        </w:rPr>
      </w:pP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基金管理人：摩根基金管理（中国）有限公司</w:t>
      </w: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基金托管人：交通银行股份有限公司</w:t>
      </w:r>
    </w:p>
    <w:p w:rsidR="00881A82" w:rsidRPr="00473486" w:rsidRDefault="007D1E3A">
      <w:pPr>
        <w:spacing w:line="360" w:lineRule="auto"/>
        <w:ind w:firstLineChars="900" w:firstLine="2168"/>
        <w:rPr>
          <w:rFonts w:eastAsiaTheme="minorEastAsia"/>
          <w:b/>
          <w:color w:val="000000" w:themeColor="text1"/>
          <w:sz w:val="24"/>
        </w:rPr>
        <w:sectPr w:rsidR="00881A82" w:rsidRPr="00473486">
          <w:headerReference w:type="default" r:id="rId7"/>
          <w:footerReference w:type="default" r:id="rId8"/>
          <w:pgSz w:w="11926" w:h="15840"/>
          <w:pgMar w:top="1418" w:right="1418" w:bottom="851" w:left="1418" w:header="851" w:footer="992" w:gutter="0"/>
          <w:cols w:space="720"/>
        </w:sectPr>
      </w:pPr>
      <w:r w:rsidRPr="00473486">
        <w:rPr>
          <w:rFonts w:eastAsiaTheme="minorEastAsia"/>
          <w:b/>
          <w:color w:val="000000" w:themeColor="text1"/>
          <w:sz w:val="24"/>
        </w:rPr>
        <w:t>报告送出日期：二〇二三年四月二十一日</w:t>
      </w:r>
    </w:p>
    <w:p w:rsidR="00881A82" w:rsidRPr="00473486" w:rsidRDefault="007D1E3A">
      <w:pPr>
        <w:pStyle w:val="1"/>
        <w:spacing w:beforeLines="100" w:before="312" w:afterLines="100" w:after="312" w:line="360" w:lineRule="auto"/>
        <w:jc w:val="center"/>
        <w:rPr>
          <w:rFonts w:eastAsiaTheme="minorEastAsia"/>
          <w:b w:val="0"/>
          <w:color w:val="000000" w:themeColor="text1"/>
          <w:kern w:val="0"/>
          <w:sz w:val="24"/>
          <w:szCs w:val="24"/>
        </w:rPr>
      </w:pPr>
      <w:r w:rsidRPr="00473486">
        <w:rPr>
          <w:rFonts w:eastAsiaTheme="minorEastAsia"/>
          <w:color w:val="000000" w:themeColor="text1"/>
          <w:kern w:val="0"/>
          <w:sz w:val="24"/>
          <w:szCs w:val="24"/>
        </w:rPr>
        <w:lastRenderedPageBreak/>
        <w:t xml:space="preserve">§1  </w:t>
      </w:r>
      <w:r w:rsidRPr="00473486">
        <w:rPr>
          <w:rFonts w:eastAsiaTheme="minorEastAsia"/>
          <w:color w:val="000000" w:themeColor="text1"/>
          <w:kern w:val="0"/>
          <w:sz w:val="24"/>
          <w:szCs w:val="24"/>
        </w:rPr>
        <w:t>重要提示</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本报告期自</w:t>
      </w:r>
      <w:r w:rsidRPr="00473486">
        <w:rPr>
          <w:rFonts w:eastAsiaTheme="minorEastAsia"/>
          <w:color w:val="000000" w:themeColor="text1"/>
          <w:szCs w:val="21"/>
        </w:rPr>
        <w:t>2023</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日起至</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日止。</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§2  </w:t>
      </w:r>
      <w:r w:rsidRPr="00473486">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基金简称</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摩根中证碳中和</w:t>
            </w:r>
            <w:r w:rsidRPr="00473486">
              <w:rPr>
                <w:rFonts w:eastAsiaTheme="minorEastAsia"/>
                <w:color w:val="000000" w:themeColor="text1"/>
                <w:kern w:val="0"/>
                <w:szCs w:val="21"/>
              </w:rPr>
              <w:t>60ETF</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560960</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560960</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基金运作方式</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交易型开放式</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基金合同生效日</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2022</w:t>
            </w:r>
            <w:r w:rsidRPr="00473486">
              <w:rPr>
                <w:rFonts w:eastAsiaTheme="minorEastAsia"/>
                <w:color w:val="000000" w:themeColor="text1"/>
                <w:kern w:val="0"/>
                <w:szCs w:val="21"/>
              </w:rPr>
              <w:t>年</w:t>
            </w:r>
            <w:r w:rsidRPr="00473486">
              <w:rPr>
                <w:rFonts w:eastAsiaTheme="minorEastAsia"/>
                <w:color w:val="000000" w:themeColor="text1"/>
                <w:kern w:val="0"/>
                <w:szCs w:val="21"/>
              </w:rPr>
              <w:t>12</w:t>
            </w:r>
            <w:r w:rsidRPr="00473486">
              <w:rPr>
                <w:rFonts w:eastAsiaTheme="minorEastAsia"/>
                <w:color w:val="000000" w:themeColor="text1"/>
                <w:kern w:val="0"/>
                <w:szCs w:val="21"/>
              </w:rPr>
              <w:t>月</w:t>
            </w:r>
            <w:r w:rsidRPr="00473486">
              <w:rPr>
                <w:rFonts w:eastAsiaTheme="minorEastAsia"/>
                <w:color w:val="000000" w:themeColor="text1"/>
                <w:kern w:val="0"/>
                <w:szCs w:val="21"/>
              </w:rPr>
              <w:t>29</w:t>
            </w:r>
            <w:r w:rsidRPr="00473486">
              <w:rPr>
                <w:rFonts w:eastAsiaTheme="minorEastAsia"/>
                <w:color w:val="000000" w:themeColor="text1"/>
                <w:kern w:val="0"/>
                <w:szCs w:val="21"/>
              </w:rPr>
              <w:t>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报告期末基金份额总额</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46,598,943.00</w:t>
            </w:r>
            <w:r w:rsidRPr="00473486">
              <w:rPr>
                <w:rFonts w:eastAsiaTheme="minorEastAsia"/>
                <w:color w:val="000000" w:themeColor="text1"/>
                <w:kern w:val="0"/>
                <w:szCs w:val="21"/>
              </w:rPr>
              <w:t>份</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投资目标</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本基金进行被动式指数化投资，紧密跟踪标的指数，追求跟踪偏离度和跟踪误差最小化。本基金力争日均跟踪偏离度的绝对值不超过</w:t>
            </w:r>
            <w:r w:rsidRPr="00473486">
              <w:rPr>
                <w:rFonts w:eastAsiaTheme="minorEastAsia"/>
                <w:color w:val="000000" w:themeColor="text1"/>
                <w:kern w:val="0"/>
                <w:szCs w:val="21"/>
              </w:rPr>
              <w:t>0.2%</w:t>
            </w:r>
            <w:r w:rsidRPr="00473486">
              <w:rPr>
                <w:rFonts w:eastAsiaTheme="minorEastAsia"/>
                <w:color w:val="000000" w:themeColor="text1"/>
                <w:kern w:val="0"/>
                <w:szCs w:val="21"/>
              </w:rPr>
              <w:t>，年跟踪误差不超过</w:t>
            </w:r>
            <w:r w:rsidRPr="00473486">
              <w:rPr>
                <w:rFonts w:eastAsiaTheme="minorEastAsia"/>
                <w:color w:val="000000" w:themeColor="text1"/>
                <w:kern w:val="0"/>
                <w:szCs w:val="21"/>
              </w:rPr>
              <w:t>2%</w:t>
            </w:r>
            <w:r w:rsidRPr="00473486">
              <w:rPr>
                <w:rFonts w:eastAsiaTheme="minorEastAsia"/>
                <w:color w:val="000000" w:themeColor="text1"/>
                <w:kern w:val="0"/>
                <w:szCs w:val="21"/>
              </w:rPr>
              <w:t>。</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投资策略</w:t>
            </w:r>
          </w:p>
        </w:tc>
        <w:tc>
          <w:tcPr>
            <w:tcW w:w="5479" w:type="dxa"/>
            <w:vAlign w:val="center"/>
          </w:tcPr>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为了实现追踪误差最小化，本基金投资于标的指数的成份股及其备选成份股的比例不低于基金资产净值的</w:t>
            </w:r>
            <w:r>
              <w:rPr>
                <w:rFonts w:eastAsiaTheme="minorEastAsia"/>
                <w:color w:val="000000" w:themeColor="text1"/>
                <w:kern w:val="0"/>
                <w:szCs w:val="21"/>
              </w:rPr>
              <w:t>90%</w:t>
            </w:r>
            <w:r>
              <w:rPr>
                <w:rFonts w:eastAsiaTheme="minorEastAsia"/>
                <w:color w:val="000000" w:themeColor="text1"/>
                <w:kern w:val="0"/>
                <w:szCs w:val="21"/>
              </w:rPr>
              <w:t>，且不低于非现金基金资产</w:t>
            </w:r>
            <w:r>
              <w:rPr>
                <w:rFonts w:eastAsiaTheme="minorEastAsia"/>
                <w:color w:val="000000" w:themeColor="text1"/>
                <w:kern w:val="0"/>
                <w:szCs w:val="21"/>
              </w:rPr>
              <w:t>80%</w:t>
            </w:r>
            <w:r>
              <w:rPr>
                <w:rFonts w:eastAsiaTheme="minorEastAsia"/>
                <w:color w:val="000000" w:themeColor="text1"/>
                <w:kern w:val="0"/>
                <w:szCs w:val="21"/>
              </w:rPr>
              <w:t>。</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）投资组合构建</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被动式指数基金，采用完全复制法，按照成份股在标的指数中的基准权重构建股票资产组合，当预期成份股发生调整和成份股发生配股、增发、分红、长期停牌等行为时，或因基金的申购和赎回等对本基金跟踪标的指数的效果可能带来影响时，或因某些特殊情况导致流动性不足时，或其他原因导致无法有效复制和跟踪标的指数时，基金经理将配合使用其他合理的投资方法作为完全复制法的补充，构建本基金实际的投资组合，以追求尽可能贴近标的指数的表现，有效控制跟踪误差。本基金将根据市场情况，结合经验判断，综合考虑相关性、估值、流动性等因素挑选标的指数中其他成份股或备选成份股进行替代，以期在规定的风险承受限度内，尽量缩小跟踪误差。</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）投资组合调整</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）定期调整</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所构建的投资组合将定期根据所跟踪标的指数成份股的调整进行相应的跟踪调整。指数调整方案公布后，本基金将及时对现有组合的构成进行相应的调整，若成份股的集中调整短期内会对跟踪误差产生较大影响，将采用逐步调整的方式。</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）不定期调整</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①</w:t>
            </w:r>
            <w:r>
              <w:rPr>
                <w:rFonts w:eastAsiaTheme="minorEastAsia"/>
                <w:color w:val="000000" w:themeColor="text1"/>
                <w:kern w:val="0"/>
                <w:szCs w:val="21"/>
              </w:rPr>
              <w:t>根据指数编制规则，当标的指数成份股因增发、送配等股权变动而需进行成份股权重调整时，本基金将根据标的指数权重比例的变化，进行相应调整。</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②</w:t>
            </w:r>
            <w:r>
              <w:rPr>
                <w:rFonts w:eastAsiaTheme="minorEastAsia"/>
                <w:color w:val="000000" w:themeColor="text1"/>
                <w:kern w:val="0"/>
                <w:szCs w:val="21"/>
              </w:rPr>
              <w:t>当标的指数成份股因停牌、流动性不足等因素导致基金无法按照指数权重进行配置，基金管理人将综合考虑跟踪误差和投资者利益，选择相关股票进行适当的替代。</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③</w:t>
            </w:r>
            <w:r>
              <w:rPr>
                <w:rFonts w:eastAsiaTheme="minorEastAsia"/>
                <w:color w:val="000000" w:themeColor="text1"/>
                <w:kern w:val="0"/>
                <w:szCs w:val="21"/>
              </w:rPr>
              <w:t>本基金将根据申购和赎回情况对股票投资组合进行调整，保证基金正常运行，从而有效跟踪标的指数。</w:t>
            </w:r>
          </w:p>
          <w:p w:rsidR="00DC71B1" w:rsidRDefault="00A661F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本基金力争日均跟踪偏离度的绝对值不超过</w:t>
            </w:r>
            <w:r>
              <w:rPr>
                <w:rFonts w:eastAsiaTheme="minorEastAsia"/>
                <w:color w:val="000000" w:themeColor="text1"/>
                <w:kern w:val="0"/>
                <w:szCs w:val="21"/>
              </w:rPr>
              <w:t>0.2%</w:t>
            </w:r>
            <w:r>
              <w:rPr>
                <w:rFonts w:eastAsiaTheme="minorEastAsia"/>
                <w:color w:val="000000" w:themeColor="text1"/>
                <w:kern w:val="0"/>
                <w:szCs w:val="21"/>
              </w:rPr>
              <w:t>，年跟踪误差不超过</w:t>
            </w:r>
            <w:r>
              <w:rPr>
                <w:rFonts w:eastAsiaTheme="minorEastAsia"/>
                <w:color w:val="000000" w:themeColor="text1"/>
                <w:kern w:val="0"/>
                <w:szCs w:val="21"/>
              </w:rPr>
              <w:t>2%</w:t>
            </w:r>
            <w:r>
              <w:rPr>
                <w:rFonts w:eastAsiaTheme="minorEastAsia"/>
                <w:color w:val="000000" w:themeColor="text1"/>
                <w:kern w:val="0"/>
                <w:szCs w:val="21"/>
              </w:rPr>
              <w:t>。如因标的指数编制规则调整等其他原因，导致基金跟踪偏离度和跟踪误差超过上述范围，基金管理人应采取合理措施，避免跟踪偏离度和跟踪误差的进一步扩大。</w:t>
            </w:r>
          </w:p>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、其他投资策略：包括股指期货投资策略、股票期权投资策略、债券投资策略、资产支持证券投资策略、融资及转融通证券出借策略、存托凭证投资策略。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lastRenderedPageBreak/>
              <w:t>业绩比较基准</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本基金的业绩比较基准为标的指数，即中证碳中和</w:t>
            </w:r>
            <w:r w:rsidRPr="00473486">
              <w:rPr>
                <w:rFonts w:eastAsiaTheme="minorEastAsia"/>
                <w:color w:val="000000" w:themeColor="text1"/>
                <w:kern w:val="0"/>
                <w:szCs w:val="21"/>
              </w:rPr>
              <w:t>60</w:t>
            </w:r>
            <w:r w:rsidRPr="00473486">
              <w:rPr>
                <w:rFonts w:eastAsiaTheme="minorEastAsia"/>
                <w:color w:val="000000" w:themeColor="text1"/>
                <w:kern w:val="0"/>
                <w:szCs w:val="21"/>
              </w:rPr>
              <w:t>指数收益率。本基金标的指数变更的，相应更换基金名称和业绩比较基准，并在履行适当程序后及时公告。</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风险收益特征</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本基金为股票型指数基金，其预期风险和预期收益高于货币市场基金、债券型基金和混合型基金。本基金主要投资于标的指数成份股及备选成份股，具有与标的指数相似的风险收益特征。</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基金管理人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摩根基金管理（中国）有限公司</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基金托管人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交通银行股份有限公司</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§3  </w:t>
      </w:r>
      <w:r w:rsidRPr="00473486">
        <w:rPr>
          <w:rFonts w:eastAsiaTheme="minorEastAsia"/>
          <w:color w:val="000000" w:themeColor="text1"/>
          <w:kern w:val="0"/>
          <w:sz w:val="24"/>
          <w:szCs w:val="24"/>
        </w:rPr>
        <w:t>主要财务指标和基金净值表现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3.1 </w:t>
      </w:r>
      <w:r w:rsidRPr="00473486">
        <w:rPr>
          <w:rFonts w:eastAsiaTheme="minorEastAsia"/>
          <w:b/>
          <w:color w:val="000000" w:themeColor="text1"/>
          <w:kern w:val="0"/>
          <w:sz w:val="24"/>
        </w:rPr>
        <w:t>主要财务指标</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661F0" w:rsidRPr="00473486" w:rsidTr="00A661F0">
        <w:tc>
          <w:tcPr>
            <w:tcW w:w="3402" w:type="dxa"/>
            <w:vAlign w:val="center"/>
          </w:tcPr>
          <w:p w:rsidR="00881A82" w:rsidRPr="00473486" w:rsidRDefault="007D1E3A">
            <w:pPr>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主要财务指标</w:t>
            </w:r>
          </w:p>
        </w:tc>
        <w:tc>
          <w:tcPr>
            <w:tcW w:w="4962" w:type="dxa"/>
            <w:vAlign w:val="center"/>
          </w:tcPr>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报告期</w:t>
            </w:r>
          </w:p>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(2023</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w:t>
            </w:r>
            <w:r w:rsidRPr="00473486">
              <w:rPr>
                <w:rFonts w:eastAsiaTheme="minorEastAsia"/>
                <w:color w:val="000000" w:themeColor="text1"/>
                <w:szCs w:val="21"/>
              </w:rPr>
              <w:t>-2023</w:t>
            </w:r>
            <w:r w:rsidRPr="00473486">
              <w:rPr>
                <w:rFonts w:eastAsiaTheme="minorEastAsia"/>
                <w:color w:val="000000" w:themeColor="text1"/>
                <w:szCs w:val="21"/>
              </w:rPr>
              <w:t>年</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w:t>
            </w:r>
            <w:r w:rsidRPr="00473486">
              <w:rPr>
                <w:rFonts w:eastAsiaTheme="minorEastAsia"/>
                <w:color w:val="000000" w:themeColor="text1"/>
                <w:szCs w:val="21"/>
              </w:rPr>
              <w:t>)</w:t>
            </w:r>
          </w:p>
        </w:tc>
      </w:tr>
      <w:tr w:rsidR="00A661F0" w:rsidRPr="00473486" w:rsidTr="00A661F0">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1.</w:t>
            </w:r>
            <w:r w:rsidRPr="00473486">
              <w:rPr>
                <w:rFonts w:eastAsiaTheme="minorEastAsia"/>
                <w:color w:val="000000" w:themeColor="text1"/>
                <w:kern w:val="0"/>
                <w:szCs w:val="21"/>
              </w:rPr>
              <w:t>本期已实现收益</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1,730,079.71</w:t>
            </w:r>
          </w:p>
        </w:tc>
      </w:tr>
      <w:tr w:rsidR="00A661F0" w:rsidRPr="00473486" w:rsidTr="00A661F0">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2.</w:t>
            </w:r>
            <w:r w:rsidRPr="00473486">
              <w:rPr>
                <w:rFonts w:eastAsiaTheme="minorEastAsia"/>
                <w:color w:val="000000" w:themeColor="text1"/>
                <w:kern w:val="0"/>
                <w:szCs w:val="21"/>
              </w:rPr>
              <w:t>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-760,565.93</w:t>
            </w:r>
          </w:p>
        </w:tc>
      </w:tr>
      <w:tr w:rsidR="00A661F0" w:rsidRPr="00473486" w:rsidTr="00A661F0">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加权平均基金份额本期利润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-0.0071</w:t>
            </w:r>
          </w:p>
        </w:tc>
      </w:tr>
      <w:tr w:rsidR="00A661F0" w:rsidRPr="00473486" w:rsidTr="00A661F0">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4.</w:t>
            </w:r>
            <w:r w:rsidRPr="00473486">
              <w:rPr>
                <w:rFonts w:eastAsiaTheme="minorEastAsia"/>
                <w:color w:val="000000" w:themeColor="text1"/>
                <w:kern w:val="0"/>
                <w:szCs w:val="21"/>
              </w:rPr>
              <w:t>期末基金资产净值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44,298,933.34</w:t>
            </w:r>
          </w:p>
        </w:tc>
      </w:tr>
      <w:tr w:rsidR="00A661F0" w:rsidRPr="00473486" w:rsidTr="00A661F0">
        <w:trPr>
          <w:trHeight w:val="158"/>
        </w:trPr>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w:t>
            </w:r>
            <w:r w:rsidRPr="00473486">
              <w:rPr>
                <w:rFonts w:eastAsiaTheme="minorEastAsia"/>
                <w:color w:val="000000" w:themeColor="text1"/>
                <w:kern w:val="0"/>
                <w:szCs w:val="21"/>
              </w:rPr>
              <w:t>期末基金份额净值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0.9506</w:t>
            </w:r>
          </w:p>
        </w:tc>
      </w:tr>
    </w:tbl>
    <w:p w:rsidR="00DC71B1" w:rsidRDefault="00A661F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3.2 </w:t>
      </w:r>
      <w:r w:rsidRPr="00473486">
        <w:rPr>
          <w:rFonts w:eastAsiaTheme="minorEastAsia"/>
          <w:b/>
          <w:color w:val="000000" w:themeColor="text1"/>
          <w:kern w:val="0"/>
          <w:sz w:val="24"/>
        </w:rPr>
        <w:t>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3.2.1</w:t>
      </w:r>
      <w:r w:rsidRPr="00473486">
        <w:rPr>
          <w:rFonts w:eastAsiaTheme="minorEastAsia"/>
          <w:b/>
          <w:color w:val="000000" w:themeColor="text1"/>
          <w:kern w:val="0"/>
          <w:sz w:val="24"/>
        </w:rPr>
        <w:t>本报告期基金份额净值增长率及其与同期业绩比较基准收益率的比较</w:t>
      </w:r>
    </w:p>
    <w:tbl>
      <w:tblPr>
        <w:tblStyle w:val="afa"/>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81A82" w:rsidRPr="00473486">
        <w:tc>
          <w:tcPr>
            <w:tcW w:w="1395"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阶段</w:t>
            </w:r>
          </w:p>
        </w:tc>
        <w:tc>
          <w:tcPr>
            <w:tcW w:w="109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w:t>
            </w:r>
            <w:r w:rsidRPr="00473486">
              <w:rPr>
                <w:rFonts w:ascii="宋体" w:hAnsi="宋体" w:cs="宋体" w:hint="eastAsia"/>
                <w:color w:val="000000" w:themeColor="text1"/>
                <w:szCs w:val="21"/>
              </w:rPr>
              <w:t>①</w:t>
            </w:r>
          </w:p>
        </w:tc>
        <w:tc>
          <w:tcPr>
            <w:tcW w:w="11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净值增长率标准差</w:t>
            </w:r>
            <w:r w:rsidRPr="00473486">
              <w:rPr>
                <w:rFonts w:ascii="宋体" w:hAnsi="宋体" w:cs="宋体" w:hint="eastAsia"/>
                <w:color w:val="000000" w:themeColor="text1"/>
                <w:szCs w:val="21"/>
              </w:rPr>
              <w:t>②</w:t>
            </w:r>
          </w:p>
        </w:tc>
        <w:tc>
          <w:tcPr>
            <w:tcW w:w="118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w:t>
            </w:r>
            <w:r w:rsidRPr="00473486">
              <w:rPr>
                <w:rFonts w:ascii="宋体" w:hAnsi="宋体" w:cs="宋体" w:hint="eastAsia"/>
                <w:color w:val="000000" w:themeColor="text1"/>
                <w:szCs w:val="21"/>
              </w:rPr>
              <w:t>③</w:t>
            </w:r>
          </w:p>
        </w:tc>
        <w:tc>
          <w:tcPr>
            <w:tcW w:w="118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业绩比较基准收益率标准差</w:t>
            </w:r>
            <w:r w:rsidRPr="00473486">
              <w:rPr>
                <w:rFonts w:ascii="宋体" w:hAnsi="宋体" w:cs="宋体" w:hint="eastAsia"/>
                <w:color w:val="000000" w:themeColor="text1"/>
                <w:szCs w:val="21"/>
              </w:rPr>
              <w:t>④</w:t>
            </w:r>
          </w:p>
        </w:tc>
        <w:tc>
          <w:tcPr>
            <w:tcW w:w="119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①</w:t>
            </w:r>
            <w:r w:rsidRPr="00473486">
              <w:rPr>
                <w:rFonts w:eastAsiaTheme="minorEastAsia"/>
                <w:color w:val="000000" w:themeColor="text1"/>
                <w:szCs w:val="21"/>
              </w:rPr>
              <w:t>-</w:t>
            </w:r>
            <w:r w:rsidRPr="00473486">
              <w:rPr>
                <w:rFonts w:ascii="宋体" w:hAnsi="宋体" w:cs="宋体" w:hint="eastAsia"/>
                <w:color w:val="000000" w:themeColor="text1"/>
                <w:szCs w:val="21"/>
              </w:rPr>
              <w:t>③</w:t>
            </w:r>
          </w:p>
        </w:tc>
        <w:tc>
          <w:tcPr>
            <w:tcW w:w="120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②</w:t>
            </w:r>
            <w:r w:rsidRPr="00473486">
              <w:rPr>
                <w:rFonts w:eastAsiaTheme="minorEastAsia"/>
                <w:color w:val="000000" w:themeColor="text1"/>
                <w:szCs w:val="21"/>
              </w:rPr>
              <w:t>-</w:t>
            </w:r>
            <w:r w:rsidRPr="00473486">
              <w:rPr>
                <w:rFonts w:ascii="宋体" w:hAnsi="宋体" w:cs="宋体" w:hint="eastAsia"/>
                <w:color w:val="000000" w:themeColor="text1"/>
                <w:szCs w:val="21"/>
              </w:rPr>
              <w:t>④</w:t>
            </w:r>
          </w:p>
        </w:tc>
      </w:tr>
      <w:tr w:rsidR="00DC71B1">
        <w:tc>
          <w:tcPr>
            <w:tcW w:w="1395" w:type="dxa"/>
            <w:vAlign w:val="center"/>
          </w:tcPr>
          <w:p w:rsidR="00DC71B1" w:rsidRDefault="00A661F0">
            <w:pPr>
              <w:jc w:val="left"/>
            </w:pPr>
            <w:r>
              <w:rPr>
                <w:rFonts w:eastAsiaTheme="minorEastAsia"/>
                <w:color w:val="000000" w:themeColor="text1"/>
                <w:szCs w:val="21"/>
              </w:rPr>
              <w:t>过去三个月</w:t>
            </w:r>
          </w:p>
        </w:tc>
        <w:tc>
          <w:tcPr>
            <w:tcW w:w="1092" w:type="dxa"/>
            <w:vAlign w:val="center"/>
          </w:tcPr>
          <w:p w:rsidR="00DC71B1" w:rsidRDefault="00A661F0">
            <w:pPr>
              <w:jc w:val="center"/>
            </w:pPr>
            <w:r>
              <w:rPr>
                <w:rFonts w:eastAsiaTheme="minorEastAsia"/>
                <w:color w:val="000000" w:themeColor="text1"/>
                <w:szCs w:val="21"/>
              </w:rPr>
              <w:t>-4.96%</w:t>
            </w:r>
          </w:p>
        </w:tc>
        <w:tc>
          <w:tcPr>
            <w:tcW w:w="1161" w:type="dxa"/>
            <w:vAlign w:val="center"/>
          </w:tcPr>
          <w:p w:rsidR="00DC71B1" w:rsidRDefault="00A661F0">
            <w:pPr>
              <w:jc w:val="center"/>
            </w:pPr>
            <w:r>
              <w:rPr>
                <w:rFonts w:eastAsiaTheme="minorEastAsia"/>
                <w:color w:val="000000" w:themeColor="text1"/>
                <w:szCs w:val="21"/>
              </w:rPr>
              <w:t>0.86%</w:t>
            </w:r>
          </w:p>
        </w:tc>
        <w:tc>
          <w:tcPr>
            <w:tcW w:w="1181" w:type="dxa"/>
            <w:vAlign w:val="center"/>
          </w:tcPr>
          <w:p w:rsidR="00DC71B1" w:rsidRDefault="00A661F0">
            <w:pPr>
              <w:jc w:val="center"/>
            </w:pPr>
            <w:r>
              <w:rPr>
                <w:rFonts w:eastAsiaTheme="minorEastAsia"/>
                <w:color w:val="000000" w:themeColor="text1"/>
                <w:szCs w:val="21"/>
              </w:rPr>
              <w:t>-0.79%</w:t>
            </w:r>
          </w:p>
        </w:tc>
        <w:tc>
          <w:tcPr>
            <w:tcW w:w="1188" w:type="dxa"/>
            <w:vAlign w:val="center"/>
          </w:tcPr>
          <w:p w:rsidR="00DC71B1" w:rsidRDefault="00A661F0">
            <w:pPr>
              <w:jc w:val="center"/>
            </w:pPr>
            <w:r>
              <w:rPr>
                <w:rFonts w:eastAsiaTheme="minorEastAsia"/>
                <w:color w:val="000000" w:themeColor="text1"/>
                <w:szCs w:val="21"/>
              </w:rPr>
              <w:t>1.06%</w:t>
            </w:r>
          </w:p>
        </w:tc>
        <w:tc>
          <w:tcPr>
            <w:tcW w:w="1199" w:type="dxa"/>
            <w:vAlign w:val="center"/>
          </w:tcPr>
          <w:p w:rsidR="00DC71B1" w:rsidRDefault="00A661F0">
            <w:pPr>
              <w:jc w:val="center"/>
            </w:pPr>
            <w:r>
              <w:rPr>
                <w:rFonts w:eastAsiaTheme="minorEastAsia"/>
                <w:color w:val="000000" w:themeColor="text1"/>
                <w:szCs w:val="21"/>
              </w:rPr>
              <w:t>-4.17%</w:t>
            </w:r>
          </w:p>
        </w:tc>
        <w:tc>
          <w:tcPr>
            <w:tcW w:w="1204" w:type="dxa"/>
            <w:vAlign w:val="center"/>
          </w:tcPr>
          <w:p w:rsidR="00DC71B1" w:rsidRDefault="00A661F0">
            <w:pPr>
              <w:jc w:val="center"/>
            </w:pPr>
            <w:r>
              <w:rPr>
                <w:rFonts w:eastAsiaTheme="minorEastAsia"/>
                <w:color w:val="000000" w:themeColor="text1"/>
                <w:szCs w:val="21"/>
              </w:rPr>
              <w:t>-0.20%</w:t>
            </w:r>
          </w:p>
        </w:tc>
      </w:tr>
      <w:tr w:rsidR="00DC71B1">
        <w:tc>
          <w:tcPr>
            <w:tcW w:w="1395" w:type="dxa"/>
            <w:vAlign w:val="center"/>
          </w:tcPr>
          <w:p w:rsidR="00DC71B1" w:rsidRDefault="00A661F0">
            <w:pPr>
              <w:jc w:val="left"/>
            </w:pPr>
            <w:r>
              <w:rPr>
                <w:rFonts w:eastAsiaTheme="minorEastAsia"/>
                <w:color w:val="000000" w:themeColor="text1"/>
                <w:szCs w:val="21"/>
              </w:rPr>
              <w:t>过去六个月</w:t>
            </w:r>
          </w:p>
        </w:tc>
        <w:tc>
          <w:tcPr>
            <w:tcW w:w="1092" w:type="dxa"/>
            <w:vAlign w:val="center"/>
          </w:tcPr>
          <w:p w:rsidR="00DC71B1" w:rsidRDefault="00A661F0">
            <w:pPr>
              <w:jc w:val="center"/>
            </w:pPr>
            <w:r>
              <w:rPr>
                <w:rFonts w:eastAsiaTheme="minorEastAsia"/>
                <w:color w:val="000000" w:themeColor="text1"/>
                <w:szCs w:val="21"/>
              </w:rPr>
              <w:t>-</w:t>
            </w:r>
          </w:p>
        </w:tc>
        <w:tc>
          <w:tcPr>
            <w:tcW w:w="1161" w:type="dxa"/>
            <w:vAlign w:val="center"/>
          </w:tcPr>
          <w:p w:rsidR="00DC71B1" w:rsidRDefault="00A661F0">
            <w:pPr>
              <w:jc w:val="center"/>
            </w:pPr>
            <w:r>
              <w:rPr>
                <w:rFonts w:eastAsiaTheme="minorEastAsia"/>
                <w:color w:val="000000" w:themeColor="text1"/>
                <w:szCs w:val="21"/>
              </w:rPr>
              <w:t>-</w:t>
            </w:r>
          </w:p>
        </w:tc>
        <w:tc>
          <w:tcPr>
            <w:tcW w:w="1181" w:type="dxa"/>
            <w:vAlign w:val="center"/>
          </w:tcPr>
          <w:p w:rsidR="00DC71B1" w:rsidRDefault="00A661F0">
            <w:pPr>
              <w:jc w:val="center"/>
            </w:pPr>
            <w:r>
              <w:rPr>
                <w:rFonts w:eastAsiaTheme="minorEastAsia"/>
                <w:color w:val="000000" w:themeColor="text1"/>
                <w:szCs w:val="21"/>
              </w:rPr>
              <w:t>-</w:t>
            </w:r>
          </w:p>
        </w:tc>
        <w:tc>
          <w:tcPr>
            <w:tcW w:w="1188" w:type="dxa"/>
            <w:vAlign w:val="center"/>
          </w:tcPr>
          <w:p w:rsidR="00DC71B1" w:rsidRDefault="00A661F0">
            <w:pPr>
              <w:jc w:val="center"/>
            </w:pPr>
            <w:r>
              <w:rPr>
                <w:rFonts w:eastAsiaTheme="minorEastAsia"/>
                <w:color w:val="000000" w:themeColor="text1"/>
                <w:szCs w:val="21"/>
              </w:rPr>
              <w:t>-</w:t>
            </w:r>
          </w:p>
        </w:tc>
        <w:tc>
          <w:tcPr>
            <w:tcW w:w="1199" w:type="dxa"/>
            <w:vAlign w:val="center"/>
          </w:tcPr>
          <w:p w:rsidR="00DC71B1" w:rsidRDefault="00A661F0">
            <w:pPr>
              <w:jc w:val="center"/>
            </w:pPr>
            <w:r>
              <w:rPr>
                <w:rFonts w:eastAsiaTheme="minorEastAsia"/>
                <w:color w:val="000000" w:themeColor="text1"/>
                <w:szCs w:val="21"/>
              </w:rPr>
              <w:t>-</w:t>
            </w:r>
          </w:p>
        </w:tc>
        <w:tc>
          <w:tcPr>
            <w:tcW w:w="1204" w:type="dxa"/>
            <w:vAlign w:val="center"/>
          </w:tcPr>
          <w:p w:rsidR="00DC71B1" w:rsidRDefault="00A661F0">
            <w:pPr>
              <w:jc w:val="center"/>
            </w:pPr>
            <w:r>
              <w:rPr>
                <w:rFonts w:eastAsiaTheme="minorEastAsia"/>
                <w:color w:val="000000" w:themeColor="text1"/>
                <w:szCs w:val="21"/>
              </w:rPr>
              <w:t>-</w:t>
            </w:r>
          </w:p>
        </w:tc>
      </w:tr>
      <w:tr w:rsidR="00DC71B1">
        <w:tc>
          <w:tcPr>
            <w:tcW w:w="1395" w:type="dxa"/>
            <w:vAlign w:val="center"/>
          </w:tcPr>
          <w:p w:rsidR="00DC71B1" w:rsidRDefault="00A661F0">
            <w:pPr>
              <w:jc w:val="left"/>
            </w:pPr>
            <w:r>
              <w:rPr>
                <w:rFonts w:eastAsiaTheme="minorEastAsia"/>
                <w:color w:val="000000" w:themeColor="text1"/>
                <w:szCs w:val="21"/>
              </w:rPr>
              <w:t>过去一年</w:t>
            </w:r>
          </w:p>
        </w:tc>
        <w:tc>
          <w:tcPr>
            <w:tcW w:w="1092" w:type="dxa"/>
            <w:vAlign w:val="center"/>
          </w:tcPr>
          <w:p w:rsidR="00DC71B1" w:rsidRDefault="00A661F0">
            <w:pPr>
              <w:jc w:val="center"/>
            </w:pPr>
            <w:r>
              <w:rPr>
                <w:rFonts w:eastAsiaTheme="minorEastAsia"/>
                <w:color w:val="000000" w:themeColor="text1"/>
                <w:szCs w:val="21"/>
              </w:rPr>
              <w:t>-</w:t>
            </w:r>
          </w:p>
        </w:tc>
        <w:tc>
          <w:tcPr>
            <w:tcW w:w="1161" w:type="dxa"/>
            <w:vAlign w:val="center"/>
          </w:tcPr>
          <w:p w:rsidR="00DC71B1" w:rsidRDefault="00A661F0">
            <w:pPr>
              <w:jc w:val="center"/>
            </w:pPr>
            <w:r>
              <w:rPr>
                <w:rFonts w:eastAsiaTheme="minorEastAsia"/>
                <w:color w:val="000000" w:themeColor="text1"/>
                <w:szCs w:val="21"/>
              </w:rPr>
              <w:t>-</w:t>
            </w:r>
          </w:p>
        </w:tc>
        <w:tc>
          <w:tcPr>
            <w:tcW w:w="1181" w:type="dxa"/>
            <w:vAlign w:val="center"/>
          </w:tcPr>
          <w:p w:rsidR="00DC71B1" w:rsidRDefault="00A661F0">
            <w:pPr>
              <w:jc w:val="center"/>
            </w:pPr>
            <w:r>
              <w:rPr>
                <w:rFonts w:eastAsiaTheme="minorEastAsia"/>
                <w:color w:val="000000" w:themeColor="text1"/>
                <w:szCs w:val="21"/>
              </w:rPr>
              <w:t>-</w:t>
            </w:r>
          </w:p>
        </w:tc>
        <w:tc>
          <w:tcPr>
            <w:tcW w:w="1188" w:type="dxa"/>
            <w:vAlign w:val="center"/>
          </w:tcPr>
          <w:p w:rsidR="00DC71B1" w:rsidRDefault="00A661F0">
            <w:pPr>
              <w:jc w:val="center"/>
            </w:pPr>
            <w:r>
              <w:rPr>
                <w:rFonts w:eastAsiaTheme="minorEastAsia"/>
                <w:color w:val="000000" w:themeColor="text1"/>
                <w:szCs w:val="21"/>
              </w:rPr>
              <w:t>-</w:t>
            </w:r>
          </w:p>
        </w:tc>
        <w:tc>
          <w:tcPr>
            <w:tcW w:w="1199" w:type="dxa"/>
            <w:vAlign w:val="center"/>
          </w:tcPr>
          <w:p w:rsidR="00DC71B1" w:rsidRDefault="00A661F0">
            <w:pPr>
              <w:jc w:val="center"/>
            </w:pPr>
            <w:r>
              <w:rPr>
                <w:rFonts w:eastAsiaTheme="minorEastAsia"/>
                <w:color w:val="000000" w:themeColor="text1"/>
                <w:szCs w:val="21"/>
              </w:rPr>
              <w:t>-</w:t>
            </w:r>
          </w:p>
        </w:tc>
        <w:tc>
          <w:tcPr>
            <w:tcW w:w="1204" w:type="dxa"/>
            <w:vAlign w:val="center"/>
          </w:tcPr>
          <w:p w:rsidR="00DC71B1" w:rsidRDefault="00A661F0">
            <w:pPr>
              <w:jc w:val="center"/>
            </w:pPr>
            <w:r>
              <w:rPr>
                <w:rFonts w:eastAsiaTheme="minorEastAsia"/>
                <w:color w:val="000000" w:themeColor="text1"/>
                <w:szCs w:val="21"/>
              </w:rPr>
              <w:t>-</w:t>
            </w:r>
          </w:p>
        </w:tc>
      </w:tr>
      <w:tr w:rsidR="00DC71B1">
        <w:tc>
          <w:tcPr>
            <w:tcW w:w="1395" w:type="dxa"/>
            <w:vAlign w:val="center"/>
          </w:tcPr>
          <w:p w:rsidR="00DC71B1" w:rsidRDefault="00A661F0">
            <w:pPr>
              <w:jc w:val="left"/>
            </w:pPr>
            <w:r>
              <w:rPr>
                <w:rFonts w:eastAsiaTheme="minorEastAsia"/>
                <w:color w:val="000000" w:themeColor="text1"/>
                <w:szCs w:val="21"/>
              </w:rPr>
              <w:t>过去三年</w:t>
            </w:r>
          </w:p>
        </w:tc>
        <w:tc>
          <w:tcPr>
            <w:tcW w:w="1092" w:type="dxa"/>
            <w:vAlign w:val="center"/>
          </w:tcPr>
          <w:p w:rsidR="00DC71B1" w:rsidRDefault="00A661F0">
            <w:pPr>
              <w:jc w:val="center"/>
            </w:pPr>
            <w:r>
              <w:rPr>
                <w:rFonts w:eastAsiaTheme="minorEastAsia"/>
                <w:color w:val="000000" w:themeColor="text1"/>
                <w:szCs w:val="21"/>
              </w:rPr>
              <w:t>-</w:t>
            </w:r>
          </w:p>
        </w:tc>
        <w:tc>
          <w:tcPr>
            <w:tcW w:w="1161" w:type="dxa"/>
            <w:vAlign w:val="center"/>
          </w:tcPr>
          <w:p w:rsidR="00DC71B1" w:rsidRDefault="00A661F0">
            <w:pPr>
              <w:jc w:val="center"/>
            </w:pPr>
            <w:r>
              <w:rPr>
                <w:rFonts w:eastAsiaTheme="minorEastAsia"/>
                <w:color w:val="000000" w:themeColor="text1"/>
                <w:szCs w:val="21"/>
              </w:rPr>
              <w:t>-</w:t>
            </w:r>
          </w:p>
        </w:tc>
        <w:tc>
          <w:tcPr>
            <w:tcW w:w="1181" w:type="dxa"/>
            <w:vAlign w:val="center"/>
          </w:tcPr>
          <w:p w:rsidR="00DC71B1" w:rsidRDefault="00A661F0">
            <w:pPr>
              <w:jc w:val="center"/>
            </w:pPr>
            <w:r>
              <w:rPr>
                <w:rFonts w:eastAsiaTheme="minorEastAsia"/>
                <w:color w:val="000000" w:themeColor="text1"/>
                <w:szCs w:val="21"/>
              </w:rPr>
              <w:t>-</w:t>
            </w:r>
          </w:p>
        </w:tc>
        <w:tc>
          <w:tcPr>
            <w:tcW w:w="1188" w:type="dxa"/>
            <w:vAlign w:val="center"/>
          </w:tcPr>
          <w:p w:rsidR="00DC71B1" w:rsidRDefault="00A661F0">
            <w:pPr>
              <w:jc w:val="center"/>
            </w:pPr>
            <w:r>
              <w:rPr>
                <w:rFonts w:eastAsiaTheme="minorEastAsia"/>
                <w:color w:val="000000" w:themeColor="text1"/>
                <w:szCs w:val="21"/>
              </w:rPr>
              <w:t>-</w:t>
            </w:r>
          </w:p>
        </w:tc>
        <w:tc>
          <w:tcPr>
            <w:tcW w:w="1199" w:type="dxa"/>
            <w:vAlign w:val="center"/>
          </w:tcPr>
          <w:p w:rsidR="00DC71B1" w:rsidRDefault="00A661F0">
            <w:pPr>
              <w:jc w:val="center"/>
            </w:pPr>
            <w:r>
              <w:rPr>
                <w:rFonts w:eastAsiaTheme="minorEastAsia"/>
                <w:color w:val="000000" w:themeColor="text1"/>
                <w:szCs w:val="21"/>
              </w:rPr>
              <w:t>-</w:t>
            </w:r>
          </w:p>
        </w:tc>
        <w:tc>
          <w:tcPr>
            <w:tcW w:w="1204" w:type="dxa"/>
            <w:vAlign w:val="center"/>
          </w:tcPr>
          <w:p w:rsidR="00DC71B1" w:rsidRDefault="00A661F0">
            <w:pPr>
              <w:jc w:val="center"/>
            </w:pPr>
            <w:r>
              <w:rPr>
                <w:rFonts w:eastAsiaTheme="minorEastAsia"/>
                <w:color w:val="000000" w:themeColor="text1"/>
                <w:szCs w:val="21"/>
              </w:rPr>
              <w:t>-</w:t>
            </w:r>
          </w:p>
        </w:tc>
      </w:tr>
      <w:tr w:rsidR="00DC71B1">
        <w:tc>
          <w:tcPr>
            <w:tcW w:w="1395" w:type="dxa"/>
            <w:vAlign w:val="center"/>
          </w:tcPr>
          <w:p w:rsidR="00DC71B1" w:rsidRDefault="00A661F0">
            <w:pPr>
              <w:jc w:val="left"/>
            </w:pPr>
            <w:r>
              <w:rPr>
                <w:rFonts w:eastAsiaTheme="minorEastAsia"/>
                <w:color w:val="000000" w:themeColor="text1"/>
                <w:szCs w:val="21"/>
              </w:rPr>
              <w:t>过去五年</w:t>
            </w:r>
          </w:p>
        </w:tc>
        <w:tc>
          <w:tcPr>
            <w:tcW w:w="1092" w:type="dxa"/>
            <w:vAlign w:val="center"/>
          </w:tcPr>
          <w:p w:rsidR="00DC71B1" w:rsidRDefault="00A661F0">
            <w:pPr>
              <w:jc w:val="center"/>
            </w:pPr>
            <w:r>
              <w:rPr>
                <w:rFonts w:eastAsiaTheme="minorEastAsia"/>
                <w:color w:val="000000" w:themeColor="text1"/>
                <w:szCs w:val="21"/>
              </w:rPr>
              <w:t>-</w:t>
            </w:r>
          </w:p>
        </w:tc>
        <w:tc>
          <w:tcPr>
            <w:tcW w:w="1161" w:type="dxa"/>
            <w:vAlign w:val="center"/>
          </w:tcPr>
          <w:p w:rsidR="00DC71B1" w:rsidRDefault="00A661F0">
            <w:pPr>
              <w:jc w:val="center"/>
            </w:pPr>
            <w:r>
              <w:rPr>
                <w:rFonts w:eastAsiaTheme="minorEastAsia"/>
                <w:color w:val="000000" w:themeColor="text1"/>
                <w:szCs w:val="21"/>
              </w:rPr>
              <w:t>-</w:t>
            </w:r>
          </w:p>
        </w:tc>
        <w:tc>
          <w:tcPr>
            <w:tcW w:w="1181" w:type="dxa"/>
            <w:vAlign w:val="center"/>
          </w:tcPr>
          <w:p w:rsidR="00DC71B1" w:rsidRDefault="00A661F0">
            <w:pPr>
              <w:jc w:val="center"/>
            </w:pPr>
            <w:r>
              <w:rPr>
                <w:rFonts w:eastAsiaTheme="minorEastAsia"/>
                <w:color w:val="000000" w:themeColor="text1"/>
                <w:szCs w:val="21"/>
              </w:rPr>
              <w:t>-</w:t>
            </w:r>
          </w:p>
        </w:tc>
        <w:tc>
          <w:tcPr>
            <w:tcW w:w="1188" w:type="dxa"/>
            <w:vAlign w:val="center"/>
          </w:tcPr>
          <w:p w:rsidR="00DC71B1" w:rsidRDefault="00A661F0">
            <w:pPr>
              <w:jc w:val="center"/>
            </w:pPr>
            <w:r>
              <w:rPr>
                <w:rFonts w:eastAsiaTheme="minorEastAsia"/>
                <w:color w:val="000000" w:themeColor="text1"/>
                <w:szCs w:val="21"/>
              </w:rPr>
              <w:t>-</w:t>
            </w:r>
          </w:p>
        </w:tc>
        <w:tc>
          <w:tcPr>
            <w:tcW w:w="1199" w:type="dxa"/>
            <w:vAlign w:val="center"/>
          </w:tcPr>
          <w:p w:rsidR="00DC71B1" w:rsidRDefault="00A661F0">
            <w:pPr>
              <w:jc w:val="center"/>
            </w:pPr>
            <w:r>
              <w:rPr>
                <w:rFonts w:eastAsiaTheme="minorEastAsia"/>
                <w:color w:val="000000" w:themeColor="text1"/>
                <w:szCs w:val="21"/>
              </w:rPr>
              <w:t>-</w:t>
            </w:r>
          </w:p>
        </w:tc>
        <w:tc>
          <w:tcPr>
            <w:tcW w:w="1204" w:type="dxa"/>
            <w:vAlign w:val="center"/>
          </w:tcPr>
          <w:p w:rsidR="00DC71B1" w:rsidRDefault="00A661F0">
            <w:pPr>
              <w:jc w:val="center"/>
            </w:pPr>
            <w:r>
              <w:rPr>
                <w:rFonts w:eastAsiaTheme="minorEastAsia"/>
                <w:color w:val="000000" w:themeColor="text1"/>
                <w:szCs w:val="21"/>
              </w:rPr>
              <w:t>-</w:t>
            </w:r>
          </w:p>
        </w:tc>
      </w:tr>
      <w:tr w:rsidR="00DC71B1">
        <w:tc>
          <w:tcPr>
            <w:tcW w:w="1395" w:type="dxa"/>
            <w:vAlign w:val="center"/>
          </w:tcPr>
          <w:p w:rsidR="00DC71B1" w:rsidRDefault="00A661F0">
            <w:pPr>
              <w:jc w:val="left"/>
            </w:pPr>
            <w:r>
              <w:rPr>
                <w:rFonts w:eastAsiaTheme="minorEastAsia"/>
                <w:color w:val="000000" w:themeColor="text1"/>
                <w:szCs w:val="21"/>
              </w:rPr>
              <w:t>自基金合同生效起至今</w:t>
            </w:r>
          </w:p>
        </w:tc>
        <w:tc>
          <w:tcPr>
            <w:tcW w:w="1092" w:type="dxa"/>
            <w:vAlign w:val="center"/>
          </w:tcPr>
          <w:p w:rsidR="00DC71B1" w:rsidRDefault="00A661F0">
            <w:pPr>
              <w:jc w:val="center"/>
            </w:pPr>
            <w:r>
              <w:rPr>
                <w:rFonts w:eastAsiaTheme="minorEastAsia"/>
                <w:color w:val="000000" w:themeColor="text1"/>
                <w:szCs w:val="21"/>
              </w:rPr>
              <w:t>-4.94%</w:t>
            </w:r>
          </w:p>
        </w:tc>
        <w:tc>
          <w:tcPr>
            <w:tcW w:w="1161" w:type="dxa"/>
            <w:vAlign w:val="center"/>
          </w:tcPr>
          <w:p w:rsidR="00DC71B1" w:rsidRDefault="00A661F0">
            <w:pPr>
              <w:jc w:val="center"/>
            </w:pPr>
            <w:r>
              <w:rPr>
                <w:rFonts w:eastAsiaTheme="minorEastAsia"/>
                <w:color w:val="000000" w:themeColor="text1"/>
                <w:szCs w:val="21"/>
              </w:rPr>
              <w:t>0.84%</w:t>
            </w:r>
          </w:p>
        </w:tc>
        <w:tc>
          <w:tcPr>
            <w:tcW w:w="1181" w:type="dxa"/>
            <w:vAlign w:val="center"/>
          </w:tcPr>
          <w:p w:rsidR="00DC71B1" w:rsidRDefault="00A661F0">
            <w:pPr>
              <w:jc w:val="center"/>
            </w:pPr>
            <w:r>
              <w:rPr>
                <w:rFonts w:eastAsiaTheme="minorEastAsia"/>
                <w:color w:val="000000" w:themeColor="text1"/>
                <w:szCs w:val="21"/>
              </w:rPr>
              <w:t>-1.08%</w:t>
            </w:r>
          </w:p>
        </w:tc>
        <w:tc>
          <w:tcPr>
            <w:tcW w:w="1188" w:type="dxa"/>
            <w:vAlign w:val="center"/>
          </w:tcPr>
          <w:p w:rsidR="00DC71B1" w:rsidRDefault="00A661F0">
            <w:pPr>
              <w:jc w:val="center"/>
            </w:pPr>
            <w:r>
              <w:rPr>
                <w:rFonts w:eastAsiaTheme="minorEastAsia"/>
                <w:color w:val="000000" w:themeColor="text1"/>
                <w:szCs w:val="21"/>
              </w:rPr>
              <w:t>1.03%</w:t>
            </w:r>
          </w:p>
        </w:tc>
        <w:tc>
          <w:tcPr>
            <w:tcW w:w="1199" w:type="dxa"/>
            <w:vAlign w:val="center"/>
          </w:tcPr>
          <w:p w:rsidR="00DC71B1" w:rsidRDefault="00A661F0">
            <w:pPr>
              <w:jc w:val="center"/>
            </w:pPr>
            <w:r>
              <w:rPr>
                <w:rFonts w:eastAsiaTheme="minorEastAsia"/>
                <w:color w:val="000000" w:themeColor="text1"/>
                <w:szCs w:val="21"/>
              </w:rPr>
              <w:t>-3.86%</w:t>
            </w:r>
          </w:p>
        </w:tc>
        <w:tc>
          <w:tcPr>
            <w:tcW w:w="1204" w:type="dxa"/>
            <w:vAlign w:val="center"/>
          </w:tcPr>
          <w:p w:rsidR="00DC71B1" w:rsidRDefault="00A661F0">
            <w:pPr>
              <w:jc w:val="center"/>
            </w:pPr>
            <w:r>
              <w:rPr>
                <w:rFonts w:eastAsiaTheme="minorEastAsia"/>
                <w:color w:val="000000" w:themeColor="text1"/>
                <w:szCs w:val="21"/>
              </w:rPr>
              <w:t>-0.19%</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3.2.2</w:t>
      </w:r>
      <w:r w:rsidRPr="00473486">
        <w:rPr>
          <w:rStyle w:val="af4"/>
          <w:color w:val="000000" w:themeColor="text1"/>
          <w:sz w:val="24"/>
          <w:shd w:val="clear" w:color="auto" w:fill="FFFFFF"/>
        </w:rPr>
        <w:t>自基金合同生效以来</w:t>
      </w:r>
      <w:r w:rsidRPr="00473486">
        <w:rPr>
          <w:rFonts w:eastAsiaTheme="minorEastAsia"/>
          <w:b/>
          <w:bCs/>
          <w:color w:val="000000" w:themeColor="text1"/>
          <w:sz w:val="24"/>
        </w:rPr>
        <w:t>基金累计净值增长率变动及其与同期业绩比较基准收益率变动的比较</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szCs w:val="21"/>
        </w:rPr>
        <w:t>摩根中证碳中和</w:t>
      </w:r>
      <w:r w:rsidRPr="00473486">
        <w:rPr>
          <w:rFonts w:eastAsiaTheme="minorEastAsia"/>
          <w:color w:val="000000" w:themeColor="text1"/>
          <w:szCs w:val="21"/>
        </w:rPr>
        <w:t>60</w:t>
      </w:r>
      <w:r w:rsidRPr="00473486">
        <w:rPr>
          <w:rFonts w:eastAsiaTheme="minorEastAsia"/>
          <w:color w:val="000000" w:themeColor="text1"/>
          <w:szCs w:val="21"/>
        </w:rPr>
        <w:t>交易型开放式指数证券投资基金</w:t>
      </w:r>
    </w:p>
    <w:p w:rsidR="00881A82" w:rsidRPr="00473486" w:rsidRDefault="007D1E3A">
      <w:pPr>
        <w:pStyle w:val="a9"/>
        <w:snapToGrid w:val="0"/>
        <w:spacing w:line="360" w:lineRule="auto"/>
        <w:jc w:val="center"/>
        <w:rPr>
          <w:rFonts w:ascii="Times New Roman" w:eastAsiaTheme="minorEastAsia" w:hAnsi="Times New Roman"/>
          <w:color w:val="000000" w:themeColor="text1"/>
        </w:rPr>
      </w:pPr>
      <w:r w:rsidRPr="00473486">
        <w:rPr>
          <w:rFonts w:ascii="Times New Roman" w:eastAsiaTheme="minorEastAsia" w:hAnsi="Times New Roman"/>
          <w:color w:val="000000" w:themeColor="text1"/>
        </w:rPr>
        <w:t>累计净值增长率与业绩比较基准收益率历史走势对比图</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kern w:val="0"/>
          <w:szCs w:val="21"/>
        </w:rPr>
        <w:t>（</w:t>
      </w:r>
      <w:r w:rsidRPr="00473486">
        <w:rPr>
          <w:rFonts w:eastAsiaTheme="minorEastAsia"/>
          <w:color w:val="000000" w:themeColor="text1"/>
          <w:kern w:val="0"/>
          <w:szCs w:val="21"/>
        </w:rPr>
        <w:t>2022</w:t>
      </w:r>
      <w:r w:rsidRPr="00473486">
        <w:rPr>
          <w:rFonts w:eastAsiaTheme="minorEastAsia"/>
          <w:color w:val="000000" w:themeColor="text1"/>
          <w:kern w:val="0"/>
          <w:szCs w:val="21"/>
        </w:rPr>
        <w:t>年</w:t>
      </w:r>
      <w:r w:rsidRPr="00473486">
        <w:rPr>
          <w:rFonts w:eastAsiaTheme="minorEastAsia"/>
          <w:color w:val="000000" w:themeColor="text1"/>
          <w:kern w:val="0"/>
          <w:szCs w:val="21"/>
        </w:rPr>
        <w:t>12</w:t>
      </w:r>
      <w:r w:rsidRPr="00473486">
        <w:rPr>
          <w:rFonts w:eastAsiaTheme="minorEastAsia"/>
          <w:color w:val="000000" w:themeColor="text1"/>
          <w:kern w:val="0"/>
          <w:szCs w:val="21"/>
        </w:rPr>
        <w:t>月</w:t>
      </w:r>
      <w:r w:rsidRPr="00473486">
        <w:rPr>
          <w:rFonts w:eastAsiaTheme="minorEastAsia"/>
          <w:color w:val="000000" w:themeColor="text1"/>
          <w:kern w:val="0"/>
          <w:szCs w:val="21"/>
        </w:rPr>
        <w:t>29</w:t>
      </w:r>
      <w:r w:rsidRPr="00473486">
        <w:rPr>
          <w:rFonts w:eastAsiaTheme="minorEastAsia"/>
          <w:color w:val="000000" w:themeColor="text1"/>
          <w:kern w:val="0"/>
          <w:szCs w:val="21"/>
        </w:rPr>
        <w:t>日至</w:t>
      </w:r>
      <w:r w:rsidRPr="00473486">
        <w:rPr>
          <w:rFonts w:eastAsiaTheme="minorEastAsia"/>
          <w:color w:val="000000" w:themeColor="text1"/>
          <w:kern w:val="0"/>
          <w:szCs w:val="21"/>
        </w:rPr>
        <w:t>2023</w:t>
      </w:r>
      <w:r w:rsidRPr="00473486">
        <w:rPr>
          <w:rFonts w:eastAsiaTheme="minorEastAsia"/>
          <w:color w:val="000000" w:themeColor="text1"/>
          <w:kern w:val="0"/>
          <w:szCs w:val="21"/>
        </w:rPr>
        <w:t>年</w:t>
      </w:r>
      <w:r w:rsidRPr="00473486">
        <w:rPr>
          <w:rFonts w:eastAsiaTheme="minorEastAsia"/>
          <w:color w:val="000000" w:themeColor="text1"/>
          <w:kern w:val="0"/>
          <w:szCs w:val="21"/>
        </w:rPr>
        <w:t>3</w:t>
      </w:r>
      <w:r w:rsidRPr="00473486">
        <w:rPr>
          <w:rFonts w:eastAsiaTheme="minorEastAsia"/>
          <w:color w:val="000000" w:themeColor="text1"/>
          <w:kern w:val="0"/>
          <w:szCs w:val="21"/>
        </w:rPr>
        <w:t>月</w:t>
      </w:r>
      <w:r w:rsidRPr="00473486">
        <w:rPr>
          <w:rFonts w:eastAsiaTheme="minorEastAsia"/>
          <w:color w:val="000000" w:themeColor="text1"/>
          <w:kern w:val="0"/>
          <w:szCs w:val="21"/>
        </w:rPr>
        <w:t>31</w:t>
      </w:r>
      <w:r w:rsidRPr="00473486">
        <w:rPr>
          <w:rFonts w:eastAsiaTheme="minorEastAsia"/>
          <w:color w:val="000000" w:themeColor="text1"/>
          <w:kern w:val="0"/>
          <w:szCs w:val="21"/>
        </w:rPr>
        <w:t>日）</w:t>
      </w:r>
    </w:p>
    <w:p w:rsidR="00881A82" w:rsidRPr="00473486" w:rsidRDefault="007D1E3A">
      <w:pPr>
        <w:tabs>
          <w:tab w:val="left" w:pos="1800"/>
        </w:tabs>
        <w:spacing w:line="360" w:lineRule="auto"/>
        <w:jc w:val="center"/>
        <w:rPr>
          <w:rFonts w:eastAsiaTheme="minorEastAsia"/>
          <w:color w:val="000000" w:themeColor="text1"/>
          <w:sz w:val="24"/>
        </w:rPr>
      </w:pPr>
      <w:r w:rsidRPr="00473486">
        <w:rPr>
          <w:rFonts w:eastAsiaTheme="minorEastAsia"/>
          <w:noProof/>
          <w:color w:val="000000" w:themeColor="text1"/>
          <w:sz w:val="24"/>
        </w:rPr>
        <w:drawing>
          <wp:inline distT="0" distB="0" distL="0" distR="0" wp14:anchorId="0F898A4E" wp14:editId="2A8B881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DC71B1" w:rsidRDefault="00A661F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日，截至本报告期末本基金合同生效未满一年。</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本基金建仓期为本基金合同生效日起</w:t>
      </w:r>
      <w:r w:rsidRPr="00473486">
        <w:rPr>
          <w:rFonts w:eastAsiaTheme="minorEastAsia"/>
          <w:color w:val="000000" w:themeColor="text1"/>
          <w:szCs w:val="21"/>
        </w:rPr>
        <w:t xml:space="preserve"> 6 </w:t>
      </w:r>
      <w:r w:rsidRPr="00473486">
        <w:rPr>
          <w:rFonts w:eastAsiaTheme="minorEastAsia"/>
          <w:color w:val="000000" w:themeColor="text1"/>
          <w:szCs w:val="21"/>
        </w:rPr>
        <w:t>个月，截至本报告期末本基金仍处于建仓期。</w:t>
      </w:r>
    </w:p>
    <w:p w:rsidR="00881A82" w:rsidRPr="00473486" w:rsidRDefault="00881A82">
      <w:pPr>
        <w:pStyle w:val="a9"/>
        <w:snapToGrid w:val="0"/>
        <w:spacing w:before="120" w:line="360" w:lineRule="auto"/>
        <w:jc w:val="center"/>
        <w:rPr>
          <w:rFonts w:ascii="Times New Roman" w:eastAsiaTheme="minorEastAsia" w:hAnsi="Times New Roman"/>
          <w:color w:val="000000" w:themeColor="text1"/>
          <w:sz w:val="24"/>
          <w:szCs w:val="24"/>
        </w:rPr>
      </w:pPr>
    </w:p>
    <w:p w:rsidR="00881A82" w:rsidRPr="00473486" w:rsidRDefault="00881A82">
      <w:pPr>
        <w:tabs>
          <w:tab w:val="left" w:pos="1800"/>
        </w:tabs>
        <w:spacing w:line="288" w:lineRule="auto"/>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§4  </w:t>
      </w:r>
      <w:r w:rsidRPr="00473486">
        <w:rPr>
          <w:rFonts w:eastAsiaTheme="minorEastAsia"/>
          <w:color w:val="000000" w:themeColor="text1"/>
          <w:kern w:val="0"/>
          <w:sz w:val="24"/>
          <w:szCs w:val="24"/>
        </w:rPr>
        <w:t>管理人报告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4.1 </w:t>
      </w:r>
      <w:r w:rsidRPr="00473486">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81A82" w:rsidRPr="00473486">
        <w:trPr>
          <w:cantSplit/>
          <w:trHeight w:val="292"/>
        </w:trPr>
        <w:tc>
          <w:tcPr>
            <w:tcW w:w="851"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姓名</w:t>
            </w:r>
          </w:p>
        </w:tc>
        <w:tc>
          <w:tcPr>
            <w:tcW w:w="850"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职务</w:t>
            </w:r>
          </w:p>
        </w:tc>
        <w:tc>
          <w:tcPr>
            <w:tcW w:w="3119" w:type="dxa"/>
            <w:gridSpan w:val="2"/>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任本基金的基金经理期限</w:t>
            </w:r>
          </w:p>
        </w:tc>
        <w:tc>
          <w:tcPr>
            <w:tcW w:w="1417" w:type="dxa"/>
            <w:vMerge w:val="restart"/>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证券从业年限</w:t>
            </w:r>
          </w:p>
        </w:tc>
        <w:tc>
          <w:tcPr>
            <w:tcW w:w="2694"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说明</w:t>
            </w:r>
          </w:p>
        </w:tc>
      </w:tr>
      <w:tr w:rsidR="00881A82" w:rsidRPr="00473486">
        <w:trPr>
          <w:cantSplit/>
        </w:trPr>
        <w:tc>
          <w:tcPr>
            <w:tcW w:w="851"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850"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1560"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任职日期</w:t>
            </w:r>
          </w:p>
        </w:tc>
        <w:tc>
          <w:tcPr>
            <w:tcW w:w="155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离任日期</w:t>
            </w:r>
          </w:p>
        </w:tc>
        <w:tc>
          <w:tcPr>
            <w:tcW w:w="1417"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2694"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r>
      <w:tr w:rsidR="00DC71B1">
        <w:tc>
          <w:tcPr>
            <w:tcW w:w="851" w:type="dxa"/>
            <w:vAlign w:val="center"/>
          </w:tcPr>
          <w:p w:rsidR="00DC71B1" w:rsidRDefault="00A661F0">
            <w:pPr>
              <w:jc w:val="center"/>
            </w:pPr>
            <w:r>
              <w:rPr>
                <w:rFonts w:eastAsiaTheme="minorEastAsia"/>
                <w:color w:val="000000" w:themeColor="text1"/>
                <w:szCs w:val="21"/>
              </w:rPr>
              <w:t>毛时超</w:t>
            </w:r>
          </w:p>
        </w:tc>
        <w:tc>
          <w:tcPr>
            <w:tcW w:w="850" w:type="dxa"/>
            <w:vAlign w:val="center"/>
          </w:tcPr>
          <w:p w:rsidR="00DC71B1" w:rsidRDefault="00A661F0">
            <w:pPr>
              <w:jc w:val="center"/>
            </w:pPr>
            <w:r>
              <w:rPr>
                <w:rFonts w:eastAsiaTheme="minorEastAsia"/>
                <w:color w:val="000000" w:themeColor="text1"/>
                <w:szCs w:val="21"/>
              </w:rPr>
              <w:t>本基金基金经理</w:t>
            </w:r>
          </w:p>
        </w:tc>
        <w:tc>
          <w:tcPr>
            <w:tcW w:w="1560" w:type="dxa"/>
            <w:vAlign w:val="center"/>
          </w:tcPr>
          <w:p w:rsidR="00DC71B1" w:rsidRDefault="00A661F0">
            <w:pPr>
              <w:jc w:val="center"/>
            </w:pPr>
            <w:r>
              <w:rPr>
                <w:rFonts w:eastAsiaTheme="minorEastAsia"/>
                <w:color w:val="000000" w:themeColor="text1"/>
                <w:szCs w:val="21"/>
              </w:rPr>
              <w:t>2022-12-29</w:t>
            </w:r>
          </w:p>
        </w:tc>
        <w:tc>
          <w:tcPr>
            <w:tcW w:w="1559" w:type="dxa"/>
            <w:vAlign w:val="center"/>
          </w:tcPr>
          <w:p w:rsidR="00DC71B1" w:rsidRDefault="00A661F0">
            <w:pPr>
              <w:jc w:val="center"/>
            </w:pPr>
            <w:r>
              <w:rPr>
                <w:rFonts w:eastAsiaTheme="minorEastAsia"/>
                <w:color w:val="000000" w:themeColor="text1"/>
                <w:szCs w:val="21"/>
              </w:rPr>
              <w:t>-</w:t>
            </w:r>
          </w:p>
        </w:tc>
        <w:tc>
          <w:tcPr>
            <w:tcW w:w="1417" w:type="dxa"/>
            <w:vAlign w:val="center"/>
          </w:tcPr>
          <w:p w:rsidR="00DC71B1" w:rsidRDefault="00A661F0">
            <w:pPr>
              <w:jc w:val="center"/>
            </w:pPr>
            <w:r>
              <w:rPr>
                <w:rFonts w:eastAsiaTheme="minorEastAsia"/>
                <w:color w:val="000000" w:themeColor="text1"/>
                <w:szCs w:val="21"/>
              </w:rPr>
              <w:t>7</w:t>
            </w:r>
            <w:r>
              <w:rPr>
                <w:rFonts w:eastAsiaTheme="minorEastAsia"/>
                <w:color w:val="000000" w:themeColor="text1"/>
                <w:szCs w:val="21"/>
              </w:rPr>
              <w:t>年</w:t>
            </w:r>
          </w:p>
        </w:tc>
        <w:tc>
          <w:tcPr>
            <w:tcW w:w="2694" w:type="dxa"/>
            <w:vAlign w:val="center"/>
          </w:tcPr>
          <w:p w:rsidR="00DC71B1" w:rsidRDefault="00A661F0">
            <w:r>
              <w:rPr>
                <w:rFonts w:eastAsiaTheme="minorEastAsia"/>
                <w:color w:val="000000" w:themeColor="text1"/>
                <w:szCs w:val="21"/>
              </w:rPr>
              <w:t>毛时超先生曾任平安基金管理有限公司量化研究员、基金经理助理、基金经理；自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月加入摩根基金管理（中国）有限公司（原上投摩根基金管理有限公司），现任指数及量化投资部基金经理。</w:t>
            </w:r>
          </w:p>
        </w:tc>
      </w:tr>
    </w:tbl>
    <w:p w:rsidR="00DC71B1" w:rsidRDefault="00A661F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DC71B1" w:rsidRDefault="00A661F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毛时超先生为本基金首任基金经理，其任职日期指本基金基金合同生效之日。</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 xml:space="preserve">3. </w:t>
      </w:r>
      <w:r w:rsidRPr="00473486">
        <w:rPr>
          <w:rFonts w:eastAsiaTheme="minorEastAsia"/>
          <w:color w:val="000000" w:themeColor="text1"/>
          <w:szCs w:val="21"/>
        </w:rPr>
        <w:t>证券从业的含义遵从行业协会《证券业从业人员资格管理办法》的相关规定。</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4.2</w:t>
      </w:r>
      <w:r w:rsidRPr="00473486">
        <w:rPr>
          <w:b/>
          <w:color w:val="000000"/>
          <w:sz w:val="24"/>
          <w:shd w:val="clear" w:color="auto" w:fill="FFFFFF"/>
        </w:rPr>
        <w:t>管理人对报告期内本基金运作遵规守信情况的说明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4.3 </w:t>
      </w:r>
      <w:r w:rsidRPr="00473486">
        <w:rPr>
          <w:rFonts w:eastAsiaTheme="minorEastAsia"/>
          <w:b/>
          <w:color w:val="000000" w:themeColor="text1"/>
          <w:kern w:val="0"/>
          <w:sz w:val="24"/>
        </w:rPr>
        <w:t>公平交易专项说明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4.3.1 </w:t>
      </w:r>
      <w:r w:rsidRPr="00473486">
        <w:rPr>
          <w:rFonts w:eastAsiaTheme="minorEastAsia"/>
          <w:color w:val="000000" w:themeColor="text1"/>
          <w:szCs w:val="21"/>
        </w:rPr>
        <w:t>公平交易制度的执行情况</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4.3.2 </w:t>
      </w:r>
      <w:r w:rsidRPr="00473486">
        <w:rPr>
          <w:rFonts w:eastAsiaTheme="minorEastAsia"/>
          <w:color w:val="000000" w:themeColor="text1"/>
          <w:szCs w:val="21"/>
        </w:rPr>
        <w:t>异常交易行为的专项说明</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所有投资组合参与的交易所公开竞价同日反向交易成交较少的单边交易量超过该证券当日成交量的</w:t>
      </w:r>
      <w:r w:rsidRPr="00473486">
        <w:rPr>
          <w:rFonts w:eastAsiaTheme="minorEastAsia"/>
          <w:color w:val="000000" w:themeColor="text1"/>
          <w:szCs w:val="21"/>
        </w:rPr>
        <w:t>5%</w:t>
      </w:r>
      <w:r w:rsidRPr="00473486">
        <w:rPr>
          <w:rFonts w:eastAsiaTheme="minorEastAsia"/>
          <w:color w:val="000000" w:themeColor="text1"/>
          <w:szCs w:val="21"/>
        </w:rPr>
        <w:t>的情形：无。</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4.4 </w:t>
      </w:r>
      <w:r w:rsidRPr="00473486">
        <w:rPr>
          <w:rFonts w:eastAsiaTheme="minorEastAsia"/>
          <w:b/>
          <w:color w:val="000000" w:themeColor="text1"/>
          <w:kern w:val="0"/>
          <w:sz w:val="24"/>
        </w:rPr>
        <w:t>报告期内基金的投资策略和业绩表现说明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4.4.1</w:t>
      </w:r>
      <w:r w:rsidRPr="00473486">
        <w:rPr>
          <w:rFonts w:eastAsiaTheme="minorEastAsia"/>
          <w:color w:val="000000" w:themeColor="text1"/>
          <w:szCs w:val="21"/>
        </w:rPr>
        <w:t>报告期内基金投资策略和运作分析</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投资跟踪的标的指数，选取深度低碳（清洁能源与储能、绿色交通、减碳与固碳技术等）和高碳减排（火电、钢铁、建材、有色金属、化工、建筑等）两大领域的上市公司证券作为待选样本，按照两者样本数</w:t>
      </w:r>
      <w:r>
        <w:rPr>
          <w:rFonts w:eastAsiaTheme="minorEastAsia"/>
          <w:color w:val="000000" w:themeColor="text1"/>
          <w:szCs w:val="21"/>
        </w:rPr>
        <w:t>7:3</w:t>
      </w:r>
      <w:r>
        <w:rPr>
          <w:rFonts w:eastAsiaTheme="minorEastAsia"/>
          <w:color w:val="000000" w:themeColor="text1"/>
          <w:szCs w:val="21"/>
        </w:rPr>
        <w:t>的比例作为指数样本。从中信一级行业分布来看，截至一季度末，电力设备及新能源行业占比最大，其他依次为电力及公用事业、有色金属、汽车、基础化工、建筑、机械、建材、钢铁等行业。</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深度低碳板块相关的股票，历经大幅下跌之后在期初反弹上涨，但是伴随过去两年的扩产之后竞争加剧、需求增速下滑的悲观预期，随后整体延续下跌的趋势。高碳减排板块相关的股票，由于估值和价格均处于历史低位，期间表现较好有一定幅度的上涨。从整体表现来看，由于前者权重占比较高，标的指数呈现先涨后跌的状况。</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本基金采用完全复制标的指数的投资策略，基于多套系统处理日常的申购赎回等行为，力争将跟踪误差控制在合理水平。</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展望未来，尽早实现碳中和、控制温度升高已经成为全球共识，碳中和目标已经成为我国重要的国策，本基金跟踪投资的碳中和领域相关企业，中长期来看具有较高的投资配置价值。</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4.4.2</w:t>
      </w:r>
      <w:r w:rsidRPr="00473486">
        <w:rPr>
          <w:rFonts w:eastAsiaTheme="minorEastAsia"/>
          <w:color w:val="000000" w:themeColor="text1"/>
          <w:szCs w:val="21"/>
        </w:rPr>
        <w:t>报告期内基金的业绩表现</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本报告期本基金份额净值增长率为</w:t>
      </w:r>
      <w:r w:rsidRPr="00473486">
        <w:rPr>
          <w:rFonts w:eastAsiaTheme="minorEastAsia"/>
          <w:color w:val="000000" w:themeColor="text1"/>
          <w:szCs w:val="21"/>
        </w:rPr>
        <w:t>:-4.96%</w:t>
      </w:r>
      <w:r w:rsidRPr="00473486">
        <w:rPr>
          <w:rFonts w:eastAsiaTheme="minorEastAsia"/>
          <w:color w:val="000000" w:themeColor="text1"/>
          <w:szCs w:val="21"/>
        </w:rPr>
        <w:t>，同期业绩比较基准收益率为</w:t>
      </w:r>
      <w:r w:rsidRPr="00473486">
        <w:rPr>
          <w:rFonts w:eastAsiaTheme="minorEastAsia"/>
          <w:color w:val="000000" w:themeColor="text1"/>
          <w:szCs w:val="21"/>
        </w:rPr>
        <w:t>:-0.79%</w:t>
      </w:r>
      <w:r w:rsidRPr="00473486">
        <w:rPr>
          <w:rFonts w:eastAsiaTheme="minorEastAsia"/>
          <w:color w:val="000000" w:themeColor="text1"/>
          <w:szCs w:val="21"/>
        </w:rPr>
        <w:t>。</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§5  </w:t>
      </w:r>
      <w:r w:rsidRPr="00473486">
        <w:rPr>
          <w:rFonts w:eastAsiaTheme="minorEastAsia"/>
          <w:color w:val="000000" w:themeColor="text1"/>
          <w:kern w:val="0"/>
          <w:sz w:val="24"/>
          <w:szCs w:val="24"/>
        </w:rPr>
        <w:t>投资组合报告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5.1 </w:t>
      </w:r>
      <w:r w:rsidRPr="00473486">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335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项目</w:t>
            </w:r>
          </w:p>
        </w:tc>
        <w:tc>
          <w:tcPr>
            <w:tcW w:w="297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金额</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占基金总资产的比例</w:t>
            </w: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权益投资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43,925,955.50</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95.76</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其中：股票</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43,925,955.50</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95.76</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固定收益投资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其中：债券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autoSpaceDE w:val="0"/>
              <w:autoSpaceDN w:val="0"/>
              <w:adjustRightInd w:val="0"/>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资产支持证券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3</w:t>
            </w:r>
          </w:p>
        </w:tc>
        <w:tc>
          <w:tcPr>
            <w:tcW w:w="3357" w:type="dxa"/>
          </w:tcPr>
          <w:p w:rsidR="00881A82" w:rsidRPr="00473486" w:rsidRDefault="007D1E3A">
            <w:pPr>
              <w:spacing w:before="29" w:line="360" w:lineRule="auto"/>
              <w:ind w:leftChars="50" w:left="105"/>
              <w:rPr>
                <w:rFonts w:eastAsiaTheme="minorEastAsia"/>
                <w:color w:val="000000" w:themeColor="text1"/>
                <w:szCs w:val="21"/>
              </w:rPr>
            </w:pPr>
            <w:r w:rsidRPr="00473486">
              <w:rPr>
                <w:rFonts w:eastAsiaTheme="minorEastAsia"/>
                <w:color w:val="000000" w:themeColor="text1"/>
                <w:szCs w:val="21"/>
              </w:rPr>
              <w:t>贵金属投资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金融衍生品投资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其中：买断式回购的买入返售金融资产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6</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银行存款和结算备付金合计</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749,566.39</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1.63</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其他各项资产</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1,194,754.83</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2.60</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合计</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45,870,276.72</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100.00</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5.2 </w:t>
      </w:r>
      <w:r w:rsidRPr="00473486">
        <w:rPr>
          <w:rFonts w:eastAsiaTheme="minorEastAsia"/>
          <w:b/>
          <w:color w:val="000000" w:themeColor="text1"/>
          <w:kern w:val="0"/>
          <w:sz w:val="24"/>
        </w:rPr>
        <w:t>报告期末按行业分类的股票投资组合</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5.2.1</w:t>
      </w:r>
      <w:r w:rsidRPr="00473486">
        <w:rPr>
          <w:rFonts w:eastAsiaTheme="minorEastAsia"/>
          <w:b/>
          <w:color w:val="000000" w:themeColor="text1"/>
          <w:kern w:val="0"/>
          <w:sz w:val="24"/>
        </w:rPr>
        <w:t>积极投资按行业分类的股票投资组合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5.2.2</w:t>
      </w:r>
      <w:r w:rsidRPr="00473486">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81A82" w:rsidRPr="0047348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占基金资产净值比例（％）</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544,491.00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1.23</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35,354,784.50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79.81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6,508,139.00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14.69</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1,518,541.00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3.43</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881A82">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43,925,955.50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99.16</w:t>
            </w:r>
          </w:p>
        </w:tc>
      </w:tr>
    </w:tbl>
    <w:p w:rsidR="00881A82" w:rsidRPr="00473486" w:rsidRDefault="00881A82">
      <w:pPr>
        <w:autoSpaceDE w:val="0"/>
        <w:autoSpaceDN w:val="0"/>
        <w:adjustRightInd w:val="0"/>
        <w:spacing w:line="360" w:lineRule="auto"/>
        <w:jc w:val="left"/>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5.3</w:t>
      </w:r>
      <w:r w:rsidRPr="00473486">
        <w:rPr>
          <w:rFonts w:eastAsiaTheme="minorEastAsia"/>
          <w:b/>
          <w:color w:val="000000" w:themeColor="text1"/>
          <w:kern w:val="0"/>
          <w:sz w:val="24"/>
        </w:rPr>
        <w:t>报告期末按公允价值占基金资产净值比例大小排序的股票投资明细</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5.3.1</w:t>
      </w:r>
      <w:r w:rsidRPr="00473486">
        <w:rPr>
          <w:rFonts w:eastAsiaTheme="minorEastAsia"/>
          <w:b/>
          <w:color w:val="000000" w:themeColor="text1"/>
          <w:kern w:val="0"/>
          <w:sz w:val="24"/>
        </w:rPr>
        <w:t>期末</w:t>
      </w:r>
      <w:r w:rsidRPr="00473486">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rsidRPr="00473486">
        <w:tc>
          <w:tcPr>
            <w:tcW w:w="81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股票代码</w:t>
            </w:r>
          </w:p>
        </w:tc>
        <w:tc>
          <w:tcPr>
            <w:tcW w:w="1701"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股票名称</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股</w:t>
            </w:r>
            <w:r w:rsidRPr="00473486">
              <w:rPr>
                <w:rFonts w:eastAsiaTheme="minorEastAsia"/>
                <w:color w:val="000000" w:themeColor="text1"/>
                <w:szCs w:val="21"/>
              </w:rPr>
              <w:t>)</w:t>
            </w:r>
          </w:p>
        </w:tc>
        <w:tc>
          <w:tcPr>
            <w:tcW w:w="184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DC71B1">
        <w:tc>
          <w:tcPr>
            <w:tcW w:w="817" w:type="dxa"/>
            <w:vAlign w:val="center"/>
          </w:tcPr>
          <w:p w:rsidR="00DC71B1" w:rsidRDefault="00A661F0">
            <w:pPr>
              <w:jc w:val="center"/>
            </w:pPr>
            <w:r>
              <w:rPr>
                <w:rFonts w:eastAsiaTheme="minorEastAsia"/>
                <w:color w:val="000000" w:themeColor="text1"/>
                <w:szCs w:val="21"/>
              </w:rPr>
              <w:t>1</w:t>
            </w:r>
          </w:p>
        </w:tc>
        <w:tc>
          <w:tcPr>
            <w:tcW w:w="1276" w:type="dxa"/>
            <w:vAlign w:val="center"/>
          </w:tcPr>
          <w:p w:rsidR="00DC71B1" w:rsidRDefault="00A661F0">
            <w:pPr>
              <w:jc w:val="center"/>
            </w:pPr>
            <w:r>
              <w:rPr>
                <w:rFonts w:eastAsiaTheme="minorEastAsia"/>
                <w:color w:val="000000" w:themeColor="text1"/>
                <w:szCs w:val="21"/>
              </w:rPr>
              <w:t>300750</w:t>
            </w:r>
          </w:p>
        </w:tc>
        <w:tc>
          <w:tcPr>
            <w:tcW w:w="1701" w:type="dxa"/>
            <w:vAlign w:val="center"/>
          </w:tcPr>
          <w:p w:rsidR="00DC71B1" w:rsidRDefault="00A661F0">
            <w:pPr>
              <w:jc w:val="center"/>
            </w:pPr>
            <w:r>
              <w:rPr>
                <w:rFonts w:eastAsiaTheme="minorEastAsia"/>
                <w:color w:val="000000" w:themeColor="text1"/>
                <w:szCs w:val="21"/>
              </w:rPr>
              <w:t>宁德时代</w:t>
            </w:r>
          </w:p>
        </w:tc>
        <w:tc>
          <w:tcPr>
            <w:tcW w:w="1276" w:type="dxa"/>
            <w:vAlign w:val="center"/>
          </w:tcPr>
          <w:p w:rsidR="00DC71B1" w:rsidRDefault="00A661F0">
            <w:pPr>
              <w:jc w:val="right"/>
            </w:pPr>
            <w:r>
              <w:rPr>
                <w:rFonts w:eastAsiaTheme="minorEastAsia"/>
                <w:color w:val="000000" w:themeColor="text1"/>
                <w:szCs w:val="21"/>
              </w:rPr>
              <w:t>11,758.00</w:t>
            </w:r>
          </w:p>
        </w:tc>
        <w:tc>
          <w:tcPr>
            <w:tcW w:w="1842" w:type="dxa"/>
            <w:vAlign w:val="center"/>
          </w:tcPr>
          <w:p w:rsidR="00DC71B1" w:rsidRDefault="00A661F0">
            <w:pPr>
              <w:jc w:val="right"/>
            </w:pPr>
            <w:r>
              <w:rPr>
                <w:rFonts w:eastAsiaTheme="minorEastAsia"/>
                <w:color w:val="000000" w:themeColor="text1"/>
                <w:szCs w:val="21"/>
              </w:rPr>
              <w:t>4,774,335.90</w:t>
            </w:r>
          </w:p>
        </w:tc>
        <w:tc>
          <w:tcPr>
            <w:tcW w:w="1616" w:type="dxa"/>
            <w:vAlign w:val="center"/>
          </w:tcPr>
          <w:p w:rsidR="00DC71B1" w:rsidRDefault="00A661F0">
            <w:pPr>
              <w:jc w:val="right"/>
            </w:pPr>
            <w:r>
              <w:rPr>
                <w:rFonts w:eastAsiaTheme="minorEastAsia"/>
                <w:color w:val="000000" w:themeColor="text1"/>
                <w:szCs w:val="21"/>
              </w:rPr>
              <w:t>10.78</w:t>
            </w:r>
          </w:p>
        </w:tc>
      </w:tr>
      <w:tr w:rsidR="00DC71B1">
        <w:tc>
          <w:tcPr>
            <w:tcW w:w="817" w:type="dxa"/>
            <w:vAlign w:val="center"/>
          </w:tcPr>
          <w:p w:rsidR="00DC71B1" w:rsidRDefault="00A661F0">
            <w:pPr>
              <w:jc w:val="center"/>
            </w:pPr>
            <w:r>
              <w:rPr>
                <w:rFonts w:eastAsiaTheme="minorEastAsia"/>
                <w:color w:val="000000" w:themeColor="text1"/>
                <w:szCs w:val="21"/>
              </w:rPr>
              <w:t>2</w:t>
            </w:r>
          </w:p>
        </w:tc>
        <w:tc>
          <w:tcPr>
            <w:tcW w:w="1276" w:type="dxa"/>
            <w:vAlign w:val="center"/>
          </w:tcPr>
          <w:p w:rsidR="00DC71B1" w:rsidRDefault="00A661F0">
            <w:pPr>
              <w:jc w:val="center"/>
            </w:pPr>
            <w:r>
              <w:rPr>
                <w:rFonts w:eastAsiaTheme="minorEastAsia"/>
                <w:color w:val="000000" w:themeColor="text1"/>
                <w:szCs w:val="21"/>
              </w:rPr>
              <w:t>601012</w:t>
            </w:r>
          </w:p>
        </w:tc>
        <w:tc>
          <w:tcPr>
            <w:tcW w:w="1701" w:type="dxa"/>
            <w:vAlign w:val="center"/>
          </w:tcPr>
          <w:p w:rsidR="00DC71B1" w:rsidRDefault="00A661F0">
            <w:pPr>
              <w:jc w:val="center"/>
            </w:pPr>
            <w:r>
              <w:rPr>
                <w:rFonts w:eastAsiaTheme="minorEastAsia"/>
                <w:color w:val="000000" w:themeColor="text1"/>
                <w:szCs w:val="21"/>
              </w:rPr>
              <w:t>隆基绿能</w:t>
            </w:r>
          </w:p>
        </w:tc>
        <w:tc>
          <w:tcPr>
            <w:tcW w:w="1276" w:type="dxa"/>
            <w:vAlign w:val="center"/>
          </w:tcPr>
          <w:p w:rsidR="00DC71B1" w:rsidRDefault="00A661F0">
            <w:pPr>
              <w:jc w:val="right"/>
            </w:pPr>
            <w:r>
              <w:rPr>
                <w:rFonts w:eastAsiaTheme="minorEastAsia"/>
                <w:color w:val="000000" w:themeColor="text1"/>
                <w:szCs w:val="21"/>
              </w:rPr>
              <w:t>78,697.00</w:t>
            </w:r>
          </w:p>
        </w:tc>
        <w:tc>
          <w:tcPr>
            <w:tcW w:w="1842" w:type="dxa"/>
            <w:vAlign w:val="center"/>
          </w:tcPr>
          <w:p w:rsidR="00DC71B1" w:rsidRDefault="00A661F0">
            <w:pPr>
              <w:jc w:val="right"/>
            </w:pPr>
            <w:r>
              <w:rPr>
                <w:rFonts w:eastAsiaTheme="minorEastAsia"/>
                <w:color w:val="000000" w:themeColor="text1"/>
                <w:szCs w:val="21"/>
              </w:rPr>
              <w:t>3,180,145.77</w:t>
            </w:r>
          </w:p>
        </w:tc>
        <w:tc>
          <w:tcPr>
            <w:tcW w:w="1616" w:type="dxa"/>
            <w:vAlign w:val="center"/>
          </w:tcPr>
          <w:p w:rsidR="00DC71B1" w:rsidRDefault="00A661F0">
            <w:pPr>
              <w:jc w:val="right"/>
            </w:pPr>
            <w:r>
              <w:rPr>
                <w:rFonts w:eastAsiaTheme="minorEastAsia"/>
                <w:color w:val="000000" w:themeColor="text1"/>
                <w:szCs w:val="21"/>
              </w:rPr>
              <w:t>7.18</w:t>
            </w:r>
          </w:p>
        </w:tc>
      </w:tr>
      <w:tr w:rsidR="00DC71B1">
        <w:tc>
          <w:tcPr>
            <w:tcW w:w="817" w:type="dxa"/>
            <w:vAlign w:val="center"/>
          </w:tcPr>
          <w:p w:rsidR="00DC71B1" w:rsidRDefault="00A661F0">
            <w:pPr>
              <w:jc w:val="center"/>
            </w:pPr>
            <w:r>
              <w:rPr>
                <w:rFonts w:eastAsiaTheme="minorEastAsia"/>
                <w:color w:val="000000" w:themeColor="text1"/>
                <w:szCs w:val="21"/>
              </w:rPr>
              <w:t>3</w:t>
            </w:r>
          </w:p>
        </w:tc>
        <w:tc>
          <w:tcPr>
            <w:tcW w:w="1276" w:type="dxa"/>
            <w:vAlign w:val="center"/>
          </w:tcPr>
          <w:p w:rsidR="00DC71B1" w:rsidRDefault="00A661F0">
            <w:pPr>
              <w:jc w:val="center"/>
            </w:pPr>
            <w:r>
              <w:rPr>
                <w:rFonts w:eastAsiaTheme="minorEastAsia"/>
                <w:color w:val="000000" w:themeColor="text1"/>
                <w:szCs w:val="21"/>
              </w:rPr>
              <w:t>600900</w:t>
            </w:r>
          </w:p>
        </w:tc>
        <w:tc>
          <w:tcPr>
            <w:tcW w:w="1701" w:type="dxa"/>
            <w:vAlign w:val="center"/>
          </w:tcPr>
          <w:p w:rsidR="00DC71B1" w:rsidRDefault="00A661F0">
            <w:pPr>
              <w:jc w:val="center"/>
            </w:pPr>
            <w:r>
              <w:rPr>
                <w:rFonts w:eastAsiaTheme="minorEastAsia"/>
                <w:color w:val="000000" w:themeColor="text1"/>
                <w:szCs w:val="21"/>
              </w:rPr>
              <w:t>长江电力</w:t>
            </w:r>
          </w:p>
        </w:tc>
        <w:tc>
          <w:tcPr>
            <w:tcW w:w="1276" w:type="dxa"/>
            <w:vAlign w:val="center"/>
          </w:tcPr>
          <w:p w:rsidR="00DC71B1" w:rsidRDefault="00A661F0">
            <w:pPr>
              <w:jc w:val="right"/>
            </w:pPr>
            <w:r>
              <w:rPr>
                <w:rFonts w:eastAsiaTheme="minorEastAsia"/>
                <w:color w:val="000000" w:themeColor="text1"/>
                <w:szCs w:val="21"/>
              </w:rPr>
              <w:t>147,572.00</w:t>
            </w:r>
          </w:p>
        </w:tc>
        <w:tc>
          <w:tcPr>
            <w:tcW w:w="1842" w:type="dxa"/>
            <w:vAlign w:val="center"/>
          </w:tcPr>
          <w:p w:rsidR="00DC71B1" w:rsidRDefault="00A661F0">
            <w:pPr>
              <w:jc w:val="right"/>
            </w:pPr>
            <w:r>
              <w:rPr>
                <w:rFonts w:eastAsiaTheme="minorEastAsia"/>
                <w:color w:val="000000" w:themeColor="text1"/>
                <w:szCs w:val="21"/>
              </w:rPr>
              <w:t>3,135,905.00</w:t>
            </w:r>
          </w:p>
        </w:tc>
        <w:tc>
          <w:tcPr>
            <w:tcW w:w="1616" w:type="dxa"/>
            <w:vAlign w:val="center"/>
          </w:tcPr>
          <w:p w:rsidR="00DC71B1" w:rsidRDefault="00A661F0">
            <w:pPr>
              <w:jc w:val="right"/>
            </w:pPr>
            <w:r>
              <w:rPr>
                <w:rFonts w:eastAsiaTheme="minorEastAsia"/>
                <w:color w:val="000000" w:themeColor="text1"/>
                <w:szCs w:val="21"/>
              </w:rPr>
              <w:t>7.08</w:t>
            </w:r>
          </w:p>
        </w:tc>
      </w:tr>
      <w:tr w:rsidR="00DC71B1">
        <w:tc>
          <w:tcPr>
            <w:tcW w:w="817" w:type="dxa"/>
            <w:vAlign w:val="center"/>
          </w:tcPr>
          <w:p w:rsidR="00DC71B1" w:rsidRDefault="00A661F0">
            <w:pPr>
              <w:jc w:val="center"/>
            </w:pPr>
            <w:r>
              <w:rPr>
                <w:rFonts w:eastAsiaTheme="minorEastAsia"/>
                <w:color w:val="000000" w:themeColor="text1"/>
                <w:szCs w:val="21"/>
              </w:rPr>
              <w:t>4</w:t>
            </w:r>
          </w:p>
        </w:tc>
        <w:tc>
          <w:tcPr>
            <w:tcW w:w="1276" w:type="dxa"/>
            <w:vAlign w:val="center"/>
          </w:tcPr>
          <w:p w:rsidR="00DC71B1" w:rsidRDefault="00A661F0">
            <w:pPr>
              <w:jc w:val="center"/>
            </w:pPr>
            <w:r>
              <w:rPr>
                <w:rFonts w:eastAsiaTheme="minorEastAsia"/>
                <w:color w:val="000000" w:themeColor="text1"/>
                <w:szCs w:val="21"/>
              </w:rPr>
              <w:t>002594</w:t>
            </w:r>
          </w:p>
        </w:tc>
        <w:tc>
          <w:tcPr>
            <w:tcW w:w="1701" w:type="dxa"/>
            <w:vAlign w:val="center"/>
          </w:tcPr>
          <w:p w:rsidR="00DC71B1" w:rsidRDefault="00A661F0">
            <w:pPr>
              <w:jc w:val="center"/>
            </w:pPr>
            <w:r>
              <w:rPr>
                <w:rFonts w:eastAsiaTheme="minorEastAsia"/>
                <w:color w:val="000000" w:themeColor="text1"/>
                <w:szCs w:val="21"/>
              </w:rPr>
              <w:t>比亚迪</w:t>
            </w:r>
          </w:p>
        </w:tc>
        <w:tc>
          <w:tcPr>
            <w:tcW w:w="1276" w:type="dxa"/>
            <w:vAlign w:val="center"/>
          </w:tcPr>
          <w:p w:rsidR="00DC71B1" w:rsidRDefault="00A661F0">
            <w:pPr>
              <w:jc w:val="right"/>
            </w:pPr>
            <w:r>
              <w:rPr>
                <w:rFonts w:eastAsiaTheme="minorEastAsia"/>
                <w:color w:val="000000" w:themeColor="text1"/>
                <w:szCs w:val="21"/>
              </w:rPr>
              <w:t>11,700.00</w:t>
            </w:r>
          </w:p>
        </w:tc>
        <w:tc>
          <w:tcPr>
            <w:tcW w:w="1842" w:type="dxa"/>
            <w:vAlign w:val="center"/>
          </w:tcPr>
          <w:p w:rsidR="00DC71B1" w:rsidRDefault="00A661F0">
            <w:pPr>
              <w:jc w:val="right"/>
            </w:pPr>
            <w:r>
              <w:rPr>
                <w:rFonts w:eastAsiaTheme="minorEastAsia"/>
                <w:color w:val="000000" w:themeColor="text1"/>
                <w:szCs w:val="21"/>
              </w:rPr>
              <w:t>2,995,434.00</w:t>
            </w:r>
          </w:p>
        </w:tc>
        <w:tc>
          <w:tcPr>
            <w:tcW w:w="1616" w:type="dxa"/>
            <w:vAlign w:val="center"/>
          </w:tcPr>
          <w:p w:rsidR="00DC71B1" w:rsidRDefault="00A661F0">
            <w:pPr>
              <w:jc w:val="right"/>
            </w:pPr>
            <w:r>
              <w:rPr>
                <w:rFonts w:eastAsiaTheme="minorEastAsia"/>
                <w:color w:val="000000" w:themeColor="text1"/>
                <w:szCs w:val="21"/>
              </w:rPr>
              <w:t>6.76</w:t>
            </w:r>
          </w:p>
        </w:tc>
      </w:tr>
      <w:tr w:rsidR="00DC71B1">
        <w:tc>
          <w:tcPr>
            <w:tcW w:w="817" w:type="dxa"/>
            <w:vAlign w:val="center"/>
          </w:tcPr>
          <w:p w:rsidR="00DC71B1" w:rsidRDefault="00A661F0">
            <w:pPr>
              <w:jc w:val="center"/>
            </w:pPr>
            <w:r>
              <w:rPr>
                <w:rFonts w:eastAsiaTheme="minorEastAsia"/>
                <w:color w:val="000000" w:themeColor="text1"/>
                <w:szCs w:val="21"/>
              </w:rPr>
              <w:t>5</w:t>
            </w:r>
          </w:p>
        </w:tc>
        <w:tc>
          <w:tcPr>
            <w:tcW w:w="1276" w:type="dxa"/>
            <w:vAlign w:val="center"/>
          </w:tcPr>
          <w:p w:rsidR="00DC71B1" w:rsidRDefault="00A661F0">
            <w:pPr>
              <w:jc w:val="center"/>
            </w:pPr>
            <w:r>
              <w:rPr>
                <w:rFonts w:eastAsiaTheme="minorEastAsia"/>
                <w:color w:val="000000" w:themeColor="text1"/>
                <w:szCs w:val="21"/>
              </w:rPr>
              <w:t>300124</w:t>
            </w:r>
          </w:p>
        </w:tc>
        <w:tc>
          <w:tcPr>
            <w:tcW w:w="1701" w:type="dxa"/>
            <w:vAlign w:val="center"/>
          </w:tcPr>
          <w:p w:rsidR="00DC71B1" w:rsidRDefault="00A661F0">
            <w:pPr>
              <w:jc w:val="center"/>
            </w:pPr>
            <w:r>
              <w:rPr>
                <w:rFonts w:eastAsiaTheme="minorEastAsia"/>
                <w:color w:val="000000" w:themeColor="text1"/>
                <w:szCs w:val="21"/>
              </w:rPr>
              <w:t>汇川技术</w:t>
            </w:r>
          </w:p>
        </w:tc>
        <w:tc>
          <w:tcPr>
            <w:tcW w:w="1276" w:type="dxa"/>
            <w:vAlign w:val="center"/>
          </w:tcPr>
          <w:p w:rsidR="00DC71B1" w:rsidRDefault="00A661F0">
            <w:pPr>
              <w:jc w:val="right"/>
            </w:pPr>
            <w:r>
              <w:rPr>
                <w:rFonts w:eastAsiaTheme="minorEastAsia"/>
                <w:color w:val="000000" w:themeColor="text1"/>
                <w:szCs w:val="21"/>
              </w:rPr>
              <w:t>24,100.00</w:t>
            </w:r>
          </w:p>
        </w:tc>
        <w:tc>
          <w:tcPr>
            <w:tcW w:w="1842" w:type="dxa"/>
            <w:vAlign w:val="center"/>
          </w:tcPr>
          <w:p w:rsidR="00DC71B1" w:rsidRDefault="00A661F0">
            <w:pPr>
              <w:jc w:val="right"/>
            </w:pPr>
            <w:r>
              <w:rPr>
                <w:rFonts w:eastAsiaTheme="minorEastAsia"/>
                <w:color w:val="000000" w:themeColor="text1"/>
                <w:szCs w:val="21"/>
              </w:rPr>
              <w:t>1,694,230.00</w:t>
            </w:r>
          </w:p>
        </w:tc>
        <w:tc>
          <w:tcPr>
            <w:tcW w:w="1616" w:type="dxa"/>
            <w:vAlign w:val="center"/>
          </w:tcPr>
          <w:p w:rsidR="00DC71B1" w:rsidRDefault="00A661F0">
            <w:pPr>
              <w:jc w:val="right"/>
            </w:pPr>
            <w:r>
              <w:rPr>
                <w:rFonts w:eastAsiaTheme="minorEastAsia"/>
                <w:color w:val="000000" w:themeColor="text1"/>
                <w:szCs w:val="21"/>
              </w:rPr>
              <w:t>3.82</w:t>
            </w:r>
          </w:p>
        </w:tc>
      </w:tr>
      <w:tr w:rsidR="00DC71B1">
        <w:tc>
          <w:tcPr>
            <w:tcW w:w="817" w:type="dxa"/>
            <w:vAlign w:val="center"/>
          </w:tcPr>
          <w:p w:rsidR="00DC71B1" w:rsidRDefault="00A661F0">
            <w:pPr>
              <w:jc w:val="center"/>
            </w:pPr>
            <w:r>
              <w:rPr>
                <w:rFonts w:eastAsiaTheme="minorEastAsia"/>
                <w:color w:val="000000" w:themeColor="text1"/>
                <w:szCs w:val="21"/>
              </w:rPr>
              <w:t>6</w:t>
            </w:r>
          </w:p>
        </w:tc>
        <w:tc>
          <w:tcPr>
            <w:tcW w:w="1276" w:type="dxa"/>
            <w:vAlign w:val="center"/>
          </w:tcPr>
          <w:p w:rsidR="00DC71B1" w:rsidRDefault="00A661F0">
            <w:pPr>
              <w:jc w:val="center"/>
            </w:pPr>
            <w:r>
              <w:rPr>
                <w:rFonts w:eastAsiaTheme="minorEastAsia"/>
                <w:color w:val="000000" w:themeColor="text1"/>
                <w:szCs w:val="21"/>
              </w:rPr>
              <w:t>002129</w:t>
            </w:r>
          </w:p>
        </w:tc>
        <w:tc>
          <w:tcPr>
            <w:tcW w:w="1701" w:type="dxa"/>
            <w:vAlign w:val="center"/>
          </w:tcPr>
          <w:p w:rsidR="00DC71B1" w:rsidRDefault="00A661F0">
            <w:pPr>
              <w:jc w:val="center"/>
            </w:pPr>
            <w:r>
              <w:rPr>
                <w:rFonts w:eastAsiaTheme="minorEastAsia"/>
                <w:color w:val="000000" w:themeColor="text1"/>
                <w:szCs w:val="21"/>
              </w:rPr>
              <w:t>TCL</w:t>
            </w:r>
            <w:r>
              <w:rPr>
                <w:rFonts w:eastAsiaTheme="minorEastAsia"/>
                <w:color w:val="000000" w:themeColor="text1"/>
                <w:szCs w:val="21"/>
              </w:rPr>
              <w:t>中环</w:t>
            </w:r>
          </w:p>
        </w:tc>
        <w:tc>
          <w:tcPr>
            <w:tcW w:w="1276" w:type="dxa"/>
            <w:vAlign w:val="center"/>
          </w:tcPr>
          <w:p w:rsidR="00DC71B1" w:rsidRDefault="00A661F0">
            <w:pPr>
              <w:jc w:val="right"/>
            </w:pPr>
            <w:r>
              <w:rPr>
                <w:rFonts w:eastAsiaTheme="minorEastAsia"/>
                <w:color w:val="000000" w:themeColor="text1"/>
                <w:szCs w:val="21"/>
              </w:rPr>
              <w:t>33,500.00</w:t>
            </w:r>
          </w:p>
        </w:tc>
        <w:tc>
          <w:tcPr>
            <w:tcW w:w="1842" w:type="dxa"/>
            <w:vAlign w:val="center"/>
          </w:tcPr>
          <w:p w:rsidR="00DC71B1" w:rsidRDefault="00A661F0">
            <w:pPr>
              <w:jc w:val="right"/>
            </w:pPr>
            <w:r>
              <w:rPr>
                <w:rFonts w:eastAsiaTheme="minorEastAsia"/>
                <w:color w:val="000000" w:themeColor="text1"/>
                <w:szCs w:val="21"/>
              </w:rPr>
              <w:t>1,623,410.00</w:t>
            </w:r>
          </w:p>
        </w:tc>
        <w:tc>
          <w:tcPr>
            <w:tcW w:w="1616" w:type="dxa"/>
            <w:vAlign w:val="center"/>
          </w:tcPr>
          <w:p w:rsidR="00DC71B1" w:rsidRDefault="00A661F0">
            <w:pPr>
              <w:jc w:val="right"/>
            </w:pPr>
            <w:r>
              <w:rPr>
                <w:rFonts w:eastAsiaTheme="minorEastAsia"/>
                <w:color w:val="000000" w:themeColor="text1"/>
                <w:szCs w:val="21"/>
              </w:rPr>
              <w:t>3.66</w:t>
            </w:r>
          </w:p>
        </w:tc>
      </w:tr>
      <w:tr w:rsidR="00DC71B1">
        <w:tc>
          <w:tcPr>
            <w:tcW w:w="817" w:type="dxa"/>
            <w:vAlign w:val="center"/>
          </w:tcPr>
          <w:p w:rsidR="00DC71B1" w:rsidRDefault="00A661F0">
            <w:pPr>
              <w:jc w:val="center"/>
            </w:pPr>
            <w:r>
              <w:rPr>
                <w:rFonts w:eastAsiaTheme="minorEastAsia"/>
                <w:color w:val="000000" w:themeColor="text1"/>
                <w:szCs w:val="21"/>
              </w:rPr>
              <w:t>7</w:t>
            </w:r>
          </w:p>
        </w:tc>
        <w:tc>
          <w:tcPr>
            <w:tcW w:w="1276" w:type="dxa"/>
            <w:vAlign w:val="center"/>
          </w:tcPr>
          <w:p w:rsidR="00DC71B1" w:rsidRDefault="00A661F0">
            <w:pPr>
              <w:jc w:val="center"/>
            </w:pPr>
            <w:r>
              <w:rPr>
                <w:rFonts w:eastAsiaTheme="minorEastAsia"/>
                <w:color w:val="000000" w:themeColor="text1"/>
                <w:szCs w:val="21"/>
              </w:rPr>
              <w:t>300274</w:t>
            </w:r>
          </w:p>
        </w:tc>
        <w:tc>
          <w:tcPr>
            <w:tcW w:w="1701" w:type="dxa"/>
            <w:vAlign w:val="center"/>
          </w:tcPr>
          <w:p w:rsidR="00DC71B1" w:rsidRDefault="00A661F0">
            <w:pPr>
              <w:jc w:val="center"/>
            </w:pPr>
            <w:r>
              <w:rPr>
                <w:rFonts w:eastAsiaTheme="minorEastAsia"/>
                <w:color w:val="000000" w:themeColor="text1"/>
                <w:szCs w:val="21"/>
              </w:rPr>
              <w:t>阳光电源</w:t>
            </w:r>
          </w:p>
        </w:tc>
        <w:tc>
          <w:tcPr>
            <w:tcW w:w="1276" w:type="dxa"/>
            <w:vAlign w:val="center"/>
          </w:tcPr>
          <w:p w:rsidR="00DC71B1" w:rsidRDefault="00A661F0">
            <w:pPr>
              <w:jc w:val="right"/>
            </w:pPr>
            <w:r>
              <w:rPr>
                <w:rFonts w:eastAsiaTheme="minorEastAsia"/>
                <w:color w:val="000000" w:themeColor="text1"/>
                <w:szCs w:val="21"/>
              </w:rPr>
              <w:t>13,500.00</w:t>
            </w:r>
          </w:p>
        </w:tc>
        <w:tc>
          <w:tcPr>
            <w:tcW w:w="1842" w:type="dxa"/>
            <w:vAlign w:val="center"/>
          </w:tcPr>
          <w:p w:rsidR="00DC71B1" w:rsidRDefault="00A661F0">
            <w:pPr>
              <w:jc w:val="right"/>
            </w:pPr>
            <w:r>
              <w:rPr>
                <w:rFonts w:eastAsiaTheme="minorEastAsia"/>
                <w:color w:val="000000" w:themeColor="text1"/>
                <w:szCs w:val="21"/>
              </w:rPr>
              <w:t>1,415,610.00</w:t>
            </w:r>
          </w:p>
        </w:tc>
        <w:tc>
          <w:tcPr>
            <w:tcW w:w="1616" w:type="dxa"/>
            <w:vAlign w:val="center"/>
          </w:tcPr>
          <w:p w:rsidR="00DC71B1" w:rsidRDefault="00A661F0">
            <w:pPr>
              <w:jc w:val="right"/>
            </w:pPr>
            <w:r>
              <w:rPr>
                <w:rFonts w:eastAsiaTheme="minorEastAsia"/>
                <w:color w:val="000000" w:themeColor="text1"/>
                <w:szCs w:val="21"/>
              </w:rPr>
              <w:t>3.20</w:t>
            </w:r>
          </w:p>
        </w:tc>
      </w:tr>
      <w:tr w:rsidR="00DC71B1">
        <w:tc>
          <w:tcPr>
            <w:tcW w:w="817" w:type="dxa"/>
            <w:vAlign w:val="center"/>
          </w:tcPr>
          <w:p w:rsidR="00DC71B1" w:rsidRDefault="00A661F0">
            <w:pPr>
              <w:jc w:val="center"/>
            </w:pPr>
            <w:r>
              <w:rPr>
                <w:rFonts w:eastAsiaTheme="minorEastAsia"/>
                <w:color w:val="000000" w:themeColor="text1"/>
                <w:szCs w:val="21"/>
              </w:rPr>
              <w:t>8</w:t>
            </w:r>
          </w:p>
        </w:tc>
        <w:tc>
          <w:tcPr>
            <w:tcW w:w="1276" w:type="dxa"/>
            <w:vAlign w:val="center"/>
          </w:tcPr>
          <w:p w:rsidR="00DC71B1" w:rsidRDefault="00A661F0">
            <w:pPr>
              <w:jc w:val="center"/>
            </w:pPr>
            <w:r>
              <w:rPr>
                <w:rFonts w:eastAsiaTheme="minorEastAsia"/>
                <w:color w:val="000000" w:themeColor="text1"/>
                <w:szCs w:val="21"/>
              </w:rPr>
              <w:t>600438</w:t>
            </w:r>
          </w:p>
        </w:tc>
        <w:tc>
          <w:tcPr>
            <w:tcW w:w="1701" w:type="dxa"/>
            <w:vAlign w:val="center"/>
          </w:tcPr>
          <w:p w:rsidR="00DC71B1" w:rsidRDefault="00A661F0">
            <w:pPr>
              <w:jc w:val="center"/>
            </w:pPr>
            <w:r>
              <w:rPr>
                <w:rFonts w:eastAsiaTheme="minorEastAsia"/>
                <w:color w:val="000000" w:themeColor="text1"/>
                <w:szCs w:val="21"/>
              </w:rPr>
              <w:t>通威股份</w:t>
            </w:r>
          </w:p>
        </w:tc>
        <w:tc>
          <w:tcPr>
            <w:tcW w:w="1276" w:type="dxa"/>
            <w:vAlign w:val="center"/>
          </w:tcPr>
          <w:p w:rsidR="00DC71B1" w:rsidRDefault="00A661F0">
            <w:pPr>
              <w:jc w:val="right"/>
            </w:pPr>
            <w:r>
              <w:rPr>
                <w:rFonts w:eastAsiaTheme="minorEastAsia"/>
                <w:color w:val="000000" w:themeColor="text1"/>
                <w:szCs w:val="21"/>
              </w:rPr>
              <w:t>34,800.00</w:t>
            </w:r>
          </w:p>
        </w:tc>
        <w:tc>
          <w:tcPr>
            <w:tcW w:w="1842" w:type="dxa"/>
            <w:vAlign w:val="center"/>
          </w:tcPr>
          <w:p w:rsidR="00DC71B1" w:rsidRDefault="00A661F0">
            <w:pPr>
              <w:jc w:val="right"/>
            </w:pPr>
            <w:r>
              <w:rPr>
                <w:rFonts w:eastAsiaTheme="minorEastAsia"/>
                <w:color w:val="000000" w:themeColor="text1"/>
                <w:szCs w:val="21"/>
              </w:rPr>
              <w:t>1,354,068.00</w:t>
            </w:r>
          </w:p>
        </w:tc>
        <w:tc>
          <w:tcPr>
            <w:tcW w:w="1616" w:type="dxa"/>
            <w:vAlign w:val="center"/>
          </w:tcPr>
          <w:p w:rsidR="00DC71B1" w:rsidRDefault="00A661F0">
            <w:pPr>
              <w:jc w:val="right"/>
            </w:pPr>
            <w:r>
              <w:rPr>
                <w:rFonts w:eastAsiaTheme="minorEastAsia"/>
                <w:color w:val="000000" w:themeColor="text1"/>
                <w:szCs w:val="21"/>
              </w:rPr>
              <w:t>3.06</w:t>
            </w:r>
          </w:p>
        </w:tc>
      </w:tr>
      <w:tr w:rsidR="00DC71B1">
        <w:tc>
          <w:tcPr>
            <w:tcW w:w="817" w:type="dxa"/>
            <w:vAlign w:val="center"/>
          </w:tcPr>
          <w:p w:rsidR="00DC71B1" w:rsidRDefault="00A661F0">
            <w:pPr>
              <w:jc w:val="center"/>
            </w:pPr>
            <w:r>
              <w:rPr>
                <w:rFonts w:eastAsiaTheme="minorEastAsia"/>
                <w:color w:val="000000" w:themeColor="text1"/>
                <w:szCs w:val="21"/>
              </w:rPr>
              <w:t>9</w:t>
            </w:r>
          </w:p>
        </w:tc>
        <w:tc>
          <w:tcPr>
            <w:tcW w:w="1276" w:type="dxa"/>
            <w:vAlign w:val="center"/>
          </w:tcPr>
          <w:p w:rsidR="00DC71B1" w:rsidRDefault="00A661F0">
            <w:pPr>
              <w:jc w:val="center"/>
            </w:pPr>
            <w:r>
              <w:rPr>
                <w:rFonts w:eastAsiaTheme="minorEastAsia"/>
                <w:color w:val="000000" w:themeColor="text1"/>
                <w:szCs w:val="21"/>
              </w:rPr>
              <w:t>300014</w:t>
            </w:r>
          </w:p>
        </w:tc>
        <w:tc>
          <w:tcPr>
            <w:tcW w:w="1701" w:type="dxa"/>
            <w:vAlign w:val="center"/>
          </w:tcPr>
          <w:p w:rsidR="00DC71B1" w:rsidRDefault="00A661F0">
            <w:pPr>
              <w:jc w:val="center"/>
            </w:pPr>
            <w:r>
              <w:rPr>
                <w:rFonts w:eastAsiaTheme="minorEastAsia"/>
                <w:color w:val="000000" w:themeColor="text1"/>
                <w:szCs w:val="21"/>
              </w:rPr>
              <w:t>亿纬锂能</w:t>
            </w:r>
          </w:p>
        </w:tc>
        <w:tc>
          <w:tcPr>
            <w:tcW w:w="1276" w:type="dxa"/>
            <w:vAlign w:val="center"/>
          </w:tcPr>
          <w:p w:rsidR="00DC71B1" w:rsidRDefault="00A661F0">
            <w:pPr>
              <w:jc w:val="right"/>
            </w:pPr>
            <w:r>
              <w:rPr>
                <w:rFonts w:eastAsiaTheme="minorEastAsia"/>
                <w:color w:val="000000" w:themeColor="text1"/>
                <w:szCs w:val="21"/>
              </w:rPr>
              <w:t>15,898.00</w:t>
            </w:r>
          </w:p>
        </w:tc>
        <w:tc>
          <w:tcPr>
            <w:tcW w:w="1842" w:type="dxa"/>
            <w:vAlign w:val="center"/>
          </w:tcPr>
          <w:p w:rsidR="00DC71B1" w:rsidRDefault="00A661F0">
            <w:pPr>
              <w:jc w:val="right"/>
            </w:pPr>
            <w:r>
              <w:rPr>
                <w:rFonts w:eastAsiaTheme="minorEastAsia"/>
                <w:color w:val="000000" w:themeColor="text1"/>
                <w:szCs w:val="21"/>
              </w:rPr>
              <w:t>1,108,090.60</w:t>
            </w:r>
          </w:p>
        </w:tc>
        <w:tc>
          <w:tcPr>
            <w:tcW w:w="1616" w:type="dxa"/>
            <w:vAlign w:val="center"/>
          </w:tcPr>
          <w:p w:rsidR="00DC71B1" w:rsidRDefault="00A661F0">
            <w:pPr>
              <w:jc w:val="right"/>
            </w:pPr>
            <w:r>
              <w:rPr>
                <w:rFonts w:eastAsiaTheme="minorEastAsia"/>
                <w:color w:val="000000" w:themeColor="text1"/>
                <w:szCs w:val="21"/>
              </w:rPr>
              <w:t>2.50</w:t>
            </w:r>
          </w:p>
        </w:tc>
      </w:tr>
      <w:tr w:rsidR="00DC71B1">
        <w:tc>
          <w:tcPr>
            <w:tcW w:w="817" w:type="dxa"/>
            <w:vAlign w:val="center"/>
          </w:tcPr>
          <w:p w:rsidR="00DC71B1" w:rsidRDefault="00A661F0">
            <w:pPr>
              <w:jc w:val="center"/>
            </w:pPr>
            <w:r>
              <w:rPr>
                <w:rFonts w:eastAsiaTheme="minorEastAsia"/>
                <w:color w:val="000000" w:themeColor="text1"/>
                <w:szCs w:val="21"/>
              </w:rPr>
              <w:t>10</w:t>
            </w:r>
          </w:p>
        </w:tc>
        <w:tc>
          <w:tcPr>
            <w:tcW w:w="1276" w:type="dxa"/>
            <w:vAlign w:val="center"/>
          </w:tcPr>
          <w:p w:rsidR="00DC71B1" w:rsidRDefault="00A661F0">
            <w:pPr>
              <w:jc w:val="center"/>
            </w:pPr>
            <w:r>
              <w:rPr>
                <w:rFonts w:eastAsiaTheme="minorEastAsia"/>
                <w:color w:val="000000" w:themeColor="text1"/>
                <w:szCs w:val="21"/>
              </w:rPr>
              <w:t>600089</w:t>
            </w:r>
          </w:p>
        </w:tc>
        <w:tc>
          <w:tcPr>
            <w:tcW w:w="1701" w:type="dxa"/>
            <w:vAlign w:val="center"/>
          </w:tcPr>
          <w:p w:rsidR="00DC71B1" w:rsidRDefault="00A661F0">
            <w:pPr>
              <w:jc w:val="center"/>
            </w:pPr>
            <w:r>
              <w:rPr>
                <w:rFonts w:eastAsiaTheme="minorEastAsia"/>
                <w:color w:val="000000" w:themeColor="text1"/>
                <w:szCs w:val="21"/>
              </w:rPr>
              <w:t>特变电工</w:t>
            </w:r>
          </w:p>
        </w:tc>
        <w:tc>
          <w:tcPr>
            <w:tcW w:w="1276" w:type="dxa"/>
            <w:vAlign w:val="center"/>
          </w:tcPr>
          <w:p w:rsidR="00DC71B1" w:rsidRDefault="00A661F0">
            <w:pPr>
              <w:jc w:val="right"/>
            </w:pPr>
            <w:r>
              <w:rPr>
                <w:rFonts w:eastAsiaTheme="minorEastAsia"/>
                <w:color w:val="000000" w:themeColor="text1"/>
                <w:szCs w:val="21"/>
              </w:rPr>
              <w:t>49,800.00</w:t>
            </w:r>
          </w:p>
        </w:tc>
        <w:tc>
          <w:tcPr>
            <w:tcW w:w="1842" w:type="dxa"/>
            <w:vAlign w:val="center"/>
          </w:tcPr>
          <w:p w:rsidR="00DC71B1" w:rsidRDefault="00A661F0">
            <w:pPr>
              <w:jc w:val="right"/>
            </w:pPr>
            <w:r>
              <w:rPr>
                <w:rFonts w:eastAsiaTheme="minorEastAsia"/>
                <w:color w:val="000000" w:themeColor="text1"/>
                <w:szCs w:val="21"/>
              </w:rPr>
              <w:t>1,081,158.00</w:t>
            </w:r>
          </w:p>
        </w:tc>
        <w:tc>
          <w:tcPr>
            <w:tcW w:w="1616" w:type="dxa"/>
            <w:vAlign w:val="center"/>
          </w:tcPr>
          <w:p w:rsidR="00DC71B1" w:rsidRDefault="00A661F0">
            <w:pPr>
              <w:jc w:val="right"/>
            </w:pPr>
            <w:r>
              <w:rPr>
                <w:rFonts w:eastAsiaTheme="minorEastAsia"/>
                <w:color w:val="000000" w:themeColor="text1"/>
                <w:szCs w:val="21"/>
              </w:rPr>
              <w:t>2.44</w:t>
            </w:r>
          </w:p>
        </w:tc>
      </w:tr>
    </w:tbl>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5.3.2</w:t>
      </w:r>
      <w:r w:rsidRPr="00473486">
        <w:rPr>
          <w:rFonts w:eastAsiaTheme="minorEastAsia"/>
          <w:b/>
          <w:color w:val="000000" w:themeColor="text1"/>
          <w:kern w:val="0"/>
          <w:sz w:val="24"/>
        </w:rPr>
        <w:t>期末</w:t>
      </w:r>
      <w:r w:rsidRPr="00473486">
        <w:rPr>
          <w:rFonts w:eastAsiaTheme="minorEastAsia"/>
          <w:b/>
          <w:color w:val="000000" w:themeColor="text1"/>
          <w:sz w:val="24"/>
        </w:rPr>
        <w:t>积极投资按公允价值占基金资产净值比例大小排序的前五名股票投资明细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473486" w:rsidRDefault="00881A82">
      <w:pPr>
        <w:autoSpaceDE w:val="0"/>
        <w:autoSpaceDN w:val="0"/>
        <w:adjustRightInd w:val="0"/>
        <w:spacing w:line="360" w:lineRule="auto"/>
        <w:jc w:val="left"/>
        <w:rPr>
          <w:rFonts w:eastAsiaTheme="minorEastAsia"/>
          <w:color w:val="000000" w:themeColor="text1"/>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5.4 </w:t>
      </w:r>
      <w:r w:rsidRPr="00473486">
        <w:rPr>
          <w:rFonts w:eastAsiaTheme="minorEastAsia"/>
          <w:b/>
          <w:color w:val="000000" w:themeColor="text1"/>
          <w:kern w:val="0"/>
          <w:sz w:val="24"/>
        </w:rPr>
        <w:t>报告期末按债券品种分类的债券投资组合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本基金本报告期末未持有债券。</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5.5 </w:t>
      </w:r>
      <w:r w:rsidRPr="00473486">
        <w:rPr>
          <w:rFonts w:eastAsiaTheme="minorEastAsia"/>
          <w:b/>
          <w:color w:val="000000" w:themeColor="text1"/>
          <w:kern w:val="0"/>
          <w:sz w:val="24"/>
        </w:rPr>
        <w:t>报告期末按公允价值占基金资产净值比例大小排序的前五名债券投资明细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本基金本报告期末未持有债券。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5.6</w:t>
      </w:r>
      <w:r w:rsidRPr="00473486">
        <w:rPr>
          <w:rFonts w:eastAsiaTheme="minorEastAsia"/>
          <w:b/>
          <w:color w:val="000000" w:themeColor="text1"/>
          <w:kern w:val="0"/>
          <w:sz w:val="24"/>
        </w:rPr>
        <w:t>报告期末按公允价值占基金资产净值比例大小排序的前十名资产支持证券投资明细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本基金本报告期末未持有资产支持证券。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bCs/>
          <w:color w:val="000000" w:themeColor="text1"/>
          <w:kern w:val="0"/>
          <w:sz w:val="24"/>
        </w:rPr>
      </w:pPr>
      <w:r w:rsidRPr="00473486">
        <w:rPr>
          <w:rFonts w:eastAsiaTheme="minorEastAsia"/>
          <w:b/>
          <w:bCs/>
          <w:color w:val="000000" w:themeColor="text1"/>
          <w:kern w:val="0"/>
          <w:sz w:val="24"/>
        </w:rPr>
        <w:t xml:space="preserve">5.7 </w:t>
      </w:r>
      <w:r w:rsidRPr="00473486">
        <w:rPr>
          <w:rFonts w:eastAsiaTheme="minorEastAsia"/>
          <w:b/>
          <w:bCs/>
          <w:color w:val="000000" w:themeColor="text1"/>
          <w:kern w:val="0"/>
          <w:sz w:val="24"/>
        </w:rPr>
        <w:t>报告期末按公允价值占基金资产净值比例大小排序的前五名贵金属投资明细</w:t>
      </w:r>
    </w:p>
    <w:p w:rsidR="00881A82" w:rsidRPr="00473486" w:rsidRDefault="007D1E3A">
      <w:pPr>
        <w:widowControl/>
        <w:spacing w:line="360" w:lineRule="auto"/>
        <w:jc w:val="left"/>
        <w:rPr>
          <w:color w:val="000000" w:themeColor="text1"/>
          <w:szCs w:val="21"/>
        </w:rPr>
      </w:pPr>
      <w:r w:rsidRPr="00473486">
        <w:rPr>
          <w:color w:val="000000" w:themeColor="text1"/>
          <w:szCs w:val="21"/>
        </w:rPr>
        <w:t>本基金本报告期末未持有贵金属。</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5.8</w:t>
      </w:r>
      <w:r w:rsidRPr="00473486">
        <w:rPr>
          <w:rFonts w:eastAsiaTheme="minorEastAsia"/>
          <w:b/>
          <w:bCs/>
          <w:color w:val="000000" w:themeColor="text1"/>
          <w:sz w:val="24"/>
        </w:rPr>
        <w:t>报告期末按公允价值占基金资产净值比例大小排序的前五名权证投资明细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本基金本报告期末未持有权证。</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 xml:space="preserve">5.9 </w:t>
      </w:r>
      <w:r w:rsidRPr="00473486">
        <w:rPr>
          <w:rFonts w:eastAsiaTheme="minorEastAsia"/>
          <w:b/>
          <w:color w:val="000000" w:themeColor="text1"/>
          <w:sz w:val="24"/>
        </w:rPr>
        <w:t>报告期末本基金投资的股指期货交易情况说明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本基金本报告期末未持有股指期货。</w:t>
      </w:r>
    </w:p>
    <w:p w:rsidR="00881A82" w:rsidRPr="00473486" w:rsidRDefault="00881A82">
      <w:pPr>
        <w:adjustRightInd w:val="0"/>
        <w:snapToGrid w:val="0"/>
        <w:spacing w:line="360" w:lineRule="exact"/>
        <w:rPr>
          <w:rFonts w:eastAsiaTheme="minorEastAsia"/>
          <w:color w:val="000000" w:themeColor="text1"/>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5.10</w:t>
      </w:r>
      <w:r w:rsidRPr="00473486">
        <w:rPr>
          <w:rFonts w:eastAsiaTheme="minorEastAsia"/>
          <w:b/>
          <w:color w:val="000000" w:themeColor="text1"/>
          <w:sz w:val="24"/>
        </w:rPr>
        <w:t>报告期末本基金投资的国债期货交易情况说明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本基金本报告期末未持有国债期货。</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w:t>
      </w:r>
      <w:r w:rsidRPr="00473486">
        <w:rPr>
          <w:rFonts w:eastAsiaTheme="minorEastAsia"/>
          <w:b/>
          <w:color w:val="000000" w:themeColor="text1"/>
          <w:kern w:val="0"/>
          <w:sz w:val="24"/>
        </w:rPr>
        <w:t>投资组合报告附注</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5.11.1</w:t>
      </w:r>
      <w:r w:rsidRPr="00473486">
        <w:rPr>
          <w:rFonts w:eastAsiaTheme="minorEastAsia"/>
          <w:color w:val="000000" w:themeColor="text1"/>
          <w:szCs w:val="21"/>
        </w:rPr>
        <w:t>本基金投资的前十名证券的发行主体本期未出现被监管部门立案调查，或在报告编制日前一年内受到公开谴责、处罚的情形。</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5.11.2</w:t>
      </w:r>
      <w:r w:rsidRPr="00473486">
        <w:rPr>
          <w:rFonts w:eastAsiaTheme="minorEastAsia"/>
          <w:color w:val="000000" w:themeColor="text1"/>
          <w:szCs w:val="21"/>
        </w:rPr>
        <w:t>报告期内本基金投资的前十名股票中没有在基金合同规定备选股票库之外的股票。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5.11.3</w:t>
      </w:r>
      <w:r w:rsidRPr="00473486">
        <w:rPr>
          <w:rFonts w:eastAsiaTheme="minorEastAsia"/>
          <w:b/>
          <w:color w:val="000000" w:themeColor="text1"/>
          <w:kern w:val="0"/>
          <w:sz w:val="24"/>
        </w:rPr>
        <w:t>其他资产构成</w:t>
      </w:r>
    </w:p>
    <w:tbl>
      <w:tblPr>
        <w:tblStyle w:val="afa"/>
        <w:tblW w:w="8513" w:type="dxa"/>
        <w:tblInd w:w="15" w:type="dxa"/>
        <w:tblLayout w:type="fixed"/>
        <w:tblLook w:val="04A0" w:firstRow="1" w:lastRow="0" w:firstColumn="1" w:lastColumn="0" w:noHBand="0" w:noVBand="1"/>
      </w:tblPr>
      <w:tblGrid>
        <w:gridCol w:w="944"/>
        <w:gridCol w:w="2761"/>
        <w:gridCol w:w="4808"/>
      </w:tblGrid>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序号</w:t>
            </w:r>
          </w:p>
        </w:tc>
        <w:tc>
          <w:tcPr>
            <w:tcW w:w="27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名称</w:t>
            </w:r>
          </w:p>
        </w:tc>
        <w:tc>
          <w:tcPr>
            <w:tcW w:w="480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金额</w:t>
            </w:r>
            <w:r w:rsidRPr="00473486">
              <w:rPr>
                <w:rFonts w:eastAsiaTheme="minorEastAsia"/>
                <w:color w:val="000000" w:themeColor="text1"/>
                <w:kern w:val="0"/>
                <w:szCs w:val="21"/>
              </w:rPr>
              <w:t>(</w:t>
            </w:r>
            <w:r w:rsidRPr="00473486">
              <w:rPr>
                <w:rFonts w:eastAsiaTheme="minorEastAsia"/>
                <w:color w:val="000000" w:themeColor="text1"/>
                <w:kern w:val="0"/>
                <w:szCs w:val="21"/>
              </w:rPr>
              <w:t>元</w:t>
            </w: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kern w:val="0"/>
                <w:szCs w:val="21"/>
              </w:rPr>
            </w:pPr>
            <w:r w:rsidRPr="00473486">
              <w:rPr>
                <w:rFonts w:eastAsiaTheme="minorEastAsia"/>
                <w:color w:val="000000" w:themeColor="text1"/>
                <w:szCs w:val="21"/>
              </w:rPr>
              <w:t>1</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存出保证金</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151,045.95</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2</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应收证券清算款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1,043,708.88</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3</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应收股利</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4</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应收利息</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5</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应收申购款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6</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其他应收款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7</w:t>
            </w:r>
          </w:p>
        </w:tc>
        <w:tc>
          <w:tcPr>
            <w:tcW w:w="2761" w:type="dxa"/>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待摊费用</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8</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9</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合计</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1,194,754.83</w:t>
            </w:r>
          </w:p>
        </w:tc>
      </w:tr>
    </w:tbl>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5.11.4</w:t>
      </w:r>
      <w:r w:rsidRPr="00473486">
        <w:rPr>
          <w:rFonts w:eastAsiaTheme="minorEastAsia"/>
          <w:b/>
          <w:color w:val="000000" w:themeColor="text1"/>
          <w:kern w:val="0"/>
          <w:sz w:val="24"/>
        </w:rPr>
        <w:t>报告期末持有的处于转股期的可转换债券明细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本基金本报告期末未持有处于转股期的可转换债券。</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w:t>
      </w:r>
      <w:r w:rsidRPr="00473486">
        <w:rPr>
          <w:rFonts w:eastAsiaTheme="minorEastAsia"/>
          <w:b/>
          <w:color w:val="000000" w:themeColor="text1"/>
          <w:sz w:val="24"/>
        </w:rPr>
        <w:t>报告期末前十名股票中存在流通受限情况的说明</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5.11.5.1</w:t>
      </w:r>
      <w:r w:rsidRPr="00473486">
        <w:rPr>
          <w:rFonts w:eastAsiaTheme="minorEastAsia"/>
          <w:b/>
          <w:color w:val="000000" w:themeColor="text1"/>
          <w:sz w:val="24"/>
        </w:rPr>
        <w:t>期末指数投资前十名股票中存在流通受限情况的说明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本基金本报告期末前十名股票中不存在流通受限情况。</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5.11.5.2</w:t>
      </w:r>
      <w:r w:rsidRPr="00473486">
        <w:rPr>
          <w:rFonts w:eastAsiaTheme="minorEastAsia"/>
          <w:b/>
          <w:color w:val="000000" w:themeColor="text1"/>
          <w:sz w:val="24"/>
        </w:rPr>
        <w:t>期末积极投资前五名股票中存在流通受限情况的说明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本基金本报告期末前五名积极投资中不存在流通受限情况。</w:t>
      </w:r>
    </w:p>
    <w:p w:rsidR="00881A82" w:rsidRPr="00473486" w:rsidRDefault="00881A82">
      <w:pPr>
        <w:spacing w:line="360" w:lineRule="auto"/>
        <w:rPr>
          <w:rFonts w:eastAsiaTheme="minorEastAsia"/>
          <w:bCs/>
          <w:color w:val="000000" w:themeColor="text1"/>
          <w:szCs w:val="21"/>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5.11.</w:t>
      </w:r>
      <w:r w:rsidRPr="00473486">
        <w:rPr>
          <w:rFonts w:eastAsiaTheme="minorEastAsia"/>
          <w:b/>
          <w:bCs/>
          <w:color w:val="000000" w:themeColor="text1"/>
          <w:sz w:val="24"/>
        </w:rPr>
        <w:t>6</w:t>
      </w:r>
      <w:r w:rsidRPr="00473486">
        <w:rPr>
          <w:rFonts w:eastAsiaTheme="minorEastAsia"/>
          <w:b/>
          <w:bCs/>
          <w:color w:val="000000" w:themeColor="text1"/>
          <w:kern w:val="0"/>
          <w:sz w:val="24"/>
        </w:rPr>
        <w:t>投资组合报告附注的其他文字描述部分</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因四舍五入原因，投资组合报告中分项之和与合计可能存在尾差。</w:t>
      </w:r>
    </w:p>
    <w:p w:rsidR="00881A82" w:rsidRPr="00473486" w:rsidRDefault="00881A82">
      <w:pPr>
        <w:spacing w:line="360" w:lineRule="auto"/>
        <w:ind w:firstLineChars="200" w:firstLine="420"/>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§6  </w:t>
      </w:r>
      <w:r w:rsidRPr="00473486">
        <w:rPr>
          <w:rFonts w:eastAsiaTheme="minorEastAsia"/>
          <w:color w:val="000000" w:themeColor="text1"/>
          <w:kern w:val="0"/>
          <w:sz w:val="24"/>
          <w:szCs w:val="24"/>
        </w:rPr>
        <w:t>开放式基金份额变动</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单位：份</w:t>
      </w:r>
    </w:p>
    <w:tbl>
      <w:tblPr>
        <w:tblW w:w="8634" w:type="dxa"/>
        <w:tblInd w:w="-106" w:type="dxa"/>
        <w:tblLayout w:type="fixed"/>
        <w:tblLook w:val="04A0" w:firstRow="1" w:lastRow="0" w:firstColumn="1" w:lastColumn="0" w:noHBand="0" w:noVBand="1"/>
      </w:tblPr>
      <w:tblGrid>
        <w:gridCol w:w="4609"/>
        <w:gridCol w:w="4025"/>
      </w:tblGrid>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346,598,943.00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13,000,000.00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313,000,000.00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46,598,943.00</w:t>
            </w:r>
          </w:p>
        </w:tc>
      </w:tr>
    </w:tbl>
    <w:p w:rsidR="00A661F0" w:rsidRPr="00473486" w:rsidRDefault="00A661F0" w:rsidP="00A661F0">
      <w:pPr>
        <w:pStyle w:val="1"/>
        <w:tabs>
          <w:tab w:val="center" w:pos="4156"/>
          <w:tab w:val="right" w:pos="8312"/>
        </w:tabs>
        <w:spacing w:beforeLines="100" w:before="312" w:afterLines="100" w:after="312" w:line="360" w:lineRule="auto"/>
        <w:jc w:val="center"/>
        <w:rPr>
          <w:color w:val="000000" w:themeColor="text1"/>
          <w:sz w:val="24"/>
          <w:szCs w:val="24"/>
        </w:rPr>
      </w:pPr>
      <w:r w:rsidRPr="00473486">
        <w:rPr>
          <w:rFonts w:eastAsiaTheme="minorEastAsia"/>
          <w:color w:val="000000" w:themeColor="text1"/>
          <w:kern w:val="0"/>
          <w:sz w:val="24"/>
          <w:szCs w:val="24"/>
        </w:rPr>
        <w:t xml:space="preserve">§7  </w:t>
      </w:r>
      <w:r w:rsidRPr="00473486">
        <w:rPr>
          <w:color w:val="000000" w:themeColor="text1"/>
          <w:sz w:val="24"/>
          <w:szCs w:val="24"/>
        </w:rPr>
        <w:t>基金管理人运用固有资金投资本基金情况</w:t>
      </w:r>
    </w:p>
    <w:p w:rsidR="00A661F0" w:rsidRPr="00473486" w:rsidRDefault="00A661F0" w:rsidP="00A661F0">
      <w:pPr>
        <w:spacing w:line="360" w:lineRule="auto"/>
        <w:jc w:val="left"/>
        <w:rPr>
          <w:color w:val="000000" w:themeColor="text1"/>
          <w:sz w:val="24"/>
        </w:rPr>
      </w:pPr>
      <w:r w:rsidRPr="00473486">
        <w:rPr>
          <w:b/>
          <w:color w:val="000000" w:themeColor="text1"/>
          <w:sz w:val="24"/>
        </w:rPr>
        <w:t xml:space="preserve">7.1 </w:t>
      </w:r>
      <w:r w:rsidRPr="00473486">
        <w:rPr>
          <w:b/>
          <w:color w:val="000000" w:themeColor="text1"/>
          <w:sz w:val="24"/>
        </w:rPr>
        <w:t>基金管理人持有本基金份额变动情况</w:t>
      </w:r>
    </w:p>
    <w:p w:rsidR="00A661F0" w:rsidRPr="00473486" w:rsidRDefault="00A661F0" w:rsidP="00A661F0">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A661F0" w:rsidRDefault="00A661F0">
      <w:pPr>
        <w:pStyle w:val="1"/>
        <w:spacing w:beforeLines="100" w:before="312" w:afterLines="100" w:after="312" w:line="360" w:lineRule="auto"/>
        <w:jc w:val="center"/>
        <w:rPr>
          <w:rFonts w:eastAsiaTheme="minorEastAsia"/>
          <w:color w:val="000000" w:themeColor="text1"/>
          <w:kern w:val="0"/>
          <w:sz w:val="24"/>
          <w:szCs w:val="24"/>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w:t>
      </w:r>
      <w:r w:rsidR="00A661F0">
        <w:rPr>
          <w:rFonts w:eastAsiaTheme="minorEastAsia"/>
          <w:color w:val="000000" w:themeColor="text1"/>
          <w:kern w:val="0"/>
          <w:sz w:val="24"/>
          <w:szCs w:val="24"/>
        </w:rPr>
        <w:t>8</w:t>
      </w:r>
      <w:r w:rsidRPr="00473486">
        <w:rPr>
          <w:rFonts w:eastAsiaTheme="minorEastAsia"/>
          <w:color w:val="000000" w:themeColor="text1"/>
          <w:kern w:val="0"/>
          <w:sz w:val="24"/>
          <w:szCs w:val="24"/>
        </w:rPr>
        <w:t>备查文件目录</w:t>
      </w:r>
    </w:p>
    <w:p w:rsidR="00881A82" w:rsidRPr="00473486" w:rsidRDefault="00A661F0">
      <w:pPr>
        <w:spacing w:line="360" w:lineRule="auto"/>
        <w:rPr>
          <w:rFonts w:eastAsiaTheme="minorEastAsia"/>
          <w:b/>
          <w:color w:val="000000" w:themeColor="text1"/>
          <w:sz w:val="24"/>
        </w:rPr>
      </w:pPr>
      <w:r>
        <w:rPr>
          <w:rFonts w:eastAsiaTheme="minorEastAsia"/>
          <w:b/>
          <w:color w:val="000000" w:themeColor="text1"/>
          <w:sz w:val="24"/>
        </w:rPr>
        <w:t>8</w:t>
      </w:r>
      <w:r w:rsidR="007D1E3A" w:rsidRPr="00473486">
        <w:rPr>
          <w:rFonts w:eastAsiaTheme="minorEastAsia"/>
          <w:b/>
          <w:color w:val="000000" w:themeColor="text1"/>
          <w:sz w:val="24"/>
        </w:rPr>
        <w:t xml:space="preserve">.1 </w:t>
      </w:r>
      <w:r w:rsidR="007D1E3A" w:rsidRPr="00473486">
        <w:rPr>
          <w:rFonts w:eastAsiaTheme="minorEastAsia"/>
          <w:b/>
          <w:color w:val="000000" w:themeColor="text1"/>
          <w:sz w:val="24"/>
        </w:rPr>
        <w:t>备查文件目录</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摩根中证碳中和</w:t>
      </w:r>
      <w:r>
        <w:rPr>
          <w:rFonts w:eastAsiaTheme="minorEastAsia"/>
          <w:color w:val="000000" w:themeColor="text1"/>
          <w:szCs w:val="21"/>
        </w:rPr>
        <w:t>60</w:t>
      </w:r>
      <w:r>
        <w:rPr>
          <w:rFonts w:eastAsiaTheme="minorEastAsia"/>
          <w:color w:val="000000" w:themeColor="text1"/>
          <w:szCs w:val="21"/>
        </w:rPr>
        <w:t>交易型开放式指数证券投资基金基金合同</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摩根中证碳中和</w:t>
      </w:r>
      <w:r>
        <w:rPr>
          <w:rFonts w:eastAsiaTheme="minorEastAsia"/>
          <w:color w:val="000000" w:themeColor="text1"/>
          <w:szCs w:val="21"/>
        </w:rPr>
        <w:t>60</w:t>
      </w:r>
      <w:r>
        <w:rPr>
          <w:rFonts w:eastAsiaTheme="minorEastAsia"/>
          <w:color w:val="000000" w:themeColor="text1"/>
          <w:szCs w:val="21"/>
        </w:rPr>
        <w:t>交易型开放式指数证券投资基金托管协议</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DC71B1" w:rsidRDefault="00A661F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w:t>
      </w:r>
      <w:r w:rsidRPr="00473486">
        <w:rPr>
          <w:rFonts w:eastAsiaTheme="minorEastAsia"/>
          <w:color w:val="000000" w:themeColor="text1"/>
          <w:szCs w:val="21"/>
        </w:rPr>
        <w:t>八</w:t>
      </w:r>
      <w:r w:rsidRPr="00473486">
        <w:rPr>
          <w:rFonts w:eastAsiaTheme="minorEastAsia"/>
          <w:color w:val="000000" w:themeColor="text1"/>
          <w:szCs w:val="21"/>
        </w:rPr>
        <w:t>)</w:t>
      </w:r>
      <w:r w:rsidRPr="00473486">
        <w:rPr>
          <w:rFonts w:eastAsiaTheme="minorEastAsia"/>
          <w:color w:val="000000" w:themeColor="text1"/>
          <w:szCs w:val="21"/>
        </w:rPr>
        <w:t>中国证监会要求的其他文件</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A661F0">
      <w:pPr>
        <w:spacing w:line="360" w:lineRule="auto"/>
        <w:rPr>
          <w:rFonts w:eastAsiaTheme="minorEastAsia"/>
          <w:b/>
          <w:color w:val="000000" w:themeColor="text1"/>
          <w:sz w:val="24"/>
        </w:rPr>
      </w:pPr>
      <w:r>
        <w:rPr>
          <w:rFonts w:eastAsiaTheme="minorEastAsia"/>
          <w:b/>
          <w:color w:val="000000" w:themeColor="text1"/>
          <w:sz w:val="24"/>
        </w:rPr>
        <w:t>8</w:t>
      </w:r>
      <w:r w:rsidR="007D1E3A" w:rsidRPr="00473486">
        <w:rPr>
          <w:rFonts w:eastAsiaTheme="minorEastAsia"/>
          <w:b/>
          <w:color w:val="000000" w:themeColor="text1"/>
          <w:sz w:val="24"/>
        </w:rPr>
        <w:t xml:space="preserve">.2 </w:t>
      </w:r>
      <w:r w:rsidR="007D1E3A" w:rsidRPr="00473486">
        <w:rPr>
          <w:rFonts w:eastAsiaTheme="minorEastAsia"/>
          <w:b/>
          <w:color w:val="000000" w:themeColor="text1"/>
          <w:sz w:val="24"/>
        </w:rPr>
        <w:t>存放地点</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基金管理人或基金托管人住所。</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A661F0">
      <w:pPr>
        <w:spacing w:line="360" w:lineRule="auto"/>
        <w:rPr>
          <w:rFonts w:eastAsiaTheme="minorEastAsia"/>
          <w:b/>
          <w:color w:val="000000" w:themeColor="text1"/>
          <w:sz w:val="24"/>
        </w:rPr>
      </w:pPr>
      <w:r>
        <w:rPr>
          <w:rFonts w:eastAsiaTheme="minorEastAsia"/>
          <w:b/>
          <w:color w:val="000000" w:themeColor="text1"/>
          <w:sz w:val="24"/>
        </w:rPr>
        <w:t>8</w:t>
      </w:r>
      <w:r w:rsidR="007D1E3A" w:rsidRPr="00473486">
        <w:rPr>
          <w:rFonts w:eastAsiaTheme="minorEastAsia"/>
          <w:b/>
          <w:color w:val="000000" w:themeColor="text1"/>
          <w:sz w:val="24"/>
        </w:rPr>
        <w:t xml:space="preserve">.3 </w:t>
      </w:r>
      <w:r w:rsidR="007D1E3A" w:rsidRPr="00473486">
        <w:rPr>
          <w:rFonts w:eastAsiaTheme="minorEastAsia"/>
          <w:b/>
          <w:color w:val="000000" w:themeColor="text1"/>
          <w:sz w:val="24"/>
        </w:rPr>
        <w:t>查阅方式</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投资者可在营业时间免费查阅，也可按工本费购买复印件。</w:t>
      </w: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摩根基金管理（中国）有限公司</w:t>
      </w: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二〇二三年四月二十一日</w:t>
      </w:r>
    </w:p>
    <w:p w:rsidR="00881A82" w:rsidRPr="00473486" w:rsidRDefault="00881A82">
      <w:pPr>
        <w:spacing w:line="360" w:lineRule="auto"/>
        <w:ind w:firstLineChars="900" w:firstLine="2168"/>
        <w:rPr>
          <w:rFonts w:eastAsiaTheme="minorEastAsia"/>
          <w:b/>
          <w:color w:val="000000" w:themeColor="text1"/>
          <w:sz w:val="24"/>
        </w:rPr>
      </w:pPr>
    </w:p>
    <w:sectPr w:rsidR="00881A82" w:rsidRPr="00473486">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90" w:rsidRDefault="00321690">
      <w:r>
        <w:separator/>
      </w:r>
    </w:p>
  </w:endnote>
  <w:endnote w:type="continuationSeparator" w:id="0">
    <w:p w:rsidR="00321690" w:rsidRDefault="0032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4238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42381">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1A82" w:rsidRDefault="00881A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42381">
      <w:rPr>
        <w:rStyle w:val="af5"/>
        <w:noProof/>
      </w:rPr>
      <w:t>2</w:t>
    </w:r>
    <w:r>
      <w:rPr>
        <w:rStyle w:val="af5"/>
      </w:rPr>
      <w:fldChar w:fldCharType="end"/>
    </w:r>
  </w:p>
  <w:p w:rsidR="00881A82" w:rsidRDefault="00881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90" w:rsidRDefault="00321690">
      <w:r>
        <w:separator/>
      </w:r>
    </w:p>
  </w:footnote>
  <w:footnote w:type="continuationSeparator" w:id="0">
    <w:p w:rsidR="00321690" w:rsidRDefault="0032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f"/>
      <w:pBdr>
        <w:bottom w:val="single" w:sz="6" w:space="0" w:color="auto"/>
      </w:pBdr>
      <w:jc w:val="right"/>
    </w:pPr>
    <w:r>
      <w:t>摩根中证碳中和</w:t>
    </w:r>
    <w:r>
      <w:t>60</w:t>
    </w:r>
    <w:r>
      <w:t>交易型开放式指数证券投资基金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2BD7"/>
    <w:rsid w:val="00163B27"/>
    <w:rsid w:val="00165317"/>
    <w:rsid w:val="00171BAD"/>
    <w:rsid w:val="00172410"/>
    <w:rsid w:val="001744B4"/>
    <w:rsid w:val="001756A1"/>
    <w:rsid w:val="001761EE"/>
    <w:rsid w:val="00176EAA"/>
    <w:rsid w:val="0017725A"/>
    <w:rsid w:val="001775F7"/>
    <w:rsid w:val="001779ED"/>
    <w:rsid w:val="00177C4B"/>
    <w:rsid w:val="00180E68"/>
    <w:rsid w:val="0018325A"/>
    <w:rsid w:val="00186199"/>
    <w:rsid w:val="001928F7"/>
    <w:rsid w:val="00194537"/>
    <w:rsid w:val="0019563C"/>
    <w:rsid w:val="00195F18"/>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D32E3"/>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690"/>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666D2"/>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73486"/>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015"/>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491F"/>
    <w:rsid w:val="005E58CE"/>
    <w:rsid w:val="005E59E9"/>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C3A"/>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708F"/>
    <w:rsid w:val="00732D1D"/>
    <w:rsid w:val="00736034"/>
    <w:rsid w:val="0073681C"/>
    <w:rsid w:val="00741EBE"/>
    <w:rsid w:val="00742381"/>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69A0"/>
    <w:rsid w:val="00786A23"/>
    <w:rsid w:val="007870FC"/>
    <w:rsid w:val="00787CD0"/>
    <w:rsid w:val="00791053"/>
    <w:rsid w:val="00791A3A"/>
    <w:rsid w:val="00794196"/>
    <w:rsid w:val="00797637"/>
    <w:rsid w:val="00797D95"/>
    <w:rsid w:val="007A2E54"/>
    <w:rsid w:val="007A3680"/>
    <w:rsid w:val="007A59B8"/>
    <w:rsid w:val="007B2862"/>
    <w:rsid w:val="007B662A"/>
    <w:rsid w:val="007C1A93"/>
    <w:rsid w:val="007C751E"/>
    <w:rsid w:val="007D021A"/>
    <w:rsid w:val="007D1E3A"/>
    <w:rsid w:val="007D28C9"/>
    <w:rsid w:val="007D3CC8"/>
    <w:rsid w:val="007D62F9"/>
    <w:rsid w:val="007D63A4"/>
    <w:rsid w:val="007E1AA2"/>
    <w:rsid w:val="007E4C1F"/>
    <w:rsid w:val="007F0746"/>
    <w:rsid w:val="007F0759"/>
    <w:rsid w:val="007F25C0"/>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833"/>
    <w:rsid w:val="008174D4"/>
    <w:rsid w:val="00820FE6"/>
    <w:rsid w:val="00821A66"/>
    <w:rsid w:val="00822476"/>
    <w:rsid w:val="00822882"/>
    <w:rsid w:val="00824CB2"/>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82"/>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6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3284"/>
    <w:rsid w:val="00A64CB8"/>
    <w:rsid w:val="00A661F0"/>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5585"/>
    <w:rsid w:val="00AF6EC1"/>
    <w:rsid w:val="00B00331"/>
    <w:rsid w:val="00B01A80"/>
    <w:rsid w:val="00B06D4D"/>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6460"/>
    <w:rsid w:val="00D33751"/>
    <w:rsid w:val="00D33924"/>
    <w:rsid w:val="00D36F6E"/>
    <w:rsid w:val="00D37343"/>
    <w:rsid w:val="00D4205E"/>
    <w:rsid w:val="00D42507"/>
    <w:rsid w:val="00D5574C"/>
    <w:rsid w:val="00D61982"/>
    <w:rsid w:val="00D6267A"/>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895"/>
    <w:rsid w:val="00DB7B69"/>
    <w:rsid w:val="00DC02EC"/>
    <w:rsid w:val="00DC234A"/>
    <w:rsid w:val="00DC41E4"/>
    <w:rsid w:val="00DC5116"/>
    <w:rsid w:val="00DC71B1"/>
    <w:rsid w:val="00DC77DD"/>
    <w:rsid w:val="00DC7C77"/>
    <w:rsid w:val="00DD2417"/>
    <w:rsid w:val="00DD7EA2"/>
    <w:rsid w:val="00DE00F2"/>
    <w:rsid w:val="00DE117F"/>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611"/>
    <w:rsid w:val="00E25852"/>
    <w:rsid w:val="00E30EDF"/>
    <w:rsid w:val="00E31FBA"/>
    <w:rsid w:val="00E36AAE"/>
    <w:rsid w:val="00E41773"/>
    <w:rsid w:val="00E427F2"/>
    <w:rsid w:val="00E513F6"/>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375E"/>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2E6B"/>
    <w:rsid w:val="00F867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 w:val="2FA97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E9B9F7-3084-4E23-82E2-17FB52A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footnote text" w:semiHidden="1" w:qFormat="1"/>
    <w:lsdException w:name="annotation text" w:semiHidden="1" w:qFormat="1"/>
    <w:lsdException w:name="header" w:uiPriority="99"/>
    <w:lsdException w:name="caption" w:semiHidden="1" w:unhideWhenUsed="1" w:qFormat="1"/>
    <w:lsdException w:name="footnote reference" w:semiHidden="1" w:qFormat="1"/>
    <w:lsdException w:name="annotation reference" w:semiHidden="1"/>
    <w:lsdException w:name="Title" w:qFormat="1"/>
    <w:lsdException w:name="Default Paragraph Font" w:semiHidden="1" w:uiPriority="1" w:unhideWhenUsed="1"/>
    <w:lsdException w:name="Subtitle" w:qFormat="1"/>
    <w:lsdException w:name="Date" w:uiPriority="99"/>
    <w:lsdException w:name="Body Text Indent 3" w:qFormat="1"/>
    <w:lsdException w:name="Hyperlink" w:qFormat="1"/>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semiHidden/>
    <w:rPr>
      <w:b/>
      <w:bCs/>
    </w:rPr>
  </w:style>
  <w:style w:type="paragraph" w:styleId="a5">
    <w:name w:val="annotation text"/>
    <w:basedOn w:val="a"/>
    <w:semiHidden/>
    <w:qFormat/>
    <w:pPr>
      <w:jc w:val="left"/>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qFormat/>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rPr>
      <w:sz w:val="21"/>
      <w:szCs w:val="21"/>
    </w:rPr>
  </w:style>
  <w:style w:type="character" w:styleId="af9">
    <w:name w:val="footnote reference"/>
    <w:basedOn w:val="a1"/>
    <w:semiHidden/>
    <w:qFormat/>
    <w:rPr>
      <w:vertAlign w:val="superscript"/>
    </w:rPr>
  </w:style>
  <w:style w:type="table" w:styleId="afa">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qFormat/>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 w:type="paragraph" w:styleId="afc">
    <w:name w:val="Revision"/>
    <w:hidden/>
    <w:uiPriority w:val="99"/>
    <w:semiHidden/>
    <w:rsid w:val="007423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917">
      <w:bodyDiv w:val="1"/>
      <w:marLeft w:val="0"/>
      <w:marRight w:val="0"/>
      <w:marTop w:val="0"/>
      <w:marBottom w:val="0"/>
      <w:divBdr>
        <w:top w:val="none" w:sz="0" w:space="0" w:color="auto"/>
        <w:left w:val="none" w:sz="0" w:space="0" w:color="auto"/>
        <w:bottom w:val="none" w:sz="0" w:space="0" w:color="auto"/>
        <w:right w:val="none" w:sz="0" w:space="0" w:color="auto"/>
      </w:divBdr>
    </w:div>
    <w:div w:id="18903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1043</Words>
  <Characters>5950</Characters>
  <Application>Microsoft Office Word</Application>
  <DocSecurity>0</DocSecurity>
  <Lines>49</Lines>
  <Paragraphs>13</Paragraphs>
  <ScaleCrop>false</ScaleCrop>
  <Company>TRT. Ltd. Co.</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Chen,Richard</cp:lastModifiedBy>
  <cp:revision>158</cp:revision>
  <cp:lastPrinted>2007-07-19T00:46:00Z</cp:lastPrinted>
  <dcterms:created xsi:type="dcterms:W3CDTF">2012-11-21T04:46:00Z</dcterms:created>
  <dcterms:modified xsi:type="dcterms:W3CDTF">2023-04-20T06:37:00Z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