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307E"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2A12C10"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0C2436EF"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45C2F7C" w14:textId="77777777"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14:paraId="3F969EE2"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摩根中证碳中和</w:t>
      </w:r>
      <w:r w:rsidRPr="00473486">
        <w:rPr>
          <w:rFonts w:eastAsiaTheme="minorEastAsia"/>
          <w:b/>
          <w:color w:val="000000" w:themeColor="text1"/>
          <w:sz w:val="36"/>
          <w:szCs w:val="36"/>
        </w:rPr>
        <w:t>60</w:t>
      </w:r>
      <w:r w:rsidRPr="00473486">
        <w:rPr>
          <w:rFonts w:eastAsiaTheme="minorEastAsia"/>
          <w:b/>
          <w:color w:val="000000" w:themeColor="text1"/>
          <w:sz w:val="36"/>
          <w:szCs w:val="36"/>
        </w:rPr>
        <w:t>交易型开放式指数证券投资基金</w:t>
      </w:r>
    </w:p>
    <w:p w14:paraId="105A2117"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年第</w:t>
      </w:r>
      <w:r w:rsidRPr="00473486">
        <w:rPr>
          <w:rFonts w:eastAsiaTheme="minorEastAsia"/>
          <w:b/>
          <w:color w:val="000000" w:themeColor="text1"/>
          <w:sz w:val="36"/>
          <w:szCs w:val="36"/>
        </w:rPr>
        <w:t>2</w:t>
      </w:r>
      <w:r w:rsidRPr="00473486">
        <w:rPr>
          <w:rFonts w:eastAsiaTheme="minorEastAsia"/>
          <w:b/>
          <w:color w:val="000000" w:themeColor="text1"/>
          <w:sz w:val="36"/>
          <w:szCs w:val="36"/>
        </w:rPr>
        <w:t>季度报告</w:t>
      </w:r>
    </w:p>
    <w:p w14:paraId="6CB432CA"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w:t>
      </w:r>
      <w:r w:rsidRPr="00473486">
        <w:rPr>
          <w:rFonts w:eastAsiaTheme="minorEastAsia"/>
          <w:b/>
          <w:color w:val="000000" w:themeColor="text1"/>
          <w:sz w:val="36"/>
          <w:szCs w:val="36"/>
        </w:rPr>
        <w:t>6</w:t>
      </w:r>
      <w:r w:rsidRPr="00473486">
        <w:rPr>
          <w:rFonts w:eastAsiaTheme="minorEastAsia"/>
          <w:b/>
          <w:color w:val="000000" w:themeColor="text1"/>
          <w:sz w:val="36"/>
          <w:szCs w:val="36"/>
        </w:rPr>
        <w:t>月</w:t>
      </w:r>
      <w:r w:rsidRPr="00473486">
        <w:rPr>
          <w:rFonts w:eastAsiaTheme="minorEastAsia"/>
          <w:b/>
          <w:color w:val="000000" w:themeColor="text1"/>
          <w:sz w:val="36"/>
          <w:szCs w:val="36"/>
        </w:rPr>
        <w:t>30</w:t>
      </w:r>
      <w:r w:rsidRPr="00473486">
        <w:rPr>
          <w:rFonts w:eastAsiaTheme="minorEastAsia"/>
          <w:b/>
          <w:color w:val="000000" w:themeColor="text1"/>
          <w:sz w:val="36"/>
          <w:szCs w:val="36"/>
        </w:rPr>
        <w:t>日</w:t>
      </w:r>
    </w:p>
    <w:p w14:paraId="580D5B81" w14:textId="77777777" w:rsidR="00881A82" w:rsidRPr="00473486" w:rsidRDefault="00881A82">
      <w:pPr>
        <w:spacing w:line="360" w:lineRule="auto"/>
        <w:jc w:val="center"/>
        <w:rPr>
          <w:rFonts w:eastAsiaTheme="minorEastAsia"/>
          <w:b/>
          <w:color w:val="000000" w:themeColor="text1"/>
          <w:sz w:val="24"/>
        </w:rPr>
      </w:pPr>
    </w:p>
    <w:p w14:paraId="137C41E7" w14:textId="77777777" w:rsidR="00881A82" w:rsidRPr="00473486" w:rsidRDefault="00881A82">
      <w:pPr>
        <w:spacing w:line="360" w:lineRule="auto"/>
        <w:jc w:val="center"/>
        <w:rPr>
          <w:rFonts w:eastAsiaTheme="minorEastAsia"/>
          <w:b/>
          <w:color w:val="000000" w:themeColor="text1"/>
          <w:sz w:val="24"/>
        </w:rPr>
      </w:pPr>
    </w:p>
    <w:p w14:paraId="20F8ECD3" w14:textId="77777777" w:rsidR="00881A82" w:rsidRPr="00473486" w:rsidRDefault="00881A82">
      <w:pPr>
        <w:spacing w:line="360" w:lineRule="auto"/>
        <w:jc w:val="center"/>
        <w:rPr>
          <w:rFonts w:eastAsiaTheme="minorEastAsia"/>
          <w:b/>
          <w:color w:val="000000" w:themeColor="text1"/>
          <w:sz w:val="24"/>
        </w:rPr>
      </w:pPr>
    </w:p>
    <w:p w14:paraId="08A20D15" w14:textId="77777777" w:rsidR="00881A82" w:rsidRPr="00473486" w:rsidRDefault="00881A82">
      <w:pPr>
        <w:spacing w:line="360" w:lineRule="auto"/>
        <w:jc w:val="center"/>
        <w:rPr>
          <w:rFonts w:eastAsiaTheme="minorEastAsia"/>
          <w:b/>
          <w:color w:val="000000" w:themeColor="text1"/>
          <w:sz w:val="24"/>
        </w:rPr>
      </w:pPr>
    </w:p>
    <w:p w14:paraId="4BDC9B78" w14:textId="77777777" w:rsidR="00881A82" w:rsidRPr="00473486" w:rsidRDefault="00881A82">
      <w:pPr>
        <w:spacing w:line="360" w:lineRule="auto"/>
        <w:jc w:val="center"/>
        <w:rPr>
          <w:rFonts w:eastAsiaTheme="minorEastAsia"/>
          <w:b/>
          <w:color w:val="000000" w:themeColor="text1"/>
          <w:sz w:val="24"/>
        </w:rPr>
      </w:pPr>
    </w:p>
    <w:p w14:paraId="69453750" w14:textId="77777777" w:rsidR="00881A82" w:rsidRPr="00473486" w:rsidRDefault="00881A82">
      <w:pPr>
        <w:spacing w:line="360" w:lineRule="auto"/>
        <w:jc w:val="center"/>
        <w:rPr>
          <w:rFonts w:eastAsiaTheme="minorEastAsia"/>
          <w:b/>
          <w:color w:val="000000" w:themeColor="text1"/>
          <w:sz w:val="24"/>
        </w:rPr>
      </w:pPr>
    </w:p>
    <w:p w14:paraId="1F67E769" w14:textId="77777777" w:rsidR="00881A82" w:rsidRPr="00473486" w:rsidRDefault="00881A82">
      <w:pPr>
        <w:spacing w:line="360" w:lineRule="auto"/>
        <w:jc w:val="center"/>
        <w:rPr>
          <w:rFonts w:eastAsiaTheme="minorEastAsia"/>
          <w:b/>
          <w:color w:val="000000" w:themeColor="text1"/>
          <w:sz w:val="24"/>
        </w:rPr>
      </w:pPr>
    </w:p>
    <w:p w14:paraId="70255778" w14:textId="77777777" w:rsidR="00881A82" w:rsidRPr="00473486" w:rsidRDefault="00881A82">
      <w:pPr>
        <w:spacing w:line="360" w:lineRule="auto"/>
        <w:jc w:val="center"/>
        <w:rPr>
          <w:rFonts w:eastAsiaTheme="minorEastAsia"/>
          <w:b/>
          <w:color w:val="000000" w:themeColor="text1"/>
          <w:sz w:val="24"/>
        </w:rPr>
      </w:pPr>
    </w:p>
    <w:p w14:paraId="63999CDD" w14:textId="77777777" w:rsidR="00881A82" w:rsidRPr="00473486" w:rsidRDefault="00881A82">
      <w:pPr>
        <w:spacing w:line="360" w:lineRule="auto"/>
        <w:jc w:val="center"/>
        <w:rPr>
          <w:rFonts w:eastAsiaTheme="minorEastAsia"/>
          <w:b/>
          <w:color w:val="000000" w:themeColor="text1"/>
          <w:sz w:val="24"/>
        </w:rPr>
      </w:pPr>
    </w:p>
    <w:p w14:paraId="1723B74F" w14:textId="77777777" w:rsidR="00881A82" w:rsidRPr="00473486" w:rsidRDefault="00881A82">
      <w:pPr>
        <w:spacing w:line="360" w:lineRule="auto"/>
        <w:jc w:val="center"/>
        <w:rPr>
          <w:rFonts w:eastAsiaTheme="minorEastAsia"/>
          <w:b/>
          <w:color w:val="000000" w:themeColor="text1"/>
          <w:sz w:val="24"/>
        </w:rPr>
      </w:pPr>
    </w:p>
    <w:p w14:paraId="503C1030" w14:textId="77777777" w:rsidR="00881A82" w:rsidRPr="00473486" w:rsidRDefault="00881A82">
      <w:pPr>
        <w:spacing w:line="360" w:lineRule="auto"/>
        <w:jc w:val="center"/>
        <w:rPr>
          <w:rFonts w:eastAsiaTheme="minorEastAsia"/>
          <w:b/>
          <w:color w:val="000000" w:themeColor="text1"/>
          <w:sz w:val="24"/>
        </w:rPr>
      </w:pPr>
    </w:p>
    <w:p w14:paraId="2B45EE03" w14:textId="77777777" w:rsidR="00881A82" w:rsidRPr="00473486" w:rsidRDefault="00881A82">
      <w:pPr>
        <w:spacing w:line="360" w:lineRule="auto"/>
        <w:jc w:val="center"/>
        <w:rPr>
          <w:rFonts w:eastAsiaTheme="minorEastAsia"/>
          <w:b/>
          <w:color w:val="000000" w:themeColor="text1"/>
          <w:sz w:val="24"/>
        </w:rPr>
      </w:pPr>
    </w:p>
    <w:p w14:paraId="34C8A422" w14:textId="77777777" w:rsidR="00881A82" w:rsidRPr="00473486" w:rsidRDefault="00881A82">
      <w:pPr>
        <w:spacing w:line="360" w:lineRule="auto"/>
        <w:jc w:val="center"/>
        <w:rPr>
          <w:rFonts w:eastAsiaTheme="minorEastAsia"/>
          <w:b/>
          <w:color w:val="000000" w:themeColor="text1"/>
          <w:sz w:val="24"/>
        </w:rPr>
      </w:pPr>
    </w:p>
    <w:p w14:paraId="104D8B4A" w14:textId="77777777" w:rsidR="00881A82" w:rsidRPr="00473486" w:rsidRDefault="00881A82">
      <w:pPr>
        <w:spacing w:line="360" w:lineRule="auto"/>
        <w:jc w:val="center"/>
        <w:rPr>
          <w:rFonts w:eastAsiaTheme="minorEastAsia"/>
          <w:b/>
          <w:color w:val="000000" w:themeColor="text1"/>
          <w:sz w:val="24"/>
        </w:rPr>
      </w:pPr>
    </w:p>
    <w:p w14:paraId="09E54EAF" w14:textId="77777777" w:rsidR="00881A82" w:rsidRPr="00473486" w:rsidRDefault="00881A82">
      <w:pPr>
        <w:spacing w:line="360" w:lineRule="auto"/>
        <w:rPr>
          <w:rFonts w:eastAsiaTheme="minorEastAsia"/>
          <w:b/>
          <w:color w:val="000000" w:themeColor="text1"/>
          <w:sz w:val="24"/>
        </w:rPr>
      </w:pPr>
    </w:p>
    <w:p w14:paraId="3D0836E9"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14:paraId="7F2F7057"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基金托管人：交通银行股份有限公司</w:t>
      </w:r>
    </w:p>
    <w:p w14:paraId="59F5C8CB" w14:textId="77777777"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报告送出日期：二〇二四年七月十九日</w:t>
      </w:r>
    </w:p>
    <w:p w14:paraId="4524F215" w14:textId="77777777"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14:paraId="3567DD68" w14:textId="77777777" w:rsidR="006365AB" w:rsidRDefault="00B4025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6CA5A716" w14:textId="77777777" w:rsidR="006365AB" w:rsidRDefault="00B4025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2A07DBB3" w14:textId="77777777" w:rsidR="006365AB" w:rsidRDefault="00B4025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A841A4D" w14:textId="77777777" w:rsidR="006365AB" w:rsidRDefault="00B4025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08F1BF43" w14:textId="77777777" w:rsidR="006365AB" w:rsidRDefault="00B4025F">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3D432529"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4</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6</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日止。</w:t>
      </w:r>
    </w:p>
    <w:p w14:paraId="53F57C19"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14:paraId="4166FBBB" w14:textId="77777777">
        <w:tc>
          <w:tcPr>
            <w:tcW w:w="2835" w:type="dxa"/>
            <w:vAlign w:val="center"/>
          </w:tcPr>
          <w:p w14:paraId="0BA69BA2"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14:paraId="11AD5372"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摩根中证碳中和</w:t>
            </w:r>
            <w:r w:rsidRPr="00473486">
              <w:rPr>
                <w:rFonts w:eastAsiaTheme="minorEastAsia"/>
                <w:color w:val="000000" w:themeColor="text1"/>
                <w:kern w:val="0"/>
                <w:szCs w:val="21"/>
              </w:rPr>
              <w:t>60ETF</w:t>
            </w:r>
          </w:p>
        </w:tc>
      </w:tr>
      <w:tr w:rsidR="00881A82" w:rsidRPr="00473486" w14:paraId="7A9F8B16" w14:textId="77777777">
        <w:tc>
          <w:tcPr>
            <w:tcW w:w="2835" w:type="dxa"/>
            <w:tcBorders>
              <w:top w:val="single" w:sz="4" w:space="0" w:color="auto"/>
              <w:left w:val="single" w:sz="4" w:space="0" w:color="auto"/>
              <w:bottom w:val="single" w:sz="4" w:space="0" w:color="auto"/>
              <w:right w:val="single" w:sz="4" w:space="0" w:color="auto"/>
            </w:tcBorders>
            <w:vAlign w:val="center"/>
          </w:tcPr>
          <w:p w14:paraId="26D3FB11"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2D53959E"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560960</w:t>
            </w:r>
          </w:p>
        </w:tc>
      </w:tr>
      <w:tr w:rsidR="00881A82" w:rsidRPr="00473486" w14:paraId="7A0F2DC8" w14:textId="77777777">
        <w:tc>
          <w:tcPr>
            <w:tcW w:w="2835" w:type="dxa"/>
            <w:tcBorders>
              <w:top w:val="single" w:sz="4" w:space="0" w:color="auto"/>
              <w:left w:val="single" w:sz="4" w:space="0" w:color="auto"/>
              <w:bottom w:val="single" w:sz="4" w:space="0" w:color="auto"/>
              <w:right w:val="single" w:sz="4" w:space="0" w:color="auto"/>
            </w:tcBorders>
            <w:vAlign w:val="center"/>
          </w:tcPr>
          <w:p w14:paraId="55A7D024"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21E8C661"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560960</w:t>
            </w:r>
          </w:p>
        </w:tc>
      </w:tr>
      <w:tr w:rsidR="00881A82" w:rsidRPr="00473486" w14:paraId="61E8C15B" w14:textId="77777777">
        <w:tc>
          <w:tcPr>
            <w:tcW w:w="2835" w:type="dxa"/>
            <w:vAlign w:val="center"/>
          </w:tcPr>
          <w:p w14:paraId="335C5ADA"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14:paraId="79162725"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14:paraId="0896559A" w14:textId="77777777">
        <w:tc>
          <w:tcPr>
            <w:tcW w:w="2835" w:type="dxa"/>
            <w:vAlign w:val="center"/>
          </w:tcPr>
          <w:p w14:paraId="394EB745"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14:paraId="1BD9AB8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29</w:t>
            </w:r>
            <w:r w:rsidRPr="00473486">
              <w:rPr>
                <w:rFonts w:eastAsiaTheme="minorEastAsia"/>
                <w:color w:val="000000" w:themeColor="text1"/>
                <w:kern w:val="0"/>
                <w:szCs w:val="21"/>
              </w:rPr>
              <w:t>日</w:t>
            </w:r>
          </w:p>
        </w:tc>
      </w:tr>
      <w:tr w:rsidR="00881A82" w:rsidRPr="00473486" w14:paraId="010FCA43" w14:textId="77777777">
        <w:tc>
          <w:tcPr>
            <w:tcW w:w="2835" w:type="dxa"/>
            <w:vAlign w:val="center"/>
          </w:tcPr>
          <w:p w14:paraId="0A5EBC95"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14:paraId="6F75461D"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41,598,943.00</w:t>
            </w:r>
            <w:r w:rsidRPr="00473486">
              <w:rPr>
                <w:rFonts w:eastAsiaTheme="minorEastAsia"/>
                <w:color w:val="000000" w:themeColor="text1"/>
                <w:kern w:val="0"/>
                <w:szCs w:val="21"/>
              </w:rPr>
              <w:t>份</w:t>
            </w:r>
          </w:p>
        </w:tc>
      </w:tr>
      <w:tr w:rsidR="00881A82" w:rsidRPr="00473486" w14:paraId="50165E11" w14:textId="77777777">
        <w:tc>
          <w:tcPr>
            <w:tcW w:w="2835" w:type="dxa"/>
            <w:vAlign w:val="center"/>
          </w:tcPr>
          <w:p w14:paraId="55CF2C67"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14:paraId="07E750E0"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本基金进行被动式指数化投资，紧密跟踪标的指数，追求跟踪偏离度和跟踪误差最小化。本基金力争日均跟踪偏离度的绝对值不超过</w:t>
            </w:r>
            <w:r w:rsidRPr="00473486">
              <w:rPr>
                <w:rFonts w:eastAsiaTheme="minorEastAsia"/>
                <w:color w:val="000000" w:themeColor="text1"/>
                <w:kern w:val="0"/>
                <w:szCs w:val="21"/>
              </w:rPr>
              <w:t>0.2%</w:t>
            </w:r>
            <w:r w:rsidRPr="00473486">
              <w:rPr>
                <w:rFonts w:eastAsiaTheme="minorEastAsia"/>
                <w:color w:val="000000" w:themeColor="text1"/>
                <w:kern w:val="0"/>
                <w:szCs w:val="21"/>
              </w:rPr>
              <w:t>，年跟踪误差不超过</w:t>
            </w:r>
            <w:r w:rsidRPr="00473486">
              <w:rPr>
                <w:rFonts w:eastAsiaTheme="minorEastAsia"/>
                <w:color w:val="000000" w:themeColor="text1"/>
                <w:kern w:val="0"/>
                <w:szCs w:val="21"/>
              </w:rPr>
              <w:t>2%</w:t>
            </w:r>
            <w:r w:rsidRPr="00473486">
              <w:rPr>
                <w:rFonts w:eastAsiaTheme="minorEastAsia"/>
                <w:color w:val="000000" w:themeColor="text1"/>
                <w:kern w:val="0"/>
                <w:szCs w:val="21"/>
              </w:rPr>
              <w:t>。</w:t>
            </w:r>
          </w:p>
        </w:tc>
      </w:tr>
      <w:tr w:rsidR="00881A82" w:rsidRPr="00473486" w14:paraId="0F1A08B2" w14:textId="77777777">
        <w:tc>
          <w:tcPr>
            <w:tcW w:w="2835" w:type="dxa"/>
            <w:vAlign w:val="center"/>
          </w:tcPr>
          <w:p w14:paraId="052390F7"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14:paraId="407CFE97" w14:textId="77777777" w:rsidR="006365AB" w:rsidRDefault="00B402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163FBCCD" w14:textId="77777777" w:rsidR="006365AB" w:rsidRDefault="00B402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14:paraId="263AC510" w14:textId="77777777" w:rsidR="006365AB" w:rsidRDefault="00B402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14:paraId="37A6C051" w14:textId="77777777" w:rsidR="006365AB" w:rsidRDefault="00B402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14:paraId="132CC489" w14:textId="77777777" w:rsidR="006365AB" w:rsidRDefault="00B402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本基金为被动式指数基金，采用完全复制法，按照成份股在标的指数中的基准权重构建股票资产组合，当预期成份股发生调整和成份股发生配股、增发、分红、长期停牌等行为时，或因</w:t>
            </w:r>
            <w:r>
              <w:rPr>
                <w:rFonts w:eastAsiaTheme="minorEastAsia"/>
                <w:color w:val="000000" w:themeColor="text1"/>
                <w:kern w:val="0"/>
                <w:szCs w:val="21"/>
              </w:rPr>
              <w:t>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14:paraId="377C7ED5" w14:textId="77777777" w:rsidR="006365AB" w:rsidRDefault="00B402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14:paraId="3E1A7AA9" w14:textId="77777777" w:rsidR="006365AB" w:rsidRDefault="00B402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14:paraId="18E07199" w14:textId="77777777" w:rsidR="006365AB" w:rsidRDefault="00B402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本基金所构建的投资组合将定期根据所跟踪标的</w:t>
            </w:r>
            <w:r>
              <w:rPr>
                <w:rFonts w:eastAsiaTheme="minorEastAsia"/>
                <w:color w:val="000000" w:themeColor="text1"/>
                <w:kern w:val="0"/>
                <w:szCs w:val="21"/>
              </w:rPr>
              <w:t>指数成份股的调整进行相应的跟踪调整。指数调整方案公布后，本基金将及时对现有组合的构成进行相应的调整，若成份股的集中调整短期内会对跟踪误差产生较大影响，将采用逐步调整的方式。</w:t>
            </w:r>
          </w:p>
          <w:p w14:paraId="7572CA01" w14:textId="77777777" w:rsidR="006365AB" w:rsidRDefault="00B402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14:paraId="4FBC76E2" w14:textId="77777777" w:rsidR="006365AB" w:rsidRDefault="00B402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14:paraId="0C2992F2" w14:textId="77777777" w:rsidR="006365AB" w:rsidRDefault="00B402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当标的指数成份股因停牌、流动性不足等因素导致基金无法按照指数权重进行配置，基金管理人将综合考虑跟踪误差和投资者利益，选择相关股票进行适当的替代。</w:t>
            </w:r>
          </w:p>
          <w:p w14:paraId="31F71566" w14:textId="77777777" w:rsidR="006365AB" w:rsidRDefault="00B402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w:t>
            </w:r>
            <w:r>
              <w:rPr>
                <w:rFonts w:eastAsiaTheme="minorEastAsia"/>
                <w:color w:val="000000" w:themeColor="text1"/>
                <w:kern w:val="0"/>
                <w:szCs w:val="21"/>
              </w:rPr>
              <w:t>组合进行调</w:t>
            </w:r>
            <w:r>
              <w:rPr>
                <w:rFonts w:eastAsiaTheme="minorEastAsia"/>
                <w:color w:val="000000" w:themeColor="text1"/>
                <w:kern w:val="0"/>
                <w:szCs w:val="21"/>
              </w:rPr>
              <w:lastRenderedPageBreak/>
              <w:t>整，保证基金正常运行，从而有效跟踪标的指数。</w:t>
            </w:r>
          </w:p>
          <w:p w14:paraId="6EFCA878" w14:textId="77777777" w:rsidR="006365AB" w:rsidRDefault="00B402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。如因标的指数编制规则调整等其他原因，导致基金跟踪偏离度和跟踪误差超过上述范围，基金管理人应采取合理措施，避免跟踪偏离度和跟踪误差的进一步扩大。</w:t>
            </w:r>
          </w:p>
          <w:p w14:paraId="6DD7E932"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、其他投资策略：包括股指期货投资策略、股票期权投资策略、债券投资策略、资产支持证券投资策略、融资及转融通证券出借策略、存托凭证投资策略。</w:t>
            </w:r>
          </w:p>
        </w:tc>
      </w:tr>
      <w:tr w:rsidR="00881A82" w:rsidRPr="00473486" w14:paraId="73F23E4A" w14:textId="77777777">
        <w:tc>
          <w:tcPr>
            <w:tcW w:w="2835" w:type="dxa"/>
            <w:vAlign w:val="center"/>
          </w:tcPr>
          <w:p w14:paraId="74CC4CEF"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14:paraId="5CB0567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本基金的业绩比较基准为标的指数，即中证碳中和</w:t>
            </w:r>
            <w:r w:rsidRPr="00473486">
              <w:rPr>
                <w:rFonts w:eastAsiaTheme="minorEastAsia"/>
                <w:color w:val="000000" w:themeColor="text1"/>
                <w:kern w:val="0"/>
                <w:szCs w:val="21"/>
              </w:rPr>
              <w:t>60</w:t>
            </w:r>
            <w:r w:rsidRPr="00473486">
              <w:rPr>
                <w:rFonts w:eastAsiaTheme="minorEastAsia"/>
                <w:color w:val="000000" w:themeColor="text1"/>
                <w:kern w:val="0"/>
                <w:szCs w:val="21"/>
              </w:rPr>
              <w:t>指数收益率。本基金标的指数变更的，相应更换基金名称和业绩比较基准，并在履行适当程序后及时公告。</w:t>
            </w:r>
          </w:p>
        </w:tc>
      </w:tr>
      <w:tr w:rsidR="00881A82" w:rsidRPr="00473486" w14:paraId="501C487E" w14:textId="77777777">
        <w:tc>
          <w:tcPr>
            <w:tcW w:w="2835" w:type="dxa"/>
            <w:vAlign w:val="center"/>
          </w:tcPr>
          <w:p w14:paraId="2F4C9106"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14:paraId="27645BA3"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14:paraId="4A8B252C" w14:textId="77777777">
        <w:tc>
          <w:tcPr>
            <w:tcW w:w="2835" w:type="dxa"/>
            <w:vAlign w:val="center"/>
          </w:tcPr>
          <w:p w14:paraId="6815E02A"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14:paraId="2A4595A8"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14:paraId="5C1CF3A8" w14:textId="77777777">
        <w:tc>
          <w:tcPr>
            <w:tcW w:w="2835" w:type="dxa"/>
            <w:vAlign w:val="center"/>
          </w:tcPr>
          <w:p w14:paraId="571DEC57"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14:paraId="320099E7"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交通银行股份有限公司</w:t>
            </w:r>
          </w:p>
        </w:tc>
      </w:tr>
    </w:tbl>
    <w:p w14:paraId="5DBC4B79"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14:paraId="1BA839D3"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14:paraId="1FBF1777"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B4025F" w:rsidRPr="00473486" w14:paraId="6CAE006B" w14:textId="77777777" w:rsidTr="00B4025F">
        <w:tc>
          <w:tcPr>
            <w:tcW w:w="3402" w:type="dxa"/>
            <w:vAlign w:val="center"/>
          </w:tcPr>
          <w:p w14:paraId="00F3F279" w14:textId="77777777"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14:paraId="29A9AEF3"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14:paraId="6DA97372"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4</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6</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w:t>
            </w:r>
            <w:r w:rsidRPr="00473486">
              <w:rPr>
                <w:rFonts w:eastAsiaTheme="minorEastAsia"/>
                <w:color w:val="000000" w:themeColor="text1"/>
                <w:szCs w:val="21"/>
              </w:rPr>
              <w:t>)</w:t>
            </w:r>
          </w:p>
        </w:tc>
      </w:tr>
      <w:tr w:rsidR="00B4025F" w:rsidRPr="00473486" w14:paraId="1739E8A0" w14:textId="77777777" w:rsidTr="00B4025F">
        <w:tc>
          <w:tcPr>
            <w:tcW w:w="3402" w:type="dxa"/>
            <w:vAlign w:val="center"/>
          </w:tcPr>
          <w:p w14:paraId="6A52FA29"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14:paraId="0C53E950"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-42,439.79</w:t>
            </w:r>
          </w:p>
        </w:tc>
      </w:tr>
      <w:tr w:rsidR="00B4025F" w:rsidRPr="00473486" w14:paraId="6DDD5D6A" w14:textId="77777777" w:rsidTr="00B4025F">
        <w:tc>
          <w:tcPr>
            <w:tcW w:w="3402" w:type="dxa"/>
            <w:vAlign w:val="center"/>
          </w:tcPr>
          <w:p w14:paraId="239DF1C8"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14:paraId="7D514D36"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-539,102.79</w:t>
            </w:r>
          </w:p>
        </w:tc>
      </w:tr>
      <w:tr w:rsidR="00B4025F" w:rsidRPr="00473486" w14:paraId="715EE87A" w14:textId="77777777" w:rsidTr="00B4025F">
        <w:tc>
          <w:tcPr>
            <w:tcW w:w="3402" w:type="dxa"/>
            <w:vAlign w:val="center"/>
          </w:tcPr>
          <w:p w14:paraId="60559F58"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14:paraId="4FCEEC47"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-0.0083</w:t>
            </w:r>
          </w:p>
        </w:tc>
      </w:tr>
      <w:tr w:rsidR="00B4025F" w:rsidRPr="00473486" w14:paraId="47037955" w14:textId="77777777" w:rsidTr="00B4025F">
        <w:tc>
          <w:tcPr>
            <w:tcW w:w="3402" w:type="dxa"/>
            <w:vAlign w:val="center"/>
          </w:tcPr>
          <w:p w14:paraId="610988CE"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14:paraId="45D223AC"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29,436,121.28</w:t>
            </w:r>
          </w:p>
        </w:tc>
      </w:tr>
      <w:tr w:rsidR="00B4025F" w:rsidRPr="00473486" w14:paraId="4906AF30" w14:textId="77777777" w:rsidTr="00B4025F">
        <w:trPr>
          <w:trHeight w:val="158"/>
        </w:trPr>
        <w:tc>
          <w:tcPr>
            <w:tcW w:w="3402" w:type="dxa"/>
            <w:vAlign w:val="center"/>
          </w:tcPr>
          <w:p w14:paraId="6B528F16"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lastRenderedPageBreak/>
              <w:t>5.</w:t>
            </w:r>
            <w:r w:rsidRPr="00473486">
              <w:rPr>
                <w:rFonts w:eastAsiaTheme="minorEastAsia"/>
                <w:color w:val="000000" w:themeColor="text1"/>
                <w:kern w:val="0"/>
                <w:szCs w:val="21"/>
              </w:rPr>
              <w:t>期末基金份额净值</w:t>
            </w:r>
          </w:p>
        </w:tc>
        <w:tc>
          <w:tcPr>
            <w:tcW w:w="4962" w:type="dxa"/>
            <w:vAlign w:val="center"/>
          </w:tcPr>
          <w:p w14:paraId="59483DB2"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0.7076</w:t>
            </w:r>
          </w:p>
        </w:tc>
      </w:tr>
    </w:tbl>
    <w:p w14:paraId="207BAD6A" w14:textId="77777777" w:rsidR="006365AB" w:rsidRDefault="00B4025F">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43B88157"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1846CB89"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6EFB13F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14:paraId="31390833"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14:paraId="30C39181" w14:textId="77777777">
        <w:tc>
          <w:tcPr>
            <w:tcW w:w="1395" w:type="dxa"/>
            <w:vAlign w:val="center"/>
          </w:tcPr>
          <w:p w14:paraId="73FC6BE9"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14:paraId="35C4AC40"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14:paraId="5510EE96"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14:paraId="059DDA72"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14:paraId="13D1F4C0"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14:paraId="78A7191A"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14:paraId="3D7AF2DB"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6365AB" w14:paraId="76B11C15" w14:textId="77777777">
        <w:tc>
          <w:tcPr>
            <w:tcW w:w="1395" w:type="dxa"/>
            <w:vAlign w:val="center"/>
          </w:tcPr>
          <w:p w14:paraId="59B1C273" w14:textId="77777777" w:rsidR="006365AB" w:rsidRDefault="00B4025F">
            <w:pPr>
              <w:jc w:val="left"/>
            </w:pPr>
            <w:r>
              <w:rPr>
                <w:rFonts w:eastAsiaTheme="minorEastAsia"/>
                <w:color w:val="000000" w:themeColor="text1"/>
                <w:szCs w:val="21"/>
              </w:rPr>
              <w:t>过去三个月</w:t>
            </w:r>
          </w:p>
        </w:tc>
        <w:tc>
          <w:tcPr>
            <w:tcW w:w="1092" w:type="dxa"/>
            <w:vAlign w:val="center"/>
          </w:tcPr>
          <w:p w14:paraId="137DA5A6" w14:textId="77777777" w:rsidR="006365AB" w:rsidRDefault="00B4025F">
            <w:pPr>
              <w:jc w:val="center"/>
            </w:pPr>
            <w:r>
              <w:rPr>
                <w:rFonts w:eastAsiaTheme="minorEastAsia"/>
                <w:color w:val="000000" w:themeColor="text1"/>
                <w:szCs w:val="21"/>
              </w:rPr>
              <w:t>-3.83%</w:t>
            </w:r>
          </w:p>
        </w:tc>
        <w:tc>
          <w:tcPr>
            <w:tcW w:w="1161" w:type="dxa"/>
            <w:vAlign w:val="center"/>
          </w:tcPr>
          <w:p w14:paraId="56488C0C" w14:textId="77777777" w:rsidR="006365AB" w:rsidRDefault="00B4025F">
            <w:pPr>
              <w:jc w:val="center"/>
            </w:pPr>
            <w:r>
              <w:rPr>
                <w:rFonts w:eastAsiaTheme="minorEastAsia"/>
                <w:color w:val="000000" w:themeColor="text1"/>
                <w:szCs w:val="21"/>
              </w:rPr>
              <w:t>1.04%</w:t>
            </w:r>
          </w:p>
        </w:tc>
        <w:tc>
          <w:tcPr>
            <w:tcW w:w="1181" w:type="dxa"/>
            <w:vAlign w:val="center"/>
          </w:tcPr>
          <w:p w14:paraId="383191C9" w14:textId="77777777" w:rsidR="006365AB" w:rsidRDefault="00B4025F">
            <w:pPr>
              <w:jc w:val="center"/>
            </w:pPr>
            <w:r>
              <w:rPr>
                <w:rFonts w:eastAsiaTheme="minorEastAsia"/>
                <w:color w:val="000000" w:themeColor="text1"/>
                <w:szCs w:val="21"/>
              </w:rPr>
              <w:t>-4.70%</w:t>
            </w:r>
          </w:p>
        </w:tc>
        <w:tc>
          <w:tcPr>
            <w:tcW w:w="1188" w:type="dxa"/>
            <w:vAlign w:val="center"/>
          </w:tcPr>
          <w:p w14:paraId="60B2954C" w14:textId="77777777" w:rsidR="006365AB" w:rsidRDefault="00B4025F">
            <w:pPr>
              <w:jc w:val="center"/>
            </w:pPr>
            <w:r>
              <w:rPr>
                <w:rFonts w:eastAsiaTheme="minorEastAsia"/>
                <w:color w:val="000000" w:themeColor="text1"/>
                <w:szCs w:val="21"/>
              </w:rPr>
              <w:t>1.04%</w:t>
            </w:r>
          </w:p>
        </w:tc>
        <w:tc>
          <w:tcPr>
            <w:tcW w:w="1199" w:type="dxa"/>
            <w:vAlign w:val="center"/>
          </w:tcPr>
          <w:p w14:paraId="3E16772D" w14:textId="77777777" w:rsidR="006365AB" w:rsidRDefault="00B4025F">
            <w:pPr>
              <w:jc w:val="center"/>
            </w:pPr>
            <w:r>
              <w:rPr>
                <w:rFonts w:eastAsiaTheme="minorEastAsia"/>
                <w:color w:val="000000" w:themeColor="text1"/>
                <w:szCs w:val="21"/>
              </w:rPr>
              <w:t>0.87%</w:t>
            </w:r>
          </w:p>
        </w:tc>
        <w:tc>
          <w:tcPr>
            <w:tcW w:w="1204" w:type="dxa"/>
            <w:vAlign w:val="center"/>
          </w:tcPr>
          <w:p w14:paraId="7EE6C8C5" w14:textId="77777777" w:rsidR="006365AB" w:rsidRDefault="00B4025F">
            <w:pPr>
              <w:jc w:val="center"/>
            </w:pPr>
            <w:r>
              <w:rPr>
                <w:rFonts w:eastAsiaTheme="minorEastAsia"/>
                <w:color w:val="000000" w:themeColor="text1"/>
                <w:szCs w:val="21"/>
              </w:rPr>
              <w:t>0.00%</w:t>
            </w:r>
          </w:p>
        </w:tc>
      </w:tr>
      <w:tr w:rsidR="006365AB" w14:paraId="2A60AA50" w14:textId="77777777">
        <w:tc>
          <w:tcPr>
            <w:tcW w:w="1395" w:type="dxa"/>
            <w:vAlign w:val="center"/>
          </w:tcPr>
          <w:p w14:paraId="038F4ED7" w14:textId="77777777" w:rsidR="006365AB" w:rsidRDefault="00B4025F">
            <w:pPr>
              <w:jc w:val="left"/>
            </w:pPr>
            <w:r>
              <w:rPr>
                <w:rFonts w:eastAsiaTheme="minorEastAsia"/>
                <w:color w:val="000000" w:themeColor="text1"/>
                <w:szCs w:val="21"/>
              </w:rPr>
              <w:t>过去六个月</w:t>
            </w:r>
          </w:p>
        </w:tc>
        <w:tc>
          <w:tcPr>
            <w:tcW w:w="1092" w:type="dxa"/>
            <w:vAlign w:val="center"/>
          </w:tcPr>
          <w:p w14:paraId="2BD02F4D" w14:textId="77777777" w:rsidR="006365AB" w:rsidRDefault="00B4025F">
            <w:pPr>
              <w:jc w:val="center"/>
            </w:pPr>
            <w:r>
              <w:rPr>
                <w:rFonts w:eastAsiaTheme="minorEastAsia"/>
                <w:color w:val="000000" w:themeColor="text1"/>
                <w:szCs w:val="21"/>
              </w:rPr>
              <w:t>-2.21%</w:t>
            </w:r>
          </w:p>
        </w:tc>
        <w:tc>
          <w:tcPr>
            <w:tcW w:w="1161" w:type="dxa"/>
            <w:vAlign w:val="center"/>
          </w:tcPr>
          <w:p w14:paraId="6CB3625B" w14:textId="77777777" w:rsidR="006365AB" w:rsidRDefault="00B4025F">
            <w:pPr>
              <w:jc w:val="center"/>
            </w:pPr>
            <w:r>
              <w:rPr>
                <w:rFonts w:eastAsiaTheme="minorEastAsia"/>
                <w:color w:val="000000" w:themeColor="text1"/>
                <w:szCs w:val="21"/>
              </w:rPr>
              <w:t>1.20%</w:t>
            </w:r>
          </w:p>
        </w:tc>
        <w:tc>
          <w:tcPr>
            <w:tcW w:w="1181" w:type="dxa"/>
            <w:vAlign w:val="center"/>
          </w:tcPr>
          <w:p w14:paraId="38D11E8B" w14:textId="77777777" w:rsidR="006365AB" w:rsidRDefault="00B4025F">
            <w:pPr>
              <w:jc w:val="center"/>
            </w:pPr>
            <w:r>
              <w:rPr>
                <w:rFonts w:eastAsiaTheme="minorEastAsia"/>
                <w:color w:val="000000" w:themeColor="text1"/>
                <w:szCs w:val="21"/>
              </w:rPr>
              <w:t>-2.92%</w:t>
            </w:r>
          </w:p>
        </w:tc>
        <w:tc>
          <w:tcPr>
            <w:tcW w:w="1188" w:type="dxa"/>
            <w:vAlign w:val="center"/>
          </w:tcPr>
          <w:p w14:paraId="498D7A1C" w14:textId="77777777" w:rsidR="006365AB" w:rsidRDefault="00B4025F">
            <w:pPr>
              <w:jc w:val="center"/>
            </w:pPr>
            <w:r>
              <w:rPr>
                <w:rFonts w:eastAsiaTheme="minorEastAsia"/>
                <w:color w:val="000000" w:themeColor="text1"/>
                <w:szCs w:val="21"/>
              </w:rPr>
              <w:t>1.20%</w:t>
            </w:r>
          </w:p>
        </w:tc>
        <w:tc>
          <w:tcPr>
            <w:tcW w:w="1199" w:type="dxa"/>
            <w:vAlign w:val="center"/>
          </w:tcPr>
          <w:p w14:paraId="5392662D" w14:textId="77777777" w:rsidR="006365AB" w:rsidRDefault="00B4025F">
            <w:pPr>
              <w:jc w:val="center"/>
            </w:pPr>
            <w:r>
              <w:rPr>
                <w:rFonts w:eastAsiaTheme="minorEastAsia"/>
                <w:color w:val="000000" w:themeColor="text1"/>
                <w:szCs w:val="21"/>
              </w:rPr>
              <w:t>0.71%</w:t>
            </w:r>
          </w:p>
        </w:tc>
        <w:tc>
          <w:tcPr>
            <w:tcW w:w="1204" w:type="dxa"/>
            <w:vAlign w:val="center"/>
          </w:tcPr>
          <w:p w14:paraId="3266BCAB" w14:textId="77777777" w:rsidR="006365AB" w:rsidRDefault="00B4025F">
            <w:pPr>
              <w:jc w:val="center"/>
            </w:pPr>
            <w:r>
              <w:rPr>
                <w:rFonts w:eastAsiaTheme="minorEastAsia"/>
                <w:color w:val="000000" w:themeColor="text1"/>
                <w:szCs w:val="21"/>
              </w:rPr>
              <w:t>0.00%</w:t>
            </w:r>
          </w:p>
        </w:tc>
      </w:tr>
      <w:tr w:rsidR="006365AB" w14:paraId="3A8D98BD" w14:textId="77777777">
        <w:tc>
          <w:tcPr>
            <w:tcW w:w="1395" w:type="dxa"/>
            <w:vAlign w:val="center"/>
          </w:tcPr>
          <w:p w14:paraId="59728FC2" w14:textId="77777777" w:rsidR="006365AB" w:rsidRDefault="00B4025F">
            <w:pPr>
              <w:jc w:val="left"/>
            </w:pPr>
            <w:r>
              <w:rPr>
                <w:rFonts w:eastAsiaTheme="minorEastAsia"/>
                <w:color w:val="000000" w:themeColor="text1"/>
                <w:szCs w:val="21"/>
              </w:rPr>
              <w:t>过去一年</w:t>
            </w:r>
          </w:p>
        </w:tc>
        <w:tc>
          <w:tcPr>
            <w:tcW w:w="1092" w:type="dxa"/>
            <w:vAlign w:val="center"/>
          </w:tcPr>
          <w:p w14:paraId="1B01F75F" w14:textId="77777777" w:rsidR="006365AB" w:rsidRDefault="00B4025F">
            <w:pPr>
              <w:jc w:val="center"/>
            </w:pPr>
            <w:r>
              <w:rPr>
                <w:rFonts w:eastAsiaTheme="minorEastAsia"/>
                <w:color w:val="000000" w:themeColor="text1"/>
                <w:szCs w:val="21"/>
              </w:rPr>
              <w:t>-21.75%</w:t>
            </w:r>
          </w:p>
        </w:tc>
        <w:tc>
          <w:tcPr>
            <w:tcW w:w="1161" w:type="dxa"/>
            <w:vAlign w:val="center"/>
          </w:tcPr>
          <w:p w14:paraId="357BAE96" w14:textId="77777777" w:rsidR="006365AB" w:rsidRDefault="00B4025F">
            <w:pPr>
              <w:jc w:val="center"/>
            </w:pPr>
            <w:r>
              <w:rPr>
                <w:rFonts w:eastAsiaTheme="minorEastAsia"/>
                <w:color w:val="000000" w:themeColor="text1"/>
                <w:szCs w:val="21"/>
              </w:rPr>
              <w:t>1.12%</w:t>
            </w:r>
          </w:p>
        </w:tc>
        <w:tc>
          <w:tcPr>
            <w:tcW w:w="1181" w:type="dxa"/>
            <w:vAlign w:val="center"/>
          </w:tcPr>
          <w:p w14:paraId="64E5775F" w14:textId="77777777" w:rsidR="006365AB" w:rsidRDefault="00B4025F">
            <w:pPr>
              <w:jc w:val="center"/>
            </w:pPr>
            <w:r>
              <w:rPr>
                <w:rFonts w:eastAsiaTheme="minorEastAsia"/>
                <w:color w:val="000000" w:themeColor="text1"/>
                <w:szCs w:val="21"/>
              </w:rPr>
              <w:t>-22.60%</w:t>
            </w:r>
          </w:p>
        </w:tc>
        <w:tc>
          <w:tcPr>
            <w:tcW w:w="1188" w:type="dxa"/>
            <w:vAlign w:val="center"/>
          </w:tcPr>
          <w:p w14:paraId="52217145" w14:textId="77777777" w:rsidR="006365AB" w:rsidRDefault="00B4025F">
            <w:pPr>
              <w:jc w:val="center"/>
            </w:pPr>
            <w:r>
              <w:rPr>
                <w:rFonts w:eastAsiaTheme="minorEastAsia"/>
                <w:color w:val="000000" w:themeColor="text1"/>
                <w:szCs w:val="21"/>
              </w:rPr>
              <w:t>1.13%</w:t>
            </w:r>
          </w:p>
        </w:tc>
        <w:tc>
          <w:tcPr>
            <w:tcW w:w="1199" w:type="dxa"/>
            <w:vAlign w:val="center"/>
          </w:tcPr>
          <w:p w14:paraId="68034446" w14:textId="77777777" w:rsidR="006365AB" w:rsidRDefault="00B4025F">
            <w:pPr>
              <w:jc w:val="center"/>
            </w:pPr>
            <w:r>
              <w:rPr>
                <w:rFonts w:eastAsiaTheme="minorEastAsia"/>
                <w:color w:val="000000" w:themeColor="text1"/>
                <w:szCs w:val="21"/>
              </w:rPr>
              <w:t>0.85%</w:t>
            </w:r>
          </w:p>
        </w:tc>
        <w:tc>
          <w:tcPr>
            <w:tcW w:w="1204" w:type="dxa"/>
            <w:vAlign w:val="center"/>
          </w:tcPr>
          <w:p w14:paraId="605F13F5" w14:textId="77777777" w:rsidR="006365AB" w:rsidRDefault="00B4025F">
            <w:pPr>
              <w:jc w:val="center"/>
            </w:pPr>
            <w:r>
              <w:rPr>
                <w:rFonts w:eastAsiaTheme="minorEastAsia"/>
                <w:color w:val="000000" w:themeColor="text1"/>
                <w:szCs w:val="21"/>
              </w:rPr>
              <w:t>-0.01%</w:t>
            </w:r>
          </w:p>
        </w:tc>
      </w:tr>
      <w:tr w:rsidR="006365AB" w14:paraId="3E284BE2" w14:textId="77777777">
        <w:tc>
          <w:tcPr>
            <w:tcW w:w="1395" w:type="dxa"/>
            <w:vAlign w:val="center"/>
          </w:tcPr>
          <w:p w14:paraId="6529525D" w14:textId="77777777" w:rsidR="006365AB" w:rsidRDefault="00B4025F">
            <w:pPr>
              <w:jc w:val="left"/>
            </w:pPr>
            <w:r>
              <w:rPr>
                <w:rFonts w:eastAsiaTheme="minorEastAsia"/>
                <w:color w:val="000000" w:themeColor="text1"/>
                <w:szCs w:val="21"/>
              </w:rPr>
              <w:t>过去三年</w:t>
            </w:r>
          </w:p>
        </w:tc>
        <w:tc>
          <w:tcPr>
            <w:tcW w:w="1092" w:type="dxa"/>
            <w:vAlign w:val="center"/>
          </w:tcPr>
          <w:p w14:paraId="7D49B377" w14:textId="77777777" w:rsidR="006365AB" w:rsidRDefault="00B4025F">
            <w:pPr>
              <w:jc w:val="center"/>
            </w:pPr>
            <w:r>
              <w:rPr>
                <w:rFonts w:eastAsiaTheme="minorEastAsia"/>
                <w:color w:val="000000" w:themeColor="text1"/>
                <w:szCs w:val="21"/>
              </w:rPr>
              <w:t>-</w:t>
            </w:r>
          </w:p>
        </w:tc>
        <w:tc>
          <w:tcPr>
            <w:tcW w:w="1161" w:type="dxa"/>
            <w:vAlign w:val="center"/>
          </w:tcPr>
          <w:p w14:paraId="0F76DBD6" w14:textId="77777777" w:rsidR="006365AB" w:rsidRDefault="00B4025F">
            <w:pPr>
              <w:jc w:val="center"/>
            </w:pPr>
            <w:r>
              <w:rPr>
                <w:rFonts w:eastAsiaTheme="minorEastAsia"/>
                <w:color w:val="000000" w:themeColor="text1"/>
                <w:szCs w:val="21"/>
              </w:rPr>
              <w:t>-</w:t>
            </w:r>
          </w:p>
        </w:tc>
        <w:tc>
          <w:tcPr>
            <w:tcW w:w="1181" w:type="dxa"/>
            <w:vAlign w:val="center"/>
          </w:tcPr>
          <w:p w14:paraId="5DDC611B" w14:textId="77777777" w:rsidR="006365AB" w:rsidRDefault="00B4025F">
            <w:pPr>
              <w:jc w:val="center"/>
            </w:pPr>
            <w:r>
              <w:rPr>
                <w:rFonts w:eastAsiaTheme="minorEastAsia"/>
                <w:color w:val="000000" w:themeColor="text1"/>
                <w:szCs w:val="21"/>
              </w:rPr>
              <w:t>-</w:t>
            </w:r>
          </w:p>
        </w:tc>
        <w:tc>
          <w:tcPr>
            <w:tcW w:w="1188" w:type="dxa"/>
            <w:vAlign w:val="center"/>
          </w:tcPr>
          <w:p w14:paraId="6A8623C5" w14:textId="77777777" w:rsidR="006365AB" w:rsidRDefault="00B4025F">
            <w:pPr>
              <w:jc w:val="center"/>
            </w:pPr>
            <w:r>
              <w:rPr>
                <w:rFonts w:eastAsiaTheme="minorEastAsia"/>
                <w:color w:val="000000" w:themeColor="text1"/>
                <w:szCs w:val="21"/>
              </w:rPr>
              <w:t>-</w:t>
            </w:r>
          </w:p>
        </w:tc>
        <w:tc>
          <w:tcPr>
            <w:tcW w:w="1199" w:type="dxa"/>
            <w:vAlign w:val="center"/>
          </w:tcPr>
          <w:p w14:paraId="37172A0A" w14:textId="77777777" w:rsidR="006365AB" w:rsidRDefault="00B4025F">
            <w:pPr>
              <w:jc w:val="center"/>
            </w:pPr>
            <w:r>
              <w:rPr>
                <w:rFonts w:eastAsiaTheme="minorEastAsia"/>
                <w:color w:val="000000" w:themeColor="text1"/>
                <w:szCs w:val="21"/>
              </w:rPr>
              <w:t>-</w:t>
            </w:r>
          </w:p>
        </w:tc>
        <w:tc>
          <w:tcPr>
            <w:tcW w:w="1204" w:type="dxa"/>
            <w:vAlign w:val="center"/>
          </w:tcPr>
          <w:p w14:paraId="0EB48393" w14:textId="77777777" w:rsidR="006365AB" w:rsidRDefault="00B4025F">
            <w:pPr>
              <w:jc w:val="center"/>
            </w:pPr>
            <w:r>
              <w:rPr>
                <w:rFonts w:eastAsiaTheme="minorEastAsia"/>
                <w:color w:val="000000" w:themeColor="text1"/>
                <w:szCs w:val="21"/>
              </w:rPr>
              <w:t>-</w:t>
            </w:r>
          </w:p>
        </w:tc>
      </w:tr>
      <w:tr w:rsidR="006365AB" w14:paraId="23AD4B1B" w14:textId="77777777">
        <w:tc>
          <w:tcPr>
            <w:tcW w:w="1395" w:type="dxa"/>
            <w:vAlign w:val="center"/>
          </w:tcPr>
          <w:p w14:paraId="2AF400C2" w14:textId="77777777" w:rsidR="006365AB" w:rsidRDefault="00B4025F">
            <w:pPr>
              <w:jc w:val="left"/>
            </w:pPr>
            <w:r>
              <w:rPr>
                <w:rFonts w:eastAsiaTheme="minorEastAsia"/>
                <w:color w:val="000000" w:themeColor="text1"/>
                <w:szCs w:val="21"/>
              </w:rPr>
              <w:t>过去五年</w:t>
            </w:r>
          </w:p>
        </w:tc>
        <w:tc>
          <w:tcPr>
            <w:tcW w:w="1092" w:type="dxa"/>
            <w:vAlign w:val="center"/>
          </w:tcPr>
          <w:p w14:paraId="6DCDDC47" w14:textId="77777777" w:rsidR="006365AB" w:rsidRDefault="00B4025F">
            <w:pPr>
              <w:jc w:val="center"/>
            </w:pPr>
            <w:r>
              <w:rPr>
                <w:rFonts w:eastAsiaTheme="minorEastAsia"/>
                <w:color w:val="000000" w:themeColor="text1"/>
                <w:szCs w:val="21"/>
              </w:rPr>
              <w:t>-</w:t>
            </w:r>
          </w:p>
        </w:tc>
        <w:tc>
          <w:tcPr>
            <w:tcW w:w="1161" w:type="dxa"/>
            <w:vAlign w:val="center"/>
          </w:tcPr>
          <w:p w14:paraId="0D888CC7" w14:textId="77777777" w:rsidR="006365AB" w:rsidRDefault="00B4025F">
            <w:pPr>
              <w:jc w:val="center"/>
            </w:pPr>
            <w:r>
              <w:rPr>
                <w:rFonts w:eastAsiaTheme="minorEastAsia"/>
                <w:color w:val="000000" w:themeColor="text1"/>
                <w:szCs w:val="21"/>
              </w:rPr>
              <w:t>-</w:t>
            </w:r>
          </w:p>
        </w:tc>
        <w:tc>
          <w:tcPr>
            <w:tcW w:w="1181" w:type="dxa"/>
            <w:vAlign w:val="center"/>
          </w:tcPr>
          <w:p w14:paraId="4A8D60DF" w14:textId="77777777" w:rsidR="006365AB" w:rsidRDefault="00B4025F">
            <w:pPr>
              <w:jc w:val="center"/>
            </w:pPr>
            <w:r>
              <w:rPr>
                <w:rFonts w:eastAsiaTheme="minorEastAsia"/>
                <w:color w:val="000000" w:themeColor="text1"/>
                <w:szCs w:val="21"/>
              </w:rPr>
              <w:t>-</w:t>
            </w:r>
          </w:p>
        </w:tc>
        <w:tc>
          <w:tcPr>
            <w:tcW w:w="1188" w:type="dxa"/>
            <w:vAlign w:val="center"/>
          </w:tcPr>
          <w:p w14:paraId="2CCA15CB" w14:textId="77777777" w:rsidR="006365AB" w:rsidRDefault="00B4025F">
            <w:pPr>
              <w:jc w:val="center"/>
            </w:pPr>
            <w:r>
              <w:rPr>
                <w:rFonts w:eastAsiaTheme="minorEastAsia"/>
                <w:color w:val="000000" w:themeColor="text1"/>
                <w:szCs w:val="21"/>
              </w:rPr>
              <w:t>-</w:t>
            </w:r>
          </w:p>
        </w:tc>
        <w:tc>
          <w:tcPr>
            <w:tcW w:w="1199" w:type="dxa"/>
            <w:vAlign w:val="center"/>
          </w:tcPr>
          <w:p w14:paraId="5FB2CADC" w14:textId="77777777" w:rsidR="006365AB" w:rsidRDefault="00B4025F">
            <w:pPr>
              <w:jc w:val="center"/>
            </w:pPr>
            <w:r>
              <w:rPr>
                <w:rFonts w:eastAsiaTheme="minorEastAsia"/>
                <w:color w:val="000000" w:themeColor="text1"/>
                <w:szCs w:val="21"/>
              </w:rPr>
              <w:t>-</w:t>
            </w:r>
          </w:p>
        </w:tc>
        <w:tc>
          <w:tcPr>
            <w:tcW w:w="1204" w:type="dxa"/>
            <w:vAlign w:val="center"/>
          </w:tcPr>
          <w:p w14:paraId="691D4A03" w14:textId="77777777" w:rsidR="006365AB" w:rsidRDefault="00B4025F">
            <w:pPr>
              <w:jc w:val="center"/>
            </w:pPr>
            <w:r>
              <w:rPr>
                <w:rFonts w:eastAsiaTheme="minorEastAsia"/>
                <w:color w:val="000000" w:themeColor="text1"/>
                <w:szCs w:val="21"/>
              </w:rPr>
              <w:t>-</w:t>
            </w:r>
          </w:p>
        </w:tc>
      </w:tr>
      <w:tr w:rsidR="006365AB" w14:paraId="68BD9C16" w14:textId="77777777">
        <w:tc>
          <w:tcPr>
            <w:tcW w:w="1395" w:type="dxa"/>
            <w:vAlign w:val="center"/>
          </w:tcPr>
          <w:p w14:paraId="4A270182" w14:textId="77777777" w:rsidR="006365AB" w:rsidRDefault="00B4025F">
            <w:pPr>
              <w:jc w:val="left"/>
            </w:pPr>
            <w:r>
              <w:rPr>
                <w:rFonts w:eastAsiaTheme="minorEastAsia"/>
                <w:color w:val="000000" w:themeColor="text1"/>
                <w:szCs w:val="21"/>
              </w:rPr>
              <w:t>自基金合同生效起至今</w:t>
            </w:r>
          </w:p>
        </w:tc>
        <w:tc>
          <w:tcPr>
            <w:tcW w:w="1092" w:type="dxa"/>
            <w:vAlign w:val="center"/>
          </w:tcPr>
          <w:p w14:paraId="5571A2A1" w14:textId="77777777" w:rsidR="006365AB" w:rsidRDefault="00B4025F">
            <w:pPr>
              <w:jc w:val="center"/>
            </w:pPr>
            <w:r>
              <w:rPr>
                <w:rFonts w:eastAsiaTheme="minorEastAsia"/>
                <w:color w:val="000000" w:themeColor="text1"/>
                <w:szCs w:val="21"/>
              </w:rPr>
              <w:t>-29.24%</w:t>
            </w:r>
          </w:p>
        </w:tc>
        <w:tc>
          <w:tcPr>
            <w:tcW w:w="1161" w:type="dxa"/>
            <w:vAlign w:val="center"/>
          </w:tcPr>
          <w:p w14:paraId="0378E27E" w14:textId="77777777" w:rsidR="006365AB" w:rsidRDefault="00B4025F">
            <w:pPr>
              <w:jc w:val="center"/>
            </w:pPr>
            <w:r>
              <w:rPr>
                <w:rFonts w:eastAsiaTheme="minorEastAsia"/>
                <w:color w:val="000000" w:themeColor="text1"/>
                <w:szCs w:val="21"/>
              </w:rPr>
              <w:t>1.10%</w:t>
            </w:r>
          </w:p>
        </w:tc>
        <w:tc>
          <w:tcPr>
            <w:tcW w:w="1181" w:type="dxa"/>
            <w:vAlign w:val="center"/>
          </w:tcPr>
          <w:p w14:paraId="4F95B3BF" w14:textId="77777777" w:rsidR="006365AB" w:rsidRDefault="00B4025F">
            <w:pPr>
              <w:jc w:val="center"/>
            </w:pPr>
            <w:r>
              <w:rPr>
                <w:rFonts w:eastAsiaTheme="minorEastAsia"/>
                <w:color w:val="000000" w:themeColor="text1"/>
                <w:szCs w:val="21"/>
              </w:rPr>
              <w:t>-27.67%</w:t>
            </w:r>
          </w:p>
        </w:tc>
        <w:tc>
          <w:tcPr>
            <w:tcW w:w="1188" w:type="dxa"/>
            <w:vAlign w:val="center"/>
          </w:tcPr>
          <w:p w14:paraId="3D1D742A" w14:textId="77777777" w:rsidR="006365AB" w:rsidRDefault="00B4025F">
            <w:pPr>
              <w:jc w:val="center"/>
            </w:pPr>
            <w:r>
              <w:rPr>
                <w:rFonts w:eastAsiaTheme="minorEastAsia"/>
                <w:color w:val="000000" w:themeColor="text1"/>
                <w:szCs w:val="21"/>
              </w:rPr>
              <w:t>1.13%</w:t>
            </w:r>
          </w:p>
        </w:tc>
        <w:tc>
          <w:tcPr>
            <w:tcW w:w="1199" w:type="dxa"/>
            <w:vAlign w:val="center"/>
          </w:tcPr>
          <w:p w14:paraId="2DFE3791" w14:textId="77777777" w:rsidR="006365AB" w:rsidRDefault="00B4025F">
            <w:pPr>
              <w:jc w:val="center"/>
            </w:pPr>
            <w:r>
              <w:rPr>
                <w:rFonts w:eastAsiaTheme="minorEastAsia"/>
                <w:color w:val="000000" w:themeColor="text1"/>
                <w:szCs w:val="21"/>
              </w:rPr>
              <w:t>-1.57%</w:t>
            </w:r>
          </w:p>
        </w:tc>
        <w:tc>
          <w:tcPr>
            <w:tcW w:w="1204" w:type="dxa"/>
            <w:vAlign w:val="center"/>
          </w:tcPr>
          <w:p w14:paraId="0CA67405" w14:textId="77777777" w:rsidR="006365AB" w:rsidRDefault="00B4025F">
            <w:pPr>
              <w:jc w:val="center"/>
            </w:pPr>
            <w:r>
              <w:rPr>
                <w:rFonts w:eastAsiaTheme="minorEastAsia"/>
                <w:color w:val="000000" w:themeColor="text1"/>
                <w:szCs w:val="21"/>
              </w:rPr>
              <w:t>-0.03%</w:t>
            </w:r>
          </w:p>
        </w:tc>
      </w:tr>
    </w:tbl>
    <w:p w14:paraId="4D19E1A4"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74F22EC3"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14:paraId="09F8D50C"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摩根中证碳中和</w:t>
      </w:r>
      <w:r w:rsidRPr="00473486">
        <w:rPr>
          <w:rFonts w:eastAsiaTheme="minorEastAsia"/>
          <w:color w:val="000000" w:themeColor="text1"/>
          <w:szCs w:val="21"/>
        </w:rPr>
        <w:t>60</w:t>
      </w:r>
      <w:r w:rsidRPr="00473486">
        <w:rPr>
          <w:rFonts w:eastAsiaTheme="minorEastAsia"/>
          <w:color w:val="000000" w:themeColor="text1"/>
          <w:szCs w:val="21"/>
        </w:rPr>
        <w:t>交易型开放式指数证券投资基金</w:t>
      </w:r>
    </w:p>
    <w:p w14:paraId="2A11D78C" w14:textId="77777777"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14:paraId="0986D374"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29</w:t>
      </w:r>
      <w:r w:rsidRPr="00473486">
        <w:rPr>
          <w:rFonts w:eastAsiaTheme="minorEastAsia"/>
          <w:color w:val="000000" w:themeColor="text1"/>
          <w:kern w:val="0"/>
          <w:szCs w:val="21"/>
        </w:rPr>
        <w:t>日至</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6</w:t>
      </w:r>
      <w:r w:rsidRPr="00473486">
        <w:rPr>
          <w:rFonts w:eastAsiaTheme="minorEastAsia"/>
          <w:color w:val="000000" w:themeColor="text1"/>
          <w:kern w:val="0"/>
          <w:szCs w:val="21"/>
        </w:rPr>
        <w:t>月</w:t>
      </w:r>
      <w:r w:rsidRPr="00473486">
        <w:rPr>
          <w:rFonts w:eastAsiaTheme="minorEastAsia"/>
          <w:color w:val="000000" w:themeColor="text1"/>
          <w:kern w:val="0"/>
          <w:szCs w:val="21"/>
        </w:rPr>
        <w:t>30</w:t>
      </w:r>
      <w:r w:rsidRPr="00473486">
        <w:rPr>
          <w:rFonts w:eastAsiaTheme="minorEastAsia"/>
          <w:color w:val="000000" w:themeColor="text1"/>
          <w:kern w:val="0"/>
          <w:szCs w:val="21"/>
        </w:rPr>
        <w:t>日）</w:t>
      </w:r>
    </w:p>
    <w:p w14:paraId="146AC875" w14:textId="77777777"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lastRenderedPageBreak/>
        <w:drawing>
          <wp:inline distT="0" distB="0" distL="0" distR="0" wp14:anchorId="0CE65CA1" wp14:editId="7C7C4E1F">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5F98F6A3" w14:textId="77777777" w:rsidR="006365AB" w:rsidRDefault="00B4025F">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日，图示的时间段为合同生效日至本报告期末。</w:t>
      </w:r>
    </w:p>
    <w:p w14:paraId="0A3AA5A8"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r w:rsidRPr="00473486">
        <w:rPr>
          <w:rFonts w:eastAsiaTheme="minorEastAsia"/>
          <w:color w:val="000000" w:themeColor="text1"/>
          <w:szCs w:val="21"/>
        </w:rPr>
        <w:t>个月，建仓期结束时资产配置比例符合本基金基金合同规定。</w:t>
      </w:r>
    </w:p>
    <w:p w14:paraId="06F1DABA" w14:textId="77777777"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14:paraId="0760C9FF" w14:textId="77777777" w:rsidR="00881A82" w:rsidRPr="00473486" w:rsidRDefault="00881A82">
      <w:pPr>
        <w:tabs>
          <w:tab w:val="left" w:pos="1800"/>
        </w:tabs>
        <w:spacing w:line="288" w:lineRule="auto"/>
        <w:rPr>
          <w:rFonts w:eastAsiaTheme="minorEastAsia"/>
          <w:color w:val="000000" w:themeColor="text1"/>
          <w:szCs w:val="21"/>
        </w:rPr>
      </w:pPr>
    </w:p>
    <w:p w14:paraId="2731E67F"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14:paraId="40646C14"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14:paraId="75480FA0" w14:textId="77777777">
        <w:trPr>
          <w:cantSplit/>
          <w:trHeight w:val="292"/>
        </w:trPr>
        <w:tc>
          <w:tcPr>
            <w:tcW w:w="851" w:type="dxa"/>
            <w:vMerge w:val="restart"/>
            <w:vAlign w:val="center"/>
          </w:tcPr>
          <w:p w14:paraId="67932237"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14:paraId="129487DA"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14:paraId="672C70F0"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14:paraId="2EF5909D"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14:paraId="1DB9A051"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14:paraId="579CAA46" w14:textId="77777777">
        <w:trPr>
          <w:cantSplit/>
        </w:trPr>
        <w:tc>
          <w:tcPr>
            <w:tcW w:w="851" w:type="dxa"/>
            <w:vMerge/>
            <w:vAlign w:val="center"/>
          </w:tcPr>
          <w:p w14:paraId="688C62E9" w14:textId="77777777"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14:paraId="6CBB7329" w14:textId="77777777"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14:paraId="6E3DE906"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14:paraId="58217234"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14:paraId="16272BCE" w14:textId="77777777"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14:paraId="77C83B6D" w14:textId="77777777" w:rsidR="00881A82" w:rsidRPr="00473486" w:rsidRDefault="00881A82">
            <w:pPr>
              <w:widowControl/>
              <w:spacing w:line="360" w:lineRule="auto"/>
              <w:jc w:val="left"/>
              <w:rPr>
                <w:rFonts w:eastAsiaTheme="minorEastAsia"/>
                <w:color w:val="000000" w:themeColor="text1"/>
                <w:kern w:val="0"/>
                <w:szCs w:val="21"/>
              </w:rPr>
            </w:pPr>
          </w:p>
        </w:tc>
      </w:tr>
      <w:tr w:rsidR="006365AB" w14:paraId="556F3699" w14:textId="77777777">
        <w:tc>
          <w:tcPr>
            <w:tcW w:w="851" w:type="dxa"/>
            <w:vAlign w:val="center"/>
          </w:tcPr>
          <w:p w14:paraId="303D2C01" w14:textId="77777777" w:rsidR="006365AB" w:rsidRDefault="00B4025F">
            <w:pPr>
              <w:jc w:val="center"/>
            </w:pPr>
            <w:r>
              <w:rPr>
                <w:rFonts w:eastAsiaTheme="minorEastAsia"/>
                <w:color w:val="000000" w:themeColor="text1"/>
                <w:szCs w:val="21"/>
              </w:rPr>
              <w:t>毛时超</w:t>
            </w:r>
          </w:p>
        </w:tc>
        <w:tc>
          <w:tcPr>
            <w:tcW w:w="850" w:type="dxa"/>
            <w:vAlign w:val="center"/>
          </w:tcPr>
          <w:p w14:paraId="35CDDD68" w14:textId="77777777" w:rsidR="006365AB" w:rsidRDefault="00B4025F">
            <w:pPr>
              <w:jc w:val="center"/>
            </w:pPr>
            <w:r>
              <w:rPr>
                <w:rFonts w:eastAsiaTheme="minorEastAsia"/>
                <w:color w:val="000000" w:themeColor="text1"/>
                <w:szCs w:val="21"/>
              </w:rPr>
              <w:t>本基金基金经理</w:t>
            </w:r>
          </w:p>
        </w:tc>
        <w:tc>
          <w:tcPr>
            <w:tcW w:w="1560" w:type="dxa"/>
            <w:vAlign w:val="center"/>
          </w:tcPr>
          <w:p w14:paraId="35B3BDB7" w14:textId="77777777" w:rsidR="006365AB" w:rsidRDefault="00B4025F">
            <w:pPr>
              <w:jc w:val="center"/>
            </w:pPr>
            <w:r>
              <w:rPr>
                <w:rFonts w:eastAsiaTheme="minorEastAsia"/>
                <w:color w:val="000000" w:themeColor="text1"/>
                <w:szCs w:val="21"/>
              </w:rPr>
              <w:t>2022-12-29</w:t>
            </w:r>
          </w:p>
        </w:tc>
        <w:tc>
          <w:tcPr>
            <w:tcW w:w="1559" w:type="dxa"/>
            <w:vAlign w:val="center"/>
          </w:tcPr>
          <w:p w14:paraId="4B81F4A4" w14:textId="77777777" w:rsidR="006365AB" w:rsidRDefault="00B4025F">
            <w:pPr>
              <w:jc w:val="center"/>
            </w:pPr>
            <w:r>
              <w:rPr>
                <w:rFonts w:eastAsiaTheme="minorEastAsia"/>
                <w:color w:val="000000" w:themeColor="text1"/>
                <w:szCs w:val="21"/>
              </w:rPr>
              <w:t>-</w:t>
            </w:r>
          </w:p>
        </w:tc>
        <w:tc>
          <w:tcPr>
            <w:tcW w:w="1417" w:type="dxa"/>
            <w:vAlign w:val="center"/>
          </w:tcPr>
          <w:p w14:paraId="53930547" w14:textId="77777777" w:rsidR="006365AB" w:rsidRDefault="00B4025F">
            <w:pPr>
              <w:jc w:val="center"/>
            </w:pPr>
            <w:r>
              <w:rPr>
                <w:rFonts w:eastAsiaTheme="minorEastAsia"/>
                <w:color w:val="000000" w:themeColor="text1"/>
                <w:szCs w:val="21"/>
              </w:rPr>
              <w:t>8</w:t>
            </w:r>
            <w:r>
              <w:rPr>
                <w:rFonts w:eastAsiaTheme="minorEastAsia"/>
                <w:color w:val="000000" w:themeColor="text1"/>
                <w:szCs w:val="21"/>
              </w:rPr>
              <w:t>年</w:t>
            </w:r>
          </w:p>
        </w:tc>
        <w:tc>
          <w:tcPr>
            <w:tcW w:w="2694" w:type="dxa"/>
            <w:vAlign w:val="center"/>
          </w:tcPr>
          <w:p w14:paraId="4A3E5C7E" w14:textId="77777777" w:rsidR="006365AB" w:rsidRDefault="00B4025F">
            <w:r>
              <w:rPr>
                <w:rFonts w:eastAsiaTheme="minorEastAsia"/>
                <w:color w:val="000000" w:themeColor="text1"/>
                <w:szCs w:val="21"/>
              </w:rPr>
              <w:t>毛时超先生曾任平安基金管理有限公司量化研究员、基金经理助理、基金经理；自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月加入摩根基金管理（中国）有限公司（原上投摩根基金管理有限公司），现任指数及量化投资部基金经理。</w:t>
            </w:r>
          </w:p>
        </w:tc>
      </w:tr>
    </w:tbl>
    <w:p w14:paraId="268E69D8" w14:textId="77777777" w:rsidR="006365AB" w:rsidRDefault="00B4025F">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407F4A47" w14:textId="77777777" w:rsidR="006365AB" w:rsidRDefault="00B4025F">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毛时超先生为本基金首任基金经理，其任职日期指本基金基金合同生效之日。</w:t>
      </w:r>
      <w:r>
        <w:rPr>
          <w:rFonts w:eastAsiaTheme="minorEastAsia"/>
          <w:color w:val="000000" w:themeColor="text1"/>
          <w:szCs w:val="21"/>
        </w:rPr>
        <w:t xml:space="preserve"> </w:t>
      </w:r>
    </w:p>
    <w:p w14:paraId="6E515238"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 xml:space="preserve">3. </w:t>
      </w:r>
      <w:r w:rsidRPr="00473486">
        <w:rPr>
          <w:rFonts w:eastAsiaTheme="minorEastAsia"/>
          <w:color w:val="000000" w:themeColor="text1"/>
          <w:szCs w:val="21"/>
        </w:rPr>
        <w:t>证券从业的含义遵从行业协会《证券业从业人员资格管理办法》的相关规定。</w:t>
      </w:r>
    </w:p>
    <w:p w14:paraId="40CC12AC"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lastRenderedPageBreak/>
        <w:t>4.2</w:t>
      </w:r>
      <w:r w:rsidRPr="00473486">
        <w:rPr>
          <w:b/>
          <w:color w:val="000000"/>
          <w:sz w:val="24"/>
          <w:shd w:val="clear" w:color="auto" w:fill="FFFFFF"/>
        </w:rPr>
        <w:t>管理人对报告期内本基金运作遵规守信情况的说明</w:t>
      </w:r>
    </w:p>
    <w:p w14:paraId="6FF532B6"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2CA77557"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F4D62F3"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14:paraId="46D9BDAC"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14:paraId="2A4E4E92" w14:textId="77777777" w:rsidR="006365AB" w:rsidRDefault="00B4025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w:t>
      </w:r>
      <w:r>
        <w:rPr>
          <w:rFonts w:eastAsiaTheme="minorEastAsia"/>
          <w:color w:val="000000" w:themeColor="text1"/>
          <w:szCs w:val="21"/>
        </w:rPr>
        <w:t>交易等活动，通过系统和人工相结合的方式进行交易执行和监控分析，以确保本公司管理的不同投资组合在授权、研究分析、投资决策、交易执行、业绩评估等投资管理活动相关的环节均得到公平对待。</w:t>
      </w:r>
    </w:p>
    <w:p w14:paraId="1928FDC6" w14:textId="77777777" w:rsidR="006365AB" w:rsidRDefault="00B4025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w:t>
      </w:r>
      <w:r>
        <w:rPr>
          <w:rFonts w:eastAsiaTheme="minorEastAsia"/>
          <w:color w:val="000000" w:themeColor="text1"/>
          <w:szCs w:val="21"/>
        </w:rPr>
        <w:t>公平分配。</w:t>
      </w:r>
    </w:p>
    <w:p w14:paraId="549C5A63"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0D44706B"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14:paraId="1599744B" w14:textId="77777777" w:rsidR="006365AB" w:rsidRDefault="00B4025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3B0F164C"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14:paraId="4CD72C2A" w14:textId="77777777" w:rsidR="00881A82" w:rsidRPr="00473486" w:rsidRDefault="00881A82">
      <w:pPr>
        <w:spacing w:line="360" w:lineRule="auto"/>
        <w:ind w:firstLineChars="200" w:firstLine="480"/>
        <w:rPr>
          <w:rFonts w:eastAsiaTheme="minorEastAsia"/>
          <w:color w:val="000000" w:themeColor="text1"/>
          <w:sz w:val="24"/>
        </w:rPr>
      </w:pPr>
    </w:p>
    <w:p w14:paraId="75C616D4"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14:paraId="4B66BF79"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14:paraId="3FCC538F" w14:textId="77777777" w:rsidR="006365AB" w:rsidRDefault="00B4025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本基金投资跟踪的碳中和</w:t>
      </w:r>
      <w:r>
        <w:rPr>
          <w:rFonts w:eastAsiaTheme="minorEastAsia"/>
          <w:color w:val="000000" w:themeColor="text1"/>
          <w:szCs w:val="21"/>
        </w:rPr>
        <w:t>60</w:t>
      </w:r>
      <w:r>
        <w:rPr>
          <w:rFonts w:eastAsiaTheme="minorEastAsia"/>
          <w:color w:val="000000" w:themeColor="text1"/>
          <w:szCs w:val="21"/>
        </w:rPr>
        <w:t>指数，选取清洁能源与储能等深度低碳领域、火电等高碳减排领域的</w:t>
      </w:r>
      <w:r>
        <w:rPr>
          <w:rFonts w:eastAsiaTheme="minorEastAsia"/>
          <w:color w:val="000000" w:themeColor="text1"/>
          <w:szCs w:val="21"/>
        </w:rPr>
        <w:t>60</w:t>
      </w:r>
      <w:r>
        <w:rPr>
          <w:rFonts w:eastAsiaTheme="minorEastAsia"/>
          <w:color w:val="000000" w:themeColor="text1"/>
          <w:szCs w:val="21"/>
        </w:rPr>
        <w:t>只上市公司股票作为指数样本，以反映对碳中和贡献较大的上市公司的整体</w:t>
      </w:r>
      <w:r>
        <w:rPr>
          <w:rFonts w:eastAsiaTheme="minorEastAsia"/>
          <w:color w:val="000000" w:themeColor="text1"/>
          <w:szCs w:val="21"/>
        </w:rPr>
        <w:lastRenderedPageBreak/>
        <w:t>表现。从行业权重分布来看，截至本季度末，电力设备及新能源行业占比最大，其次是电力及公用事业。</w:t>
      </w:r>
    </w:p>
    <w:p w14:paraId="1CAE5D2F" w14:textId="77777777" w:rsidR="006365AB" w:rsidRDefault="00B4025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深度低碳板块相关的公司，由于过去几年大幅扩产，出现行业竞争加剧、需求增速下滑、产品价格回落的局面，叠加海外出口受到影响，股价整体呈现持续下跌的趋势。高碳减排板块相关的股票，由于估值较低、股息率较高，符合当前市场的防御偏表</w:t>
      </w:r>
      <w:r>
        <w:rPr>
          <w:rFonts w:eastAsiaTheme="minorEastAsia"/>
          <w:color w:val="000000" w:themeColor="text1"/>
          <w:szCs w:val="21"/>
        </w:rPr>
        <w:t>现较好。由于前者权重较高并且跌幅明显，对指数整体收益形成较大拖累。</w:t>
      </w:r>
    </w:p>
    <w:p w14:paraId="68398B72" w14:textId="77777777" w:rsidR="006365AB" w:rsidRDefault="00B4025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本基金采用复制标的指数的投资策略，基于多套系统处理日常的申购赎回，力争将跟踪误差控制在合理水平。</w:t>
      </w:r>
    </w:p>
    <w:p w14:paraId="02A7772C"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未来，实现碳中和、控制气温升高已经成为全球长期共识，即使中短期来看政策可能会出现一定波折。本基金跟踪投资的碳中和领域相关公司，当前估值水平处于较低位置，相关公司投资扩产的增速降低，行业竞争局面相比之前大幅改善，中长期来看或具有较高的投资性价比。</w:t>
      </w:r>
    </w:p>
    <w:p w14:paraId="6D9395E5"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14:paraId="51EA53E6"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本报告期摩根中证碳中和</w:t>
      </w:r>
      <w:r w:rsidRPr="00473486">
        <w:rPr>
          <w:rFonts w:eastAsiaTheme="minorEastAsia"/>
          <w:color w:val="000000" w:themeColor="text1"/>
          <w:szCs w:val="21"/>
        </w:rPr>
        <w:t>60ETF</w:t>
      </w:r>
      <w:r w:rsidRPr="00473486">
        <w:rPr>
          <w:rFonts w:eastAsiaTheme="minorEastAsia"/>
          <w:color w:val="000000" w:themeColor="text1"/>
          <w:szCs w:val="21"/>
        </w:rPr>
        <w:t>份额净值增长率为</w:t>
      </w:r>
      <w:r w:rsidRPr="00473486">
        <w:rPr>
          <w:rFonts w:eastAsiaTheme="minorEastAsia"/>
          <w:color w:val="000000" w:themeColor="text1"/>
          <w:szCs w:val="21"/>
        </w:rPr>
        <w:t>:-3.83%</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:-4.70%</w:t>
      </w:r>
      <w:r w:rsidRPr="00473486">
        <w:rPr>
          <w:rFonts w:eastAsiaTheme="minorEastAsia"/>
          <w:color w:val="000000" w:themeColor="text1"/>
          <w:szCs w:val="21"/>
        </w:rPr>
        <w:t>。</w:t>
      </w:r>
    </w:p>
    <w:p w14:paraId="25A18A14" w14:textId="77777777" w:rsidR="00881A82" w:rsidRPr="00473486" w:rsidRDefault="00881A82">
      <w:pPr>
        <w:spacing w:line="360" w:lineRule="auto"/>
        <w:ind w:firstLineChars="200" w:firstLine="480"/>
        <w:rPr>
          <w:rFonts w:eastAsiaTheme="minorEastAsia"/>
          <w:color w:val="000000" w:themeColor="text1"/>
          <w:sz w:val="24"/>
        </w:rPr>
      </w:pPr>
    </w:p>
    <w:p w14:paraId="413AEDD8" w14:textId="77777777"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14:paraId="0CC34360"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14:paraId="39FC6D6D"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14:paraId="23FEC73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14:paraId="73512158" w14:textId="77777777">
        <w:trPr>
          <w:jc w:val="center"/>
        </w:trPr>
        <w:tc>
          <w:tcPr>
            <w:tcW w:w="720" w:type="dxa"/>
            <w:vAlign w:val="center"/>
          </w:tcPr>
          <w:p w14:paraId="002E446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14:paraId="0A03FE90"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14:paraId="5649A28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14:paraId="61ED9A9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14:paraId="2003BD6D" w14:textId="77777777">
        <w:trPr>
          <w:jc w:val="center"/>
        </w:trPr>
        <w:tc>
          <w:tcPr>
            <w:tcW w:w="720" w:type="dxa"/>
            <w:vAlign w:val="center"/>
          </w:tcPr>
          <w:p w14:paraId="0A79228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14:paraId="642E9518"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14:paraId="6A1AA3D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29,405,589.26</w:t>
            </w:r>
          </w:p>
        </w:tc>
        <w:tc>
          <w:tcPr>
            <w:tcW w:w="1843" w:type="dxa"/>
            <w:vAlign w:val="center"/>
          </w:tcPr>
          <w:p w14:paraId="1B0B6A8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99.16</w:t>
            </w:r>
          </w:p>
        </w:tc>
      </w:tr>
      <w:tr w:rsidR="00881A82" w:rsidRPr="00473486" w14:paraId="1070FD74" w14:textId="77777777">
        <w:trPr>
          <w:jc w:val="center"/>
        </w:trPr>
        <w:tc>
          <w:tcPr>
            <w:tcW w:w="720" w:type="dxa"/>
            <w:vAlign w:val="center"/>
          </w:tcPr>
          <w:p w14:paraId="4A86D165"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311BDE84"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14:paraId="15344B1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29,405,589.26</w:t>
            </w:r>
          </w:p>
        </w:tc>
        <w:tc>
          <w:tcPr>
            <w:tcW w:w="1843" w:type="dxa"/>
            <w:vAlign w:val="center"/>
          </w:tcPr>
          <w:p w14:paraId="123182B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99.16</w:t>
            </w:r>
          </w:p>
        </w:tc>
      </w:tr>
      <w:tr w:rsidR="00881A82" w:rsidRPr="00473486" w14:paraId="08936EAE" w14:textId="77777777">
        <w:trPr>
          <w:jc w:val="center"/>
        </w:trPr>
        <w:tc>
          <w:tcPr>
            <w:tcW w:w="720" w:type="dxa"/>
            <w:vAlign w:val="center"/>
          </w:tcPr>
          <w:p w14:paraId="59B8037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14:paraId="036A9CAB"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14:paraId="2C08FFD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704B01D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C3C62B9" w14:textId="77777777">
        <w:trPr>
          <w:jc w:val="center"/>
        </w:trPr>
        <w:tc>
          <w:tcPr>
            <w:tcW w:w="720" w:type="dxa"/>
            <w:vAlign w:val="center"/>
          </w:tcPr>
          <w:p w14:paraId="1B09B233"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5E060FB7"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14:paraId="2995BA5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701B8EA6"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7314BB3" w14:textId="77777777">
        <w:trPr>
          <w:jc w:val="center"/>
        </w:trPr>
        <w:tc>
          <w:tcPr>
            <w:tcW w:w="720" w:type="dxa"/>
            <w:vAlign w:val="center"/>
          </w:tcPr>
          <w:p w14:paraId="63A44D1D"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312F3FC2" w14:textId="77777777"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14:paraId="7CADB05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2E53FD8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8C877B8" w14:textId="77777777">
        <w:trPr>
          <w:jc w:val="center"/>
        </w:trPr>
        <w:tc>
          <w:tcPr>
            <w:tcW w:w="720" w:type="dxa"/>
          </w:tcPr>
          <w:p w14:paraId="69320C4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3</w:t>
            </w:r>
          </w:p>
        </w:tc>
        <w:tc>
          <w:tcPr>
            <w:tcW w:w="3357" w:type="dxa"/>
          </w:tcPr>
          <w:p w14:paraId="400F1D53" w14:textId="77777777"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14:paraId="1EE4BED7"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4879EEB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D5929ED" w14:textId="77777777">
        <w:trPr>
          <w:jc w:val="center"/>
        </w:trPr>
        <w:tc>
          <w:tcPr>
            <w:tcW w:w="720" w:type="dxa"/>
            <w:vAlign w:val="center"/>
          </w:tcPr>
          <w:p w14:paraId="0DA5840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14:paraId="21C673CF"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14:paraId="5555845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4CC2198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3EC54B8" w14:textId="77777777">
        <w:trPr>
          <w:jc w:val="center"/>
        </w:trPr>
        <w:tc>
          <w:tcPr>
            <w:tcW w:w="720" w:type="dxa"/>
            <w:vAlign w:val="center"/>
          </w:tcPr>
          <w:p w14:paraId="70AA4E8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14:paraId="50944ED0"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14:paraId="64A0687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78D3799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1A1A9A0" w14:textId="77777777">
        <w:trPr>
          <w:jc w:val="center"/>
        </w:trPr>
        <w:tc>
          <w:tcPr>
            <w:tcW w:w="720" w:type="dxa"/>
            <w:vAlign w:val="center"/>
          </w:tcPr>
          <w:p w14:paraId="7C7AFFF7"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15BAA0DE"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14:paraId="33BA1B1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05AF502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0190CF4" w14:textId="77777777">
        <w:trPr>
          <w:jc w:val="center"/>
        </w:trPr>
        <w:tc>
          <w:tcPr>
            <w:tcW w:w="720" w:type="dxa"/>
            <w:vAlign w:val="center"/>
          </w:tcPr>
          <w:p w14:paraId="21F53C57"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14:paraId="58188795"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14:paraId="40163EE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234,610.68</w:t>
            </w:r>
          </w:p>
        </w:tc>
        <w:tc>
          <w:tcPr>
            <w:tcW w:w="1843" w:type="dxa"/>
            <w:vAlign w:val="center"/>
          </w:tcPr>
          <w:p w14:paraId="3077698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0.79</w:t>
            </w:r>
          </w:p>
        </w:tc>
      </w:tr>
      <w:tr w:rsidR="00881A82" w:rsidRPr="00473486" w14:paraId="587A0EE0" w14:textId="77777777">
        <w:trPr>
          <w:jc w:val="center"/>
        </w:trPr>
        <w:tc>
          <w:tcPr>
            <w:tcW w:w="720" w:type="dxa"/>
            <w:vAlign w:val="center"/>
          </w:tcPr>
          <w:p w14:paraId="0C12D877"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14:paraId="4A070F64"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14:paraId="0BE6581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14,265.39</w:t>
            </w:r>
          </w:p>
        </w:tc>
        <w:tc>
          <w:tcPr>
            <w:tcW w:w="1843" w:type="dxa"/>
            <w:vAlign w:val="center"/>
          </w:tcPr>
          <w:p w14:paraId="1ECDCE8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0.05</w:t>
            </w:r>
          </w:p>
        </w:tc>
      </w:tr>
      <w:tr w:rsidR="00881A82" w:rsidRPr="00473486" w14:paraId="3617DEA2" w14:textId="77777777">
        <w:trPr>
          <w:jc w:val="center"/>
        </w:trPr>
        <w:tc>
          <w:tcPr>
            <w:tcW w:w="720" w:type="dxa"/>
            <w:vAlign w:val="center"/>
          </w:tcPr>
          <w:p w14:paraId="5D9999C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14:paraId="68ADC23B"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14:paraId="6D01483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29,654,465.33</w:t>
            </w:r>
          </w:p>
        </w:tc>
        <w:tc>
          <w:tcPr>
            <w:tcW w:w="1843" w:type="dxa"/>
            <w:vAlign w:val="center"/>
          </w:tcPr>
          <w:p w14:paraId="653B7C2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14:paraId="4CC4B23C"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30F68948"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14:paraId="7CFD4EB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14:paraId="1CC0DDB4"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2E06108B"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14:paraId="0288A63A"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39B56948"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F94BF40"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087A0120"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89DA4D"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14:paraId="551F9F8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5DA1E9"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619533E"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49B5C13"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28039D"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D16B0E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3739A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AADBEA"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3C34E3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118,674.00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9D56C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0.40</w:t>
            </w:r>
          </w:p>
        </w:tc>
      </w:tr>
      <w:tr w:rsidR="00881A82" w:rsidRPr="00473486" w14:paraId="737001F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8CCED4"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6E77719"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28D1035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20,392,167.02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7A648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69.28</w:t>
            </w:r>
          </w:p>
        </w:tc>
      </w:tr>
      <w:tr w:rsidR="00881A82" w:rsidRPr="00473486" w14:paraId="10CDB6C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080FB6"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F4F8EC2"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A2499E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8,000,902.24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31A68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27.18</w:t>
            </w:r>
          </w:p>
        </w:tc>
      </w:tr>
      <w:tr w:rsidR="00881A82" w:rsidRPr="00473486" w14:paraId="7719242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E992D6"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1B2EB78"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6800184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893,846.00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AF889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3.04</w:t>
            </w:r>
          </w:p>
        </w:tc>
      </w:tr>
      <w:tr w:rsidR="00881A82" w:rsidRPr="00473486" w14:paraId="319CC06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8C2D88"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EBB7394"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84DBEF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A31D0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3C7C83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8EE23F"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58A841F"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DFB6F0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E0451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9C72AB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57E029"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03F4F00"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7C67F2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07DD7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EC9F9A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BD9ED7"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839671"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2F3C1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217D2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DE0152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7AA0DB"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79C5B4"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46A2638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D21E4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F2386F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9976ED"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2744D8C"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12CFB97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0B009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12894E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FC815A"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1FB1D34"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99C46F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5BF09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D07B16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E67FBF"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1BFA3F1"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001419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3D62E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D06C3E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2D7776"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4CC8CE"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5EC03FA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55F78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B0C9B8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971D90"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B55D536"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6E13F6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4B050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F16E36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B6AC61"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400037F"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5F92D52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085E5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B8EDEA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1FA78F"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56C066B"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4C3F1F2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9BAED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C6264C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013649"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08C8B93"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6AD3664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08D1B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D562E2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C0CD1B"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0896218"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1185120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11722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1FEF5B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361133" w14:textId="77777777"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B3E8275"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481F8D6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29,405,589.26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81A75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99.90</w:t>
            </w:r>
          </w:p>
        </w:tc>
      </w:tr>
    </w:tbl>
    <w:p w14:paraId="5D25B11E" w14:textId="77777777" w:rsidR="00881A82" w:rsidRPr="00473486" w:rsidRDefault="00881A82">
      <w:pPr>
        <w:autoSpaceDE w:val="0"/>
        <w:autoSpaceDN w:val="0"/>
        <w:adjustRightInd w:val="0"/>
        <w:spacing w:line="360" w:lineRule="auto"/>
        <w:jc w:val="left"/>
        <w:rPr>
          <w:rFonts w:eastAsiaTheme="minorEastAsia"/>
          <w:color w:val="000000" w:themeColor="text1"/>
          <w:sz w:val="24"/>
        </w:rPr>
      </w:pPr>
    </w:p>
    <w:p w14:paraId="0A08AFE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14:paraId="0A5203BF"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14:paraId="1B9A0AF9" w14:textId="77777777">
        <w:tc>
          <w:tcPr>
            <w:tcW w:w="817" w:type="dxa"/>
            <w:vAlign w:val="center"/>
          </w:tcPr>
          <w:p w14:paraId="07667867"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14:paraId="0125BBD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14:paraId="1FA5132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14:paraId="1ADDBC42"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14:paraId="478BE836"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14:paraId="5D58329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6365AB" w14:paraId="2A3734A7" w14:textId="77777777">
        <w:tc>
          <w:tcPr>
            <w:tcW w:w="817" w:type="dxa"/>
            <w:vAlign w:val="center"/>
          </w:tcPr>
          <w:p w14:paraId="7FA3C1CD" w14:textId="77777777" w:rsidR="006365AB" w:rsidRDefault="00B4025F">
            <w:pPr>
              <w:jc w:val="center"/>
            </w:pPr>
            <w:r>
              <w:rPr>
                <w:rFonts w:eastAsiaTheme="minorEastAsia"/>
                <w:color w:val="000000" w:themeColor="text1"/>
                <w:szCs w:val="21"/>
              </w:rPr>
              <w:t>1</w:t>
            </w:r>
          </w:p>
        </w:tc>
        <w:tc>
          <w:tcPr>
            <w:tcW w:w="1276" w:type="dxa"/>
            <w:vAlign w:val="center"/>
          </w:tcPr>
          <w:p w14:paraId="484EE363" w14:textId="77777777" w:rsidR="006365AB" w:rsidRDefault="00B4025F">
            <w:pPr>
              <w:jc w:val="center"/>
            </w:pPr>
            <w:r>
              <w:rPr>
                <w:rFonts w:eastAsiaTheme="minorEastAsia"/>
                <w:color w:val="000000" w:themeColor="text1"/>
                <w:szCs w:val="21"/>
              </w:rPr>
              <w:t>600900</w:t>
            </w:r>
          </w:p>
        </w:tc>
        <w:tc>
          <w:tcPr>
            <w:tcW w:w="1701" w:type="dxa"/>
            <w:vAlign w:val="center"/>
          </w:tcPr>
          <w:p w14:paraId="15762801" w14:textId="77777777" w:rsidR="006365AB" w:rsidRDefault="00B4025F">
            <w:pPr>
              <w:jc w:val="center"/>
            </w:pPr>
            <w:r>
              <w:rPr>
                <w:rFonts w:eastAsiaTheme="minorEastAsia"/>
                <w:color w:val="000000" w:themeColor="text1"/>
                <w:szCs w:val="21"/>
              </w:rPr>
              <w:t>长江电力</w:t>
            </w:r>
          </w:p>
        </w:tc>
        <w:tc>
          <w:tcPr>
            <w:tcW w:w="1276" w:type="dxa"/>
            <w:vAlign w:val="center"/>
          </w:tcPr>
          <w:p w14:paraId="70E97C70" w14:textId="77777777" w:rsidR="006365AB" w:rsidRDefault="00B4025F">
            <w:pPr>
              <w:jc w:val="right"/>
            </w:pPr>
            <w:r>
              <w:rPr>
                <w:rFonts w:eastAsiaTheme="minorEastAsia"/>
                <w:color w:val="000000" w:themeColor="text1"/>
                <w:szCs w:val="21"/>
              </w:rPr>
              <w:t>109,272.00</w:t>
            </w:r>
          </w:p>
        </w:tc>
        <w:tc>
          <w:tcPr>
            <w:tcW w:w="1842" w:type="dxa"/>
            <w:vAlign w:val="center"/>
          </w:tcPr>
          <w:p w14:paraId="4857B8DE" w14:textId="77777777" w:rsidR="006365AB" w:rsidRDefault="00B4025F">
            <w:pPr>
              <w:jc w:val="right"/>
            </w:pPr>
            <w:r>
              <w:rPr>
                <w:rFonts w:eastAsiaTheme="minorEastAsia"/>
                <w:color w:val="000000" w:themeColor="text1"/>
                <w:szCs w:val="21"/>
              </w:rPr>
              <w:t>3,160,146.24</w:t>
            </w:r>
          </w:p>
        </w:tc>
        <w:tc>
          <w:tcPr>
            <w:tcW w:w="1616" w:type="dxa"/>
            <w:vAlign w:val="center"/>
          </w:tcPr>
          <w:p w14:paraId="685BF0F1" w14:textId="77777777" w:rsidR="006365AB" w:rsidRDefault="00B4025F">
            <w:pPr>
              <w:jc w:val="right"/>
            </w:pPr>
            <w:r>
              <w:rPr>
                <w:rFonts w:eastAsiaTheme="minorEastAsia"/>
                <w:color w:val="000000" w:themeColor="text1"/>
                <w:szCs w:val="21"/>
              </w:rPr>
              <w:t>10.74</w:t>
            </w:r>
          </w:p>
        </w:tc>
      </w:tr>
      <w:tr w:rsidR="006365AB" w14:paraId="7174D3FF" w14:textId="77777777">
        <w:tc>
          <w:tcPr>
            <w:tcW w:w="817" w:type="dxa"/>
            <w:vAlign w:val="center"/>
          </w:tcPr>
          <w:p w14:paraId="22EBC21D" w14:textId="77777777" w:rsidR="006365AB" w:rsidRDefault="00B4025F">
            <w:pPr>
              <w:jc w:val="center"/>
            </w:pPr>
            <w:r>
              <w:rPr>
                <w:rFonts w:eastAsiaTheme="minorEastAsia"/>
                <w:color w:val="000000" w:themeColor="text1"/>
                <w:szCs w:val="21"/>
              </w:rPr>
              <w:t>2</w:t>
            </w:r>
          </w:p>
        </w:tc>
        <w:tc>
          <w:tcPr>
            <w:tcW w:w="1276" w:type="dxa"/>
            <w:vAlign w:val="center"/>
          </w:tcPr>
          <w:p w14:paraId="49828509" w14:textId="77777777" w:rsidR="006365AB" w:rsidRDefault="00B4025F">
            <w:pPr>
              <w:jc w:val="center"/>
            </w:pPr>
            <w:r>
              <w:rPr>
                <w:rFonts w:eastAsiaTheme="minorEastAsia"/>
                <w:color w:val="000000" w:themeColor="text1"/>
                <w:szCs w:val="21"/>
              </w:rPr>
              <w:t>300750</w:t>
            </w:r>
          </w:p>
        </w:tc>
        <w:tc>
          <w:tcPr>
            <w:tcW w:w="1701" w:type="dxa"/>
            <w:vAlign w:val="center"/>
          </w:tcPr>
          <w:p w14:paraId="2F369472" w14:textId="77777777" w:rsidR="006365AB" w:rsidRDefault="00B4025F">
            <w:pPr>
              <w:jc w:val="center"/>
            </w:pPr>
            <w:r>
              <w:rPr>
                <w:rFonts w:eastAsiaTheme="minorEastAsia"/>
                <w:color w:val="000000" w:themeColor="text1"/>
                <w:szCs w:val="21"/>
              </w:rPr>
              <w:t>宁德时代</w:t>
            </w:r>
          </w:p>
        </w:tc>
        <w:tc>
          <w:tcPr>
            <w:tcW w:w="1276" w:type="dxa"/>
            <w:vAlign w:val="center"/>
          </w:tcPr>
          <w:p w14:paraId="5BE99BA6" w14:textId="77777777" w:rsidR="006365AB" w:rsidRDefault="00B4025F">
            <w:pPr>
              <w:jc w:val="right"/>
            </w:pPr>
            <w:r>
              <w:rPr>
                <w:rFonts w:eastAsiaTheme="minorEastAsia"/>
                <w:color w:val="000000" w:themeColor="text1"/>
                <w:szCs w:val="21"/>
              </w:rPr>
              <w:t>16,004.00</w:t>
            </w:r>
          </w:p>
        </w:tc>
        <w:tc>
          <w:tcPr>
            <w:tcW w:w="1842" w:type="dxa"/>
            <w:vAlign w:val="center"/>
          </w:tcPr>
          <w:p w14:paraId="2C051F06" w14:textId="77777777" w:rsidR="006365AB" w:rsidRDefault="00B4025F">
            <w:pPr>
              <w:jc w:val="right"/>
            </w:pPr>
            <w:r>
              <w:rPr>
                <w:rFonts w:eastAsiaTheme="minorEastAsia"/>
                <w:color w:val="000000" w:themeColor="text1"/>
                <w:szCs w:val="21"/>
              </w:rPr>
              <w:t>2,881,200.12</w:t>
            </w:r>
          </w:p>
        </w:tc>
        <w:tc>
          <w:tcPr>
            <w:tcW w:w="1616" w:type="dxa"/>
            <w:vAlign w:val="center"/>
          </w:tcPr>
          <w:p w14:paraId="5B83FC59" w14:textId="77777777" w:rsidR="006365AB" w:rsidRDefault="00B4025F">
            <w:pPr>
              <w:jc w:val="right"/>
            </w:pPr>
            <w:r>
              <w:rPr>
                <w:rFonts w:eastAsiaTheme="minorEastAsia"/>
                <w:color w:val="000000" w:themeColor="text1"/>
                <w:szCs w:val="21"/>
              </w:rPr>
              <w:t>9.79</w:t>
            </w:r>
          </w:p>
        </w:tc>
      </w:tr>
      <w:tr w:rsidR="006365AB" w14:paraId="0FC73AB7" w14:textId="77777777">
        <w:tc>
          <w:tcPr>
            <w:tcW w:w="817" w:type="dxa"/>
            <w:vAlign w:val="center"/>
          </w:tcPr>
          <w:p w14:paraId="29F5CC88" w14:textId="77777777" w:rsidR="006365AB" w:rsidRDefault="00B4025F">
            <w:pPr>
              <w:jc w:val="center"/>
            </w:pPr>
            <w:r>
              <w:rPr>
                <w:rFonts w:eastAsiaTheme="minorEastAsia"/>
                <w:color w:val="000000" w:themeColor="text1"/>
                <w:szCs w:val="21"/>
              </w:rPr>
              <w:t>3</w:t>
            </w:r>
          </w:p>
        </w:tc>
        <w:tc>
          <w:tcPr>
            <w:tcW w:w="1276" w:type="dxa"/>
            <w:vAlign w:val="center"/>
          </w:tcPr>
          <w:p w14:paraId="55B450A7" w14:textId="77777777" w:rsidR="006365AB" w:rsidRDefault="00B4025F">
            <w:pPr>
              <w:jc w:val="center"/>
            </w:pPr>
            <w:r>
              <w:rPr>
                <w:rFonts w:eastAsiaTheme="minorEastAsia"/>
                <w:color w:val="000000" w:themeColor="text1"/>
                <w:szCs w:val="21"/>
              </w:rPr>
              <w:t>002594</w:t>
            </w:r>
          </w:p>
        </w:tc>
        <w:tc>
          <w:tcPr>
            <w:tcW w:w="1701" w:type="dxa"/>
            <w:vAlign w:val="center"/>
          </w:tcPr>
          <w:p w14:paraId="0186E8F2" w14:textId="77777777" w:rsidR="006365AB" w:rsidRDefault="00B4025F">
            <w:pPr>
              <w:jc w:val="center"/>
            </w:pPr>
            <w:r>
              <w:rPr>
                <w:rFonts w:eastAsiaTheme="minorEastAsia"/>
                <w:color w:val="000000" w:themeColor="text1"/>
                <w:szCs w:val="21"/>
              </w:rPr>
              <w:t>比亚迪</w:t>
            </w:r>
          </w:p>
        </w:tc>
        <w:tc>
          <w:tcPr>
            <w:tcW w:w="1276" w:type="dxa"/>
            <w:vAlign w:val="center"/>
          </w:tcPr>
          <w:p w14:paraId="2FA329F6" w14:textId="77777777" w:rsidR="006365AB" w:rsidRDefault="00B4025F">
            <w:pPr>
              <w:jc w:val="right"/>
            </w:pPr>
            <w:r>
              <w:rPr>
                <w:rFonts w:eastAsiaTheme="minorEastAsia"/>
                <w:color w:val="000000" w:themeColor="text1"/>
                <w:szCs w:val="21"/>
              </w:rPr>
              <w:t>10,700.00</w:t>
            </w:r>
          </w:p>
        </w:tc>
        <w:tc>
          <w:tcPr>
            <w:tcW w:w="1842" w:type="dxa"/>
            <w:vAlign w:val="center"/>
          </w:tcPr>
          <w:p w14:paraId="218D95FE" w14:textId="77777777" w:rsidR="006365AB" w:rsidRDefault="00B4025F">
            <w:pPr>
              <w:jc w:val="right"/>
            </w:pPr>
            <w:r>
              <w:rPr>
                <w:rFonts w:eastAsiaTheme="minorEastAsia"/>
                <w:color w:val="000000" w:themeColor="text1"/>
                <w:szCs w:val="21"/>
              </w:rPr>
              <w:t>2,677,675.00</w:t>
            </w:r>
          </w:p>
        </w:tc>
        <w:tc>
          <w:tcPr>
            <w:tcW w:w="1616" w:type="dxa"/>
            <w:vAlign w:val="center"/>
          </w:tcPr>
          <w:p w14:paraId="4FBFE529" w14:textId="77777777" w:rsidR="006365AB" w:rsidRDefault="00B4025F">
            <w:pPr>
              <w:jc w:val="right"/>
            </w:pPr>
            <w:r>
              <w:rPr>
                <w:rFonts w:eastAsiaTheme="minorEastAsia"/>
                <w:color w:val="000000" w:themeColor="text1"/>
                <w:szCs w:val="21"/>
              </w:rPr>
              <w:t>9.10</w:t>
            </w:r>
          </w:p>
        </w:tc>
      </w:tr>
      <w:tr w:rsidR="006365AB" w14:paraId="0DF030FD" w14:textId="77777777">
        <w:tc>
          <w:tcPr>
            <w:tcW w:w="817" w:type="dxa"/>
            <w:vAlign w:val="center"/>
          </w:tcPr>
          <w:p w14:paraId="69242DFC" w14:textId="77777777" w:rsidR="006365AB" w:rsidRDefault="00B4025F">
            <w:pPr>
              <w:jc w:val="center"/>
            </w:pPr>
            <w:r>
              <w:rPr>
                <w:rFonts w:eastAsiaTheme="minorEastAsia"/>
                <w:color w:val="000000" w:themeColor="text1"/>
                <w:szCs w:val="21"/>
              </w:rPr>
              <w:t>4</w:t>
            </w:r>
          </w:p>
        </w:tc>
        <w:tc>
          <w:tcPr>
            <w:tcW w:w="1276" w:type="dxa"/>
            <w:vAlign w:val="center"/>
          </w:tcPr>
          <w:p w14:paraId="2C04FC88" w14:textId="77777777" w:rsidR="006365AB" w:rsidRDefault="00B4025F">
            <w:pPr>
              <w:jc w:val="center"/>
            </w:pPr>
            <w:r>
              <w:rPr>
                <w:rFonts w:eastAsiaTheme="minorEastAsia"/>
                <w:color w:val="000000" w:themeColor="text1"/>
                <w:szCs w:val="21"/>
              </w:rPr>
              <w:t>601985</w:t>
            </w:r>
          </w:p>
        </w:tc>
        <w:tc>
          <w:tcPr>
            <w:tcW w:w="1701" w:type="dxa"/>
            <w:vAlign w:val="center"/>
          </w:tcPr>
          <w:p w14:paraId="5658BB08" w14:textId="77777777" w:rsidR="006365AB" w:rsidRDefault="00B4025F">
            <w:pPr>
              <w:jc w:val="center"/>
            </w:pPr>
            <w:r>
              <w:rPr>
                <w:rFonts w:eastAsiaTheme="minorEastAsia"/>
                <w:color w:val="000000" w:themeColor="text1"/>
                <w:szCs w:val="21"/>
              </w:rPr>
              <w:t>中国核电</w:t>
            </w:r>
          </w:p>
        </w:tc>
        <w:tc>
          <w:tcPr>
            <w:tcW w:w="1276" w:type="dxa"/>
            <w:vAlign w:val="center"/>
          </w:tcPr>
          <w:p w14:paraId="250C02A4" w14:textId="77777777" w:rsidR="006365AB" w:rsidRDefault="00B4025F">
            <w:pPr>
              <w:jc w:val="right"/>
            </w:pPr>
            <w:r>
              <w:rPr>
                <w:rFonts w:eastAsiaTheme="minorEastAsia"/>
                <w:color w:val="000000" w:themeColor="text1"/>
                <w:szCs w:val="21"/>
              </w:rPr>
              <w:t>111,500.00</w:t>
            </w:r>
          </w:p>
        </w:tc>
        <w:tc>
          <w:tcPr>
            <w:tcW w:w="1842" w:type="dxa"/>
            <w:vAlign w:val="center"/>
          </w:tcPr>
          <w:p w14:paraId="58CE1429" w14:textId="77777777" w:rsidR="006365AB" w:rsidRDefault="00B4025F">
            <w:pPr>
              <w:jc w:val="right"/>
            </w:pPr>
            <w:r>
              <w:rPr>
                <w:rFonts w:eastAsiaTheme="minorEastAsia"/>
                <w:color w:val="000000" w:themeColor="text1"/>
                <w:szCs w:val="21"/>
              </w:rPr>
              <w:t>1,188,590.00</w:t>
            </w:r>
          </w:p>
        </w:tc>
        <w:tc>
          <w:tcPr>
            <w:tcW w:w="1616" w:type="dxa"/>
            <w:vAlign w:val="center"/>
          </w:tcPr>
          <w:p w14:paraId="74E846C7" w14:textId="77777777" w:rsidR="006365AB" w:rsidRDefault="00B4025F">
            <w:pPr>
              <w:jc w:val="right"/>
            </w:pPr>
            <w:r>
              <w:rPr>
                <w:rFonts w:eastAsiaTheme="minorEastAsia"/>
                <w:color w:val="000000" w:themeColor="text1"/>
                <w:szCs w:val="21"/>
              </w:rPr>
              <w:t>4.04</w:t>
            </w:r>
          </w:p>
        </w:tc>
      </w:tr>
      <w:tr w:rsidR="006365AB" w14:paraId="075FD5BF" w14:textId="77777777">
        <w:tc>
          <w:tcPr>
            <w:tcW w:w="817" w:type="dxa"/>
            <w:vAlign w:val="center"/>
          </w:tcPr>
          <w:p w14:paraId="52941494" w14:textId="77777777" w:rsidR="006365AB" w:rsidRDefault="00B4025F">
            <w:pPr>
              <w:jc w:val="center"/>
            </w:pPr>
            <w:r>
              <w:rPr>
                <w:rFonts w:eastAsiaTheme="minorEastAsia"/>
                <w:color w:val="000000" w:themeColor="text1"/>
                <w:szCs w:val="21"/>
              </w:rPr>
              <w:t>5</w:t>
            </w:r>
          </w:p>
        </w:tc>
        <w:tc>
          <w:tcPr>
            <w:tcW w:w="1276" w:type="dxa"/>
            <w:vAlign w:val="center"/>
          </w:tcPr>
          <w:p w14:paraId="15E65439" w14:textId="77777777" w:rsidR="006365AB" w:rsidRDefault="00B4025F">
            <w:pPr>
              <w:jc w:val="center"/>
            </w:pPr>
            <w:r>
              <w:rPr>
                <w:rFonts w:eastAsiaTheme="minorEastAsia"/>
                <w:color w:val="000000" w:themeColor="text1"/>
                <w:szCs w:val="21"/>
              </w:rPr>
              <w:t>300124</w:t>
            </w:r>
          </w:p>
        </w:tc>
        <w:tc>
          <w:tcPr>
            <w:tcW w:w="1701" w:type="dxa"/>
            <w:vAlign w:val="center"/>
          </w:tcPr>
          <w:p w14:paraId="4039DC1C" w14:textId="77777777" w:rsidR="006365AB" w:rsidRDefault="00B4025F">
            <w:pPr>
              <w:jc w:val="center"/>
            </w:pPr>
            <w:r>
              <w:rPr>
                <w:rFonts w:eastAsiaTheme="minorEastAsia"/>
                <w:color w:val="000000" w:themeColor="text1"/>
                <w:szCs w:val="21"/>
              </w:rPr>
              <w:t>汇川技术</w:t>
            </w:r>
          </w:p>
        </w:tc>
        <w:tc>
          <w:tcPr>
            <w:tcW w:w="1276" w:type="dxa"/>
            <w:vAlign w:val="center"/>
          </w:tcPr>
          <w:p w14:paraId="06BDEA01" w14:textId="77777777" w:rsidR="006365AB" w:rsidRDefault="00B4025F">
            <w:pPr>
              <w:jc w:val="right"/>
            </w:pPr>
            <w:r>
              <w:rPr>
                <w:rFonts w:eastAsiaTheme="minorEastAsia"/>
                <w:color w:val="000000" w:themeColor="text1"/>
                <w:szCs w:val="21"/>
              </w:rPr>
              <w:t>22,200.00</w:t>
            </w:r>
          </w:p>
        </w:tc>
        <w:tc>
          <w:tcPr>
            <w:tcW w:w="1842" w:type="dxa"/>
            <w:vAlign w:val="center"/>
          </w:tcPr>
          <w:p w14:paraId="3EC6D4F2" w14:textId="77777777" w:rsidR="006365AB" w:rsidRDefault="00B4025F">
            <w:pPr>
              <w:jc w:val="right"/>
            </w:pPr>
            <w:r>
              <w:rPr>
                <w:rFonts w:eastAsiaTheme="minorEastAsia"/>
                <w:color w:val="000000" w:themeColor="text1"/>
                <w:szCs w:val="21"/>
              </w:rPr>
              <w:t>1,138,860.00</w:t>
            </w:r>
          </w:p>
        </w:tc>
        <w:tc>
          <w:tcPr>
            <w:tcW w:w="1616" w:type="dxa"/>
            <w:vAlign w:val="center"/>
          </w:tcPr>
          <w:p w14:paraId="6CE424AC" w14:textId="77777777" w:rsidR="006365AB" w:rsidRDefault="00B4025F">
            <w:pPr>
              <w:jc w:val="right"/>
            </w:pPr>
            <w:r>
              <w:rPr>
                <w:rFonts w:eastAsiaTheme="minorEastAsia"/>
                <w:color w:val="000000" w:themeColor="text1"/>
                <w:szCs w:val="21"/>
              </w:rPr>
              <w:t>3.87</w:t>
            </w:r>
          </w:p>
        </w:tc>
      </w:tr>
      <w:tr w:rsidR="006365AB" w14:paraId="151E3137" w14:textId="77777777">
        <w:tc>
          <w:tcPr>
            <w:tcW w:w="817" w:type="dxa"/>
            <w:vAlign w:val="center"/>
          </w:tcPr>
          <w:p w14:paraId="0297AC39" w14:textId="77777777" w:rsidR="006365AB" w:rsidRDefault="00B4025F">
            <w:pPr>
              <w:jc w:val="center"/>
            </w:pPr>
            <w:r>
              <w:rPr>
                <w:rFonts w:eastAsiaTheme="minorEastAsia"/>
                <w:color w:val="000000" w:themeColor="text1"/>
                <w:szCs w:val="21"/>
              </w:rPr>
              <w:t>6</w:t>
            </w:r>
          </w:p>
        </w:tc>
        <w:tc>
          <w:tcPr>
            <w:tcW w:w="1276" w:type="dxa"/>
            <w:vAlign w:val="center"/>
          </w:tcPr>
          <w:p w14:paraId="0FB6C427" w14:textId="77777777" w:rsidR="006365AB" w:rsidRDefault="00B4025F">
            <w:pPr>
              <w:jc w:val="center"/>
            </w:pPr>
            <w:r>
              <w:rPr>
                <w:rFonts w:eastAsiaTheme="minorEastAsia"/>
                <w:color w:val="000000" w:themeColor="text1"/>
                <w:szCs w:val="21"/>
              </w:rPr>
              <w:t>300274</w:t>
            </w:r>
          </w:p>
        </w:tc>
        <w:tc>
          <w:tcPr>
            <w:tcW w:w="1701" w:type="dxa"/>
            <w:vAlign w:val="center"/>
          </w:tcPr>
          <w:p w14:paraId="718FBD8C" w14:textId="77777777" w:rsidR="006365AB" w:rsidRDefault="00B4025F">
            <w:pPr>
              <w:jc w:val="center"/>
            </w:pPr>
            <w:r>
              <w:rPr>
                <w:rFonts w:eastAsiaTheme="minorEastAsia"/>
                <w:color w:val="000000" w:themeColor="text1"/>
                <w:szCs w:val="21"/>
              </w:rPr>
              <w:t>阳光电源</w:t>
            </w:r>
          </w:p>
        </w:tc>
        <w:tc>
          <w:tcPr>
            <w:tcW w:w="1276" w:type="dxa"/>
            <w:vAlign w:val="center"/>
          </w:tcPr>
          <w:p w14:paraId="3267893D" w14:textId="77777777" w:rsidR="006365AB" w:rsidRDefault="00B4025F">
            <w:pPr>
              <w:jc w:val="right"/>
            </w:pPr>
            <w:r>
              <w:rPr>
                <w:rFonts w:eastAsiaTheme="minorEastAsia"/>
                <w:color w:val="000000" w:themeColor="text1"/>
                <w:szCs w:val="21"/>
              </w:rPr>
              <w:t>17,180.00</w:t>
            </w:r>
          </w:p>
        </w:tc>
        <w:tc>
          <w:tcPr>
            <w:tcW w:w="1842" w:type="dxa"/>
            <w:vAlign w:val="center"/>
          </w:tcPr>
          <w:p w14:paraId="4908B9DC" w14:textId="77777777" w:rsidR="006365AB" w:rsidRDefault="00B4025F">
            <w:pPr>
              <w:jc w:val="right"/>
            </w:pPr>
            <w:r>
              <w:rPr>
                <w:rFonts w:eastAsiaTheme="minorEastAsia"/>
                <w:color w:val="000000" w:themeColor="text1"/>
                <w:szCs w:val="21"/>
              </w:rPr>
              <w:t>1,065,675.40</w:t>
            </w:r>
          </w:p>
        </w:tc>
        <w:tc>
          <w:tcPr>
            <w:tcW w:w="1616" w:type="dxa"/>
            <w:vAlign w:val="center"/>
          </w:tcPr>
          <w:p w14:paraId="6ECEF872" w14:textId="77777777" w:rsidR="006365AB" w:rsidRDefault="00B4025F">
            <w:pPr>
              <w:jc w:val="right"/>
            </w:pPr>
            <w:r>
              <w:rPr>
                <w:rFonts w:eastAsiaTheme="minorEastAsia"/>
                <w:color w:val="000000" w:themeColor="text1"/>
                <w:szCs w:val="21"/>
              </w:rPr>
              <w:t>3.62</w:t>
            </w:r>
          </w:p>
        </w:tc>
      </w:tr>
      <w:tr w:rsidR="006365AB" w14:paraId="13CF2A09" w14:textId="77777777">
        <w:tc>
          <w:tcPr>
            <w:tcW w:w="817" w:type="dxa"/>
            <w:vAlign w:val="center"/>
          </w:tcPr>
          <w:p w14:paraId="4252D1F0" w14:textId="77777777" w:rsidR="006365AB" w:rsidRDefault="00B4025F">
            <w:pPr>
              <w:jc w:val="center"/>
            </w:pPr>
            <w:r>
              <w:rPr>
                <w:rFonts w:eastAsiaTheme="minorEastAsia"/>
                <w:color w:val="000000" w:themeColor="text1"/>
                <w:szCs w:val="21"/>
              </w:rPr>
              <w:t>7</w:t>
            </w:r>
          </w:p>
        </w:tc>
        <w:tc>
          <w:tcPr>
            <w:tcW w:w="1276" w:type="dxa"/>
            <w:vAlign w:val="center"/>
          </w:tcPr>
          <w:p w14:paraId="7E4CBE8C" w14:textId="77777777" w:rsidR="006365AB" w:rsidRDefault="00B4025F">
            <w:pPr>
              <w:jc w:val="center"/>
            </w:pPr>
            <w:r>
              <w:rPr>
                <w:rFonts w:eastAsiaTheme="minorEastAsia"/>
                <w:color w:val="000000" w:themeColor="text1"/>
                <w:szCs w:val="21"/>
              </w:rPr>
              <w:t>601012</w:t>
            </w:r>
          </w:p>
        </w:tc>
        <w:tc>
          <w:tcPr>
            <w:tcW w:w="1701" w:type="dxa"/>
            <w:vAlign w:val="center"/>
          </w:tcPr>
          <w:p w14:paraId="6137034F" w14:textId="77777777" w:rsidR="006365AB" w:rsidRDefault="00B4025F">
            <w:pPr>
              <w:jc w:val="center"/>
            </w:pPr>
            <w:r>
              <w:rPr>
                <w:rFonts w:eastAsiaTheme="minorEastAsia"/>
                <w:color w:val="000000" w:themeColor="text1"/>
                <w:szCs w:val="21"/>
              </w:rPr>
              <w:t>隆基绿能</w:t>
            </w:r>
          </w:p>
        </w:tc>
        <w:tc>
          <w:tcPr>
            <w:tcW w:w="1276" w:type="dxa"/>
            <w:vAlign w:val="center"/>
          </w:tcPr>
          <w:p w14:paraId="1686D0AF" w14:textId="77777777" w:rsidR="006365AB" w:rsidRDefault="00B4025F">
            <w:pPr>
              <w:jc w:val="right"/>
            </w:pPr>
            <w:r>
              <w:rPr>
                <w:rFonts w:eastAsiaTheme="minorEastAsia"/>
                <w:color w:val="000000" w:themeColor="text1"/>
                <w:szCs w:val="21"/>
              </w:rPr>
              <w:t>71,697.00</w:t>
            </w:r>
          </w:p>
        </w:tc>
        <w:tc>
          <w:tcPr>
            <w:tcW w:w="1842" w:type="dxa"/>
            <w:vAlign w:val="center"/>
          </w:tcPr>
          <w:p w14:paraId="4D007B07" w14:textId="77777777" w:rsidR="006365AB" w:rsidRDefault="00B4025F">
            <w:pPr>
              <w:jc w:val="right"/>
            </w:pPr>
            <w:r>
              <w:rPr>
                <w:rFonts w:eastAsiaTheme="minorEastAsia"/>
                <w:color w:val="000000" w:themeColor="text1"/>
                <w:szCs w:val="21"/>
              </w:rPr>
              <w:t>1,005,191.94</w:t>
            </w:r>
          </w:p>
        </w:tc>
        <w:tc>
          <w:tcPr>
            <w:tcW w:w="1616" w:type="dxa"/>
            <w:vAlign w:val="center"/>
          </w:tcPr>
          <w:p w14:paraId="267C90E3" w14:textId="77777777" w:rsidR="006365AB" w:rsidRDefault="00B4025F">
            <w:pPr>
              <w:jc w:val="right"/>
            </w:pPr>
            <w:r>
              <w:rPr>
                <w:rFonts w:eastAsiaTheme="minorEastAsia"/>
                <w:color w:val="000000" w:themeColor="text1"/>
                <w:szCs w:val="21"/>
              </w:rPr>
              <w:t>3.41</w:t>
            </w:r>
          </w:p>
        </w:tc>
      </w:tr>
      <w:tr w:rsidR="006365AB" w14:paraId="57BE6B0F" w14:textId="77777777">
        <w:tc>
          <w:tcPr>
            <w:tcW w:w="817" w:type="dxa"/>
            <w:vAlign w:val="center"/>
          </w:tcPr>
          <w:p w14:paraId="0D8C5F62" w14:textId="77777777" w:rsidR="006365AB" w:rsidRDefault="00B4025F">
            <w:pPr>
              <w:jc w:val="center"/>
            </w:pPr>
            <w:r>
              <w:rPr>
                <w:rFonts w:eastAsiaTheme="minorEastAsia"/>
                <w:color w:val="000000" w:themeColor="text1"/>
                <w:szCs w:val="21"/>
              </w:rPr>
              <w:t>8</w:t>
            </w:r>
          </w:p>
        </w:tc>
        <w:tc>
          <w:tcPr>
            <w:tcW w:w="1276" w:type="dxa"/>
            <w:vAlign w:val="center"/>
          </w:tcPr>
          <w:p w14:paraId="5D33EA59" w14:textId="77777777" w:rsidR="006365AB" w:rsidRDefault="00B4025F">
            <w:pPr>
              <w:jc w:val="center"/>
            </w:pPr>
            <w:r>
              <w:rPr>
                <w:rFonts w:eastAsiaTheme="minorEastAsia"/>
                <w:color w:val="000000" w:themeColor="text1"/>
                <w:szCs w:val="21"/>
              </w:rPr>
              <w:t>000100</w:t>
            </w:r>
          </w:p>
        </w:tc>
        <w:tc>
          <w:tcPr>
            <w:tcW w:w="1701" w:type="dxa"/>
            <w:vAlign w:val="center"/>
          </w:tcPr>
          <w:p w14:paraId="2BB23791" w14:textId="77777777" w:rsidR="006365AB" w:rsidRDefault="00B4025F">
            <w:pPr>
              <w:jc w:val="center"/>
            </w:pPr>
            <w:r>
              <w:rPr>
                <w:rFonts w:eastAsiaTheme="minorEastAsia"/>
                <w:color w:val="000000" w:themeColor="text1"/>
                <w:szCs w:val="21"/>
              </w:rPr>
              <w:t>TCL</w:t>
            </w:r>
            <w:r>
              <w:rPr>
                <w:rFonts w:eastAsiaTheme="minorEastAsia"/>
                <w:color w:val="000000" w:themeColor="text1"/>
                <w:szCs w:val="21"/>
              </w:rPr>
              <w:t>科技</w:t>
            </w:r>
          </w:p>
        </w:tc>
        <w:tc>
          <w:tcPr>
            <w:tcW w:w="1276" w:type="dxa"/>
            <w:vAlign w:val="center"/>
          </w:tcPr>
          <w:p w14:paraId="6F0A8A58" w14:textId="77777777" w:rsidR="006365AB" w:rsidRDefault="00B4025F">
            <w:pPr>
              <w:jc w:val="right"/>
            </w:pPr>
            <w:r>
              <w:rPr>
                <w:rFonts w:eastAsiaTheme="minorEastAsia"/>
                <w:color w:val="000000" w:themeColor="text1"/>
                <w:szCs w:val="21"/>
              </w:rPr>
              <w:t>222,000.00</w:t>
            </w:r>
          </w:p>
        </w:tc>
        <w:tc>
          <w:tcPr>
            <w:tcW w:w="1842" w:type="dxa"/>
            <w:vAlign w:val="center"/>
          </w:tcPr>
          <w:p w14:paraId="026A358D" w14:textId="77777777" w:rsidR="006365AB" w:rsidRDefault="00B4025F">
            <w:pPr>
              <w:jc w:val="right"/>
            </w:pPr>
            <w:r>
              <w:rPr>
                <w:rFonts w:eastAsiaTheme="minorEastAsia"/>
                <w:color w:val="000000" w:themeColor="text1"/>
                <w:szCs w:val="21"/>
              </w:rPr>
              <w:t>959,040.00</w:t>
            </w:r>
          </w:p>
        </w:tc>
        <w:tc>
          <w:tcPr>
            <w:tcW w:w="1616" w:type="dxa"/>
            <w:vAlign w:val="center"/>
          </w:tcPr>
          <w:p w14:paraId="3F952522" w14:textId="77777777" w:rsidR="006365AB" w:rsidRDefault="00B4025F">
            <w:pPr>
              <w:jc w:val="right"/>
            </w:pPr>
            <w:r>
              <w:rPr>
                <w:rFonts w:eastAsiaTheme="minorEastAsia"/>
                <w:color w:val="000000" w:themeColor="text1"/>
                <w:szCs w:val="21"/>
              </w:rPr>
              <w:t>3.26</w:t>
            </w:r>
          </w:p>
        </w:tc>
      </w:tr>
      <w:tr w:rsidR="006365AB" w14:paraId="104135AA" w14:textId="77777777">
        <w:tc>
          <w:tcPr>
            <w:tcW w:w="817" w:type="dxa"/>
            <w:vAlign w:val="center"/>
          </w:tcPr>
          <w:p w14:paraId="3F1E09E6" w14:textId="77777777" w:rsidR="006365AB" w:rsidRDefault="00B4025F">
            <w:pPr>
              <w:jc w:val="center"/>
            </w:pPr>
            <w:r>
              <w:rPr>
                <w:rFonts w:eastAsiaTheme="minorEastAsia"/>
                <w:color w:val="000000" w:themeColor="text1"/>
                <w:szCs w:val="21"/>
              </w:rPr>
              <w:t>9</w:t>
            </w:r>
          </w:p>
        </w:tc>
        <w:tc>
          <w:tcPr>
            <w:tcW w:w="1276" w:type="dxa"/>
            <w:vAlign w:val="center"/>
          </w:tcPr>
          <w:p w14:paraId="7E6E8229" w14:textId="77777777" w:rsidR="006365AB" w:rsidRDefault="00B4025F">
            <w:pPr>
              <w:jc w:val="center"/>
            </w:pPr>
            <w:r>
              <w:rPr>
                <w:rFonts w:eastAsiaTheme="minorEastAsia"/>
                <w:color w:val="000000" w:themeColor="text1"/>
                <w:szCs w:val="21"/>
              </w:rPr>
              <w:t>600089</w:t>
            </w:r>
          </w:p>
        </w:tc>
        <w:tc>
          <w:tcPr>
            <w:tcW w:w="1701" w:type="dxa"/>
            <w:vAlign w:val="center"/>
          </w:tcPr>
          <w:p w14:paraId="70845547" w14:textId="77777777" w:rsidR="006365AB" w:rsidRDefault="00B4025F">
            <w:pPr>
              <w:jc w:val="center"/>
            </w:pPr>
            <w:r>
              <w:rPr>
                <w:rFonts w:eastAsiaTheme="minorEastAsia"/>
                <w:color w:val="000000" w:themeColor="text1"/>
                <w:szCs w:val="21"/>
              </w:rPr>
              <w:t>特变电工</w:t>
            </w:r>
          </w:p>
        </w:tc>
        <w:tc>
          <w:tcPr>
            <w:tcW w:w="1276" w:type="dxa"/>
            <w:vAlign w:val="center"/>
          </w:tcPr>
          <w:p w14:paraId="1FC884B3" w14:textId="77777777" w:rsidR="006365AB" w:rsidRDefault="00B4025F">
            <w:pPr>
              <w:jc w:val="right"/>
            </w:pPr>
            <w:r>
              <w:rPr>
                <w:rFonts w:eastAsiaTheme="minorEastAsia"/>
                <w:color w:val="000000" w:themeColor="text1"/>
                <w:szCs w:val="21"/>
              </w:rPr>
              <w:t>59,780.00</w:t>
            </w:r>
          </w:p>
        </w:tc>
        <w:tc>
          <w:tcPr>
            <w:tcW w:w="1842" w:type="dxa"/>
            <w:vAlign w:val="center"/>
          </w:tcPr>
          <w:p w14:paraId="6A977CE6" w14:textId="77777777" w:rsidR="006365AB" w:rsidRDefault="00B4025F">
            <w:pPr>
              <w:jc w:val="right"/>
            </w:pPr>
            <w:r>
              <w:rPr>
                <w:rFonts w:eastAsiaTheme="minorEastAsia"/>
                <w:color w:val="000000" w:themeColor="text1"/>
                <w:szCs w:val="21"/>
              </w:rPr>
              <w:t>829,148.60</w:t>
            </w:r>
          </w:p>
        </w:tc>
        <w:tc>
          <w:tcPr>
            <w:tcW w:w="1616" w:type="dxa"/>
            <w:vAlign w:val="center"/>
          </w:tcPr>
          <w:p w14:paraId="509F7465" w14:textId="77777777" w:rsidR="006365AB" w:rsidRDefault="00B4025F">
            <w:pPr>
              <w:jc w:val="right"/>
            </w:pPr>
            <w:r>
              <w:rPr>
                <w:rFonts w:eastAsiaTheme="minorEastAsia"/>
                <w:color w:val="000000" w:themeColor="text1"/>
                <w:szCs w:val="21"/>
              </w:rPr>
              <w:t>2.82</w:t>
            </w:r>
          </w:p>
        </w:tc>
      </w:tr>
      <w:tr w:rsidR="006365AB" w14:paraId="03964CE2" w14:textId="77777777">
        <w:tc>
          <w:tcPr>
            <w:tcW w:w="817" w:type="dxa"/>
            <w:vAlign w:val="center"/>
          </w:tcPr>
          <w:p w14:paraId="30B46E9C" w14:textId="77777777" w:rsidR="006365AB" w:rsidRDefault="00B4025F">
            <w:pPr>
              <w:jc w:val="center"/>
            </w:pPr>
            <w:r>
              <w:rPr>
                <w:rFonts w:eastAsiaTheme="minorEastAsia"/>
                <w:color w:val="000000" w:themeColor="text1"/>
                <w:szCs w:val="21"/>
              </w:rPr>
              <w:t>10</w:t>
            </w:r>
          </w:p>
        </w:tc>
        <w:tc>
          <w:tcPr>
            <w:tcW w:w="1276" w:type="dxa"/>
            <w:vAlign w:val="center"/>
          </w:tcPr>
          <w:p w14:paraId="150424D3" w14:textId="77777777" w:rsidR="006365AB" w:rsidRDefault="00B4025F">
            <w:pPr>
              <w:jc w:val="center"/>
            </w:pPr>
            <w:r>
              <w:rPr>
                <w:rFonts w:eastAsiaTheme="minorEastAsia"/>
                <w:color w:val="000000" w:themeColor="text1"/>
                <w:szCs w:val="21"/>
              </w:rPr>
              <w:t>600905</w:t>
            </w:r>
          </w:p>
        </w:tc>
        <w:tc>
          <w:tcPr>
            <w:tcW w:w="1701" w:type="dxa"/>
            <w:vAlign w:val="center"/>
          </w:tcPr>
          <w:p w14:paraId="5B05776F" w14:textId="77777777" w:rsidR="006365AB" w:rsidRDefault="00B4025F">
            <w:pPr>
              <w:jc w:val="center"/>
            </w:pPr>
            <w:r>
              <w:rPr>
                <w:rFonts w:eastAsiaTheme="minorEastAsia"/>
                <w:color w:val="000000" w:themeColor="text1"/>
                <w:szCs w:val="21"/>
              </w:rPr>
              <w:t>三峡能源</w:t>
            </w:r>
          </w:p>
        </w:tc>
        <w:tc>
          <w:tcPr>
            <w:tcW w:w="1276" w:type="dxa"/>
            <w:vAlign w:val="center"/>
          </w:tcPr>
          <w:p w14:paraId="7BC3D3C8" w14:textId="77777777" w:rsidR="006365AB" w:rsidRDefault="00B4025F">
            <w:pPr>
              <w:jc w:val="right"/>
            </w:pPr>
            <w:r>
              <w:rPr>
                <w:rFonts w:eastAsiaTheme="minorEastAsia"/>
                <w:color w:val="000000" w:themeColor="text1"/>
                <w:szCs w:val="21"/>
              </w:rPr>
              <w:t>169,000.00</w:t>
            </w:r>
          </w:p>
        </w:tc>
        <w:tc>
          <w:tcPr>
            <w:tcW w:w="1842" w:type="dxa"/>
            <w:vAlign w:val="center"/>
          </w:tcPr>
          <w:p w14:paraId="22A0A687" w14:textId="77777777" w:rsidR="006365AB" w:rsidRDefault="00B4025F">
            <w:pPr>
              <w:jc w:val="right"/>
            </w:pPr>
            <w:r>
              <w:rPr>
                <w:rFonts w:eastAsiaTheme="minorEastAsia"/>
                <w:color w:val="000000" w:themeColor="text1"/>
                <w:szCs w:val="21"/>
              </w:rPr>
              <w:t>736,840.00</w:t>
            </w:r>
          </w:p>
        </w:tc>
        <w:tc>
          <w:tcPr>
            <w:tcW w:w="1616" w:type="dxa"/>
            <w:vAlign w:val="center"/>
          </w:tcPr>
          <w:p w14:paraId="08216116" w14:textId="77777777" w:rsidR="006365AB" w:rsidRDefault="00B4025F">
            <w:pPr>
              <w:jc w:val="right"/>
            </w:pPr>
            <w:r>
              <w:rPr>
                <w:rFonts w:eastAsiaTheme="minorEastAsia"/>
                <w:color w:val="000000" w:themeColor="text1"/>
                <w:szCs w:val="21"/>
              </w:rPr>
              <w:t>2.50</w:t>
            </w:r>
          </w:p>
        </w:tc>
      </w:tr>
    </w:tbl>
    <w:p w14:paraId="38101CF2"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p w14:paraId="5D333525"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108AC65A" w14:textId="77777777" w:rsidR="00881A82" w:rsidRPr="000A0010" w:rsidRDefault="00881A82">
      <w:pPr>
        <w:autoSpaceDE w:val="0"/>
        <w:autoSpaceDN w:val="0"/>
        <w:adjustRightInd w:val="0"/>
        <w:spacing w:line="360" w:lineRule="auto"/>
        <w:jc w:val="left"/>
        <w:rPr>
          <w:rFonts w:eastAsiaTheme="minorEastAsia"/>
          <w:color w:val="000000" w:themeColor="text1"/>
          <w:szCs w:val="21"/>
        </w:rPr>
      </w:pPr>
    </w:p>
    <w:p w14:paraId="36E8327A"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14:paraId="04E54C9D"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14:paraId="6BB8D1CA"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2C551969"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p w14:paraId="57BCA1B1"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14:paraId="7A93E740"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171B8E4B"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14:paraId="172E9975"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lastRenderedPageBreak/>
        <w:t>本基金本报告期末未持有资产支持证券。</w:t>
      </w:r>
    </w:p>
    <w:p w14:paraId="71C1D88B"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349D51CB" w14:textId="77777777"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14:paraId="1257B7FC" w14:textId="77777777"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14:paraId="4A39ECDA"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B404AC7"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14:paraId="5C817721"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14:paraId="6DC407B9"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14694323"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14:paraId="2541642B"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14:paraId="58AC7FEA" w14:textId="77777777" w:rsidR="00881A82" w:rsidRPr="00473486" w:rsidRDefault="00881A82">
      <w:pPr>
        <w:adjustRightInd w:val="0"/>
        <w:snapToGrid w:val="0"/>
        <w:spacing w:line="360" w:lineRule="exact"/>
        <w:rPr>
          <w:rFonts w:eastAsiaTheme="minorEastAsia"/>
          <w:color w:val="000000" w:themeColor="text1"/>
          <w:sz w:val="24"/>
        </w:rPr>
      </w:pPr>
    </w:p>
    <w:p w14:paraId="6CB419FC"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14:paraId="5455BA8D"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14:paraId="77E2A389"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14:paraId="4CA8C9B0"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本基金投资的前十名证券的发行主体本期未出现被监管部门立案调查，或在报告编制日前一年内受到公开谴责、处罚的情形。</w:t>
      </w:r>
    </w:p>
    <w:p w14:paraId="024E35CA"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14:paraId="0D72397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14:paraId="76ACB6C3" w14:textId="77777777">
        <w:trPr>
          <w:trHeight w:val="567"/>
        </w:trPr>
        <w:tc>
          <w:tcPr>
            <w:tcW w:w="944" w:type="dxa"/>
            <w:vAlign w:val="center"/>
          </w:tcPr>
          <w:p w14:paraId="72141F3D"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14:paraId="08FF6C29"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14:paraId="49E52441"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14:paraId="5BED6702" w14:textId="77777777">
        <w:trPr>
          <w:trHeight w:val="567"/>
        </w:trPr>
        <w:tc>
          <w:tcPr>
            <w:tcW w:w="944" w:type="dxa"/>
            <w:vAlign w:val="center"/>
          </w:tcPr>
          <w:p w14:paraId="5AEC5F48"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14:paraId="39104485"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14:paraId="4021635B"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14,265.39</w:t>
            </w:r>
          </w:p>
        </w:tc>
      </w:tr>
      <w:tr w:rsidR="00881A82" w:rsidRPr="00473486" w14:paraId="4280C401" w14:textId="77777777">
        <w:trPr>
          <w:trHeight w:val="567"/>
        </w:trPr>
        <w:tc>
          <w:tcPr>
            <w:tcW w:w="944" w:type="dxa"/>
            <w:vAlign w:val="center"/>
          </w:tcPr>
          <w:p w14:paraId="3D95A679"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14:paraId="31203544"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14:paraId="3BA84C38"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5EB652D8" w14:textId="77777777">
        <w:trPr>
          <w:trHeight w:val="567"/>
        </w:trPr>
        <w:tc>
          <w:tcPr>
            <w:tcW w:w="944" w:type="dxa"/>
            <w:vAlign w:val="center"/>
          </w:tcPr>
          <w:p w14:paraId="60EC3506"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14:paraId="60BB1F23"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14:paraId="05A67A81"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5918EFD3" w14:textId="77777777">
        <w:trPr>
          <w:trHeight w:val="567"/>
        </w:trPr>
        <w:tc>
          <w:tcPr>
            <w:tcW w:w="944" w:type="dxa"/>
            <w:vAlign w:val="center"/>
          </w:tcPr>
          <w:p w14:paraId="13951A37"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14:paraId="5A1B591D"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14:paraId="6636A305"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47E8395B" w14:textId="77777777">
        <w:trPr>
          <w:trHeight w:val="567"/>
        </w:trPr>
        <w:tc>
          <w:tcPr>
            <w:tcW w:w="944" w:type="dxa"/>
            <w:vAlign w:val="center"/>
          </w:tcPr>
          <w:p w14:paraId="2CB558E8"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14:paraId="44207B4C"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14:paraId="2D26E33C"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601129FA" w14:textId="77777777">
        <w:trPr>
          <w:trHeight w:val="567"/>
        </w:trPr>
        <w:tc>
          <w:tcPr>
            <w:tcW w:w="944" w:type="dxa"/>
            <w:vAlign w:val="center"/>
          </w:tcPr>
          <w:p w14:paraId="32ED399E"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14:paraId="51C828E8"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14:paraId="06D62334"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3619D25B" w14:textId="77777777">
        <w:trPr>
          <w:trHeight w:val="567"/>
        </w:trPr>
        <w:tc>
          <w:tcPr>
            <w:tcW w:w="944" w:type="dxa"/>
          </w:tcPr>
          <w:p w14:paraId="0D843C7B"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14:paraId="2510FA4D"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14:paraId="175F179E"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66A3345" w14:textId="77777777">
        <w:trPr>
          <w:trHeight w:val="567"/>
        </w:trPr>
        <w:tc>
          <w:tcPr>
            <w:tcW w:w="944" w:type="dxa"/>
            <w:vAlign w:val="center"/>
          </w:tcPr>
          <w:p w14:paraId="17A7AB40"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lastRenderedPageBreak/>
              <w:t>8</w:t>
            </w:r>
          </w:p>
        </w:tc>
        <w:tc>
          <w:tcPr>
            <w:tcW w:w="2761" w:type="dxa"/>
            <w:vAlign w:val="center"/>
          </w:tcPr>
          <w:p w14:paraId="166186F3"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14:paraId="3682E3CE"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287C37A6" w14:textId="77777777">
        <w:trPr>
          <w:trHeight w:val="567"/>
        </w:trPr>
        <w:tc>
          <w:tcPr>
            <w:tcW w:w="944" w:type="dxa"/>
            <w:vAlign w:val="center"/>
          </w:tcPr>
          <w:p w14:paraId="433DCB50"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14:paraId="34AD8F75"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14:paraId="01655BB7"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14,265.39</w:t>
            </w:r>
          </w:p>
        </w:tc>
      </w:tr>
    </w:tbl>
    <w:p w14:paraId="406FAFA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14:paraId="17B3530F"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14:paraId="55862217"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14:paraId="15D6BCAD"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14:paraId="6A10F709"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14:paraId="27E20B55"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14:paraId="25D98769"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14:paraId="252C7E38" w14:textId="77777777" w:rsidR="00881A82" w:rsidRPr="00473486" w:rsidRDefault="00881A82">
      <w:pPr>
        <w:spacing w:line="360" w:lineRule="auto"/>
        <w:rPr>
          <w:rFonts w:eastAsiaTheme="minorEastAsia"/>
          <w:bCs/>
          <w:color w:val="000000" w:themeColor="text1"/>
          <w:szCs w:val="21"/>
        </w:rPr>
      </w:pPr>
    </w:p>
    <w:p w14:paraId="36F2F13A"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14:paraId="211D1178"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14:paraId="7333E270" w14:textId="77777777" w:rsidR="00881A82" w:rsidRPr="00473486" w:rsidRDefault="00881A82">
      <w:pPr>
        <w:spacing w:line="360" w:lineRule="auto"/>
        <w:ind w:firstLineChars="200" w:firstLine="420"/>
        <w:rPr>
          <w:rFonts w:eastAsiaTheme="minorEastAsia"/>
          <w:color w:val="000000" w:themeColor="text1"/>
          <w:szCs w:val="21"/>
        </w:rPr>
      </w:pPr>
    </w:p>
    <w:p w14:paraId="2882C538"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14:paraId="3BD4C9CA"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14:paraId="4D7870FE"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6D4E190E"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82423A5"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74,598,943.00</w:t>
            </w:r>
          </w:p>
        </w:tc>
      </w:tr>
      <w:tr w:rsidR="00881A82" w:rsidRPr="00473486" w14:paraId="68D2B8EA"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2093AA60"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BFBE024"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693A48C"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770CE22A"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44D5A72"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33,000,000.00</w:t>
            </w:r>
          </w:p>
        </w:tc>
      </w:tr>
      <w:tr w:rsidR="00881A82" w:rsidRPr="00473486" w14:paraId="32BAF2CB"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91C8698"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6645919"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D989E63"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9012000"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B357A10"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41,598,943.00</w:t>
            </w:r>
          </w:p>
        </w:tc>
      </w:tr>
    </w:tbl>
    <w:p w14:paraId="43012F5B" w14:textId="77777777"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14:paraId="1F828569"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14:paraId="6D44CE54"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03AC6DC5"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08FBDEC9"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7.2 </w:t>
      </w:r>
      <w:r w:rsidRPr="00473486">
        <w:rPr>
          <w:b/>
          <w:color w:val="000000" w:themeColor="text1"/>
          <w:sz w:val="24"/>
        </w:rPr>
        <w:t>基金管理人运用固有资金投资本基金交易明细</w:t>
      </w:r>
    </w:p>
    <w:p w14:paraId="419E6BAF"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7595E7EC"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lastRenderedPageBreak/>
        <w:t xml:space="preserve">§8  </w:t>
      </w:r>
      <w:r w:rsidRPr="00473486">
        <w:rPr>
          <w:rFonts w:eastAsiaTheme="minorEastAsia"/>
          <w:color w:val="000000" w:themeColor="text1"/>
          <w:kern w:val="0"/>
          <w:sz w:val="24"/>
          <w:szCs w:val="24"/>
        </w:rPr>
        <w:t>影响投资者决策的其他重要信息</w:t>
      </w:r>
    </w:p>
    <w:p w14:paraId="12EF304A" w14:textId="77777777"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14:paraId="73F10261" w14:textId="77777777">
        <w:tc>
          <w:tcPr>
            <w:tcW w:w="993" w:type="dxa"/>
            <w:vMerge w:val="restart"/>
            <w:vAlign w:val="center"/>
          </w:tcPr>
          <w:p w14:paraId="7D1C3B8E"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14:paraId="3F25AB06"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14:paraId="231EE983"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14:paraId="0E95DFBC" w14:textId="77777777">
        <w:tc>
          <w:tcPr>
            <w:tcW w:w="993" w:type="dxa"/>
            <w:vMerge/>
            <w:vAlign w:val="center"/>
          </w:tcPr>
          <w:p w14:paraId="7FF5417D" w14:textId="77777777" w:rsidR="00881A82" w:rsidRPr="00473486" w:rsidRDefault="00881A82">
            <w:pPr>
              <w:autoSpaceDE w:val="0"/>
              <w:autoSpaceDN w:val="0"/>
              <w:adjustRightInd w:val="0"/>
              <w:jc w:val="center"/>
              <w:rPr>
                <w:b/>
                <w:bCs/>
                <w:color w:val="000000"/>
                <w:kern w:val="0"/>
                <w:szCs w:val="21"/>
              </w:rPr>
            </w:pPr>
          </w:p>
        </w:tc>
        <w:tc>
          <w:tcPr>
            <w:tcW w:w="992" w:type="dxa"/>
            <w:vAlign w:val="center"/>
          </w:tcPr>
          <w:p w14:paraId="7EDE5B28"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14:paraId="335C0C63"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14:paraId="6D53F95E" w14:textId="77777777"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14:paraId="49928F52" w14:textId="77777777"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14:paraId="16912684" w14:textId="77777777"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14:paraId="597F54BE"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14:paraId="04E2DF1C"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6365AB" w14:paraId="15E97129" w14:textId="77777777">
        <w:tc>
          <w:tcPr>
            <w:tcW w:w="993" w:type="dxa"/>
            <w:vMerge w:val="restart"/>
            <w:vAlign w:val="center"/>
          </w:tcPr>
          <w:p w14:paraId="26B4E95E" w14:textId="77777777" w:rsidR="006365AB" w:rsidRDefault="00B4025F">
            <w:r>
              <w:rPr>
                <w:bCs/>
                <w:color w:val="000000"/>
                <w:kern w:val="0"/>
                <w:szCs w:val="21"/>
              </w:rPr>
              <w:t>机构</w:t>
            </w:r>
          </w:p>
        </w:tc>
        <w:tc>
          <w:tcPr>
            <w:tcW w:w="992" w:type="dxa"/>
            <w:vAlign w:val="center"/>
          </w:tcPr>
          <w:p w14:paraId="05698C3A" w14:textId="77777777" w:rsidR="006365AB" w:rsidRDefault="00B4025F">
            <w:pPr>
              <w:jc w:val="center"/>
            </w:pPr>
            <w:r>
              <w:rPr>
                <w:color w:val="000000"/>
                <w:kern w:val="0"/>
                <w:szCs w:val="21"/>
              </w:rPr>
              <w:t>1</w:t>
            </w:r>
          </w:p>
        </w:tc>
        <w:tc>
          <w:tcPr>
            <w:tcW w:w="1843" w:type="dxa"/>
            <w:vAlign w:val="center"/>
          </w:tcPr>
          <w:p w14:paraId="3D352EB7" w14:textId="77777777" w:rsidR="006365AB" w:rsidRDefault="00B4025F">
            <w:pPr>
              <w:jc w:val="center"/>
            </w:pPr>
            <w:r>
              <w:rPr>
                <w:color w:val="000000"/>
                <w:kern w:val="0"/>
                <w:szCs w:val="21"/>
              </w:rPr>
              <w:t>20240605-20240630</w:t>
            </w:r>
          </w:p>
        </w:tc>
        <w:tc>
          <w:tcPr>
            <w:tcW w:w="851" w:type="dxa"/>
            <w:vAlign w:val="center"/>
          </w:tcPr>
          <w:p w14:paraId="3C4DEB50" w14:textId="77777777" w:rsidR="006365AB" w:rsidRDefault="00B4025F">
            <w:pPr>
              <w:jc w:val="center"/>
            </w:pPr>
            <w:r>
              <w:rPr>
                <w:color w:val="000000"/>
                <w:kern w:val="0"/>
                <w:szCs w:val="21"/>
              </w:rPr>
              <w:t>11,843,087.00</w:t>
            </w:r>
          </w:p>
        </w:tc>
        <w:tc>
          <w:tcPr>
            <w:tcW w:w="850" w:type="dxa"/>
            <w:vAlign w:val="center"/>
          </w:tcPr>
          <w:p w14:paraId="144924D2" w14:textId="77777777" w:rsidR="006365AB" w:rsidRDefault="00B4025F">
            <w:pPr>
              <w:jc w:val="center"/>
            </w:pPr>
            <w:r>
              <w:rPr>
                <w:color w:val="000000"/>
                <w:kern w:val="0"/>
                <w:szCs w:val="21"/>
              </w:rPr>
              <w:t>12,827,200.00</w:t>
            </w:r>
          </w:p>
        </w:tc>
        <w:tc>
          <w:tcPr>
            <w:tcW w:w="1134" w:type="dxa"/>
            <w:vAlign w:val="center"/>
          </w:tcPr>
          <w:p w14:paraId="55164E13" w14:textId="77777777" w:rsidR="006365AB" w:rsidRDefault="00B4025F">
            <w:pPr>
              <w:jc w:val="center"/>
            </w:pPr>
            <w:r>
              <w:rPr>
                <w:color w:val="000000"/>
                <w:kern w:val="0"/>
                <w:szCs w:val="21"/>
              </w:rPr>
              <w:t>12,264,025.00</w:t>
            </w:r>
          </w:p>
        </w:tc>
        <w:tc>
          <w:tcPr>
            <w:tcW w:w="1419" w:type="dxa"/>
            <w:vAlign w:val="center"/>
          </w:tcPr>
          <w:p w14:paraId="53BE1B2C" w14:textId="77777777" w:rsidR="006365AB" w:rsidRDefault="00B4025F">
            <w:pPr>
              <w:jc w:val="center"/>
            </w:pPr>
            <w:r>
              <w:rPr>
                <w:color w:val="000000"/>
                <w:kern w:val="0"/>
                <w:szCs w:val="21"/>
              </w:rPr>
              <w:t>12,406,262.00</w:t>
            </w:r>
          </w:p>
        </w:tc>
        <w:tc>
          <w:tcPr>
            <w:tcW w:w="1130" w:type="dxa"/>
            <w:vAlign w:val="center"/>
          </w:tcPr>
          <w:p w14:paraId="3F2552E2" w14:textId="77777777" w:rsidR="006365AB" w:rsidRDefault="00B4025F">
            <w:pPr>
              <w:jc w:val="center"/>
            </w:pPr>
            <w:r>
              <w:rPr>
                <w:color w:val="000000"/>
                <w:kern w:val="0"/>
                <w:szCs w:val="21"/>
              </w:rPr>
              <w:t>29.82%</w:t>
            </w:r>
          </w:p>
        </w:tc>
      </w:tr>
      <w:tr w:rsidR="006365AB" w14:paraId="5FAA9543" w14:textId="77777777">
        <w:tc>
          <w:tcPr>
            <w:tcW w:w="993" w:type="dxa"/>
            <w:vMerge/>
          </w:tcPr>
          <w:p w14:paraId="37A6E931" w14:textId="77777777" w:rsidR="006365AB" w:rsidRDefault="006365AB"/>
        </w:tc>
        <w:tc>
          <w:tcPr>
            <w:tcW w:w="992" w:type="dxa"/>
            <w:vAlign w:val="center"/>
          </w:tcPr>
          <w:p w14:paraId="194CD897" w14:textId="77777777" w:rsidR="006365AB" w:rsidRDefault="00B4025F">
            <w:pPr>
              <w:jc w:val="center"/>
            </w:pPr>
            <w:r>
              <w:rPr>
                <w:color w:val="000000"/>
                <w:kern w:val="0"/>
                <w:szCs w:val="21"/>
              </w:rPr>
              <w:t>2</w:t>
            </w:r>
          </w:p>
        </w:tc>
        <w:tc>
          <w:tcPr>
            <w:tcW w:w="1843" w:type="dxa"/>
            <w:vAlign w:val="center"/>
          </w:tcPr>
          <w:p w14:paraId="341DDFE3" w14:textId="77777777" w:rsidR="006365AB" w:rsidRDefault="00B4025F">
            <w:pPr>
              <w:jc w:val="center"/>
            </w:pPr>
            <w:r>
              <w:rPr>
                <w:color w:val="000000"/>
                <w:kern w:val="0"/>
                <w:szCs w:val="21"/>
              </w:rPr>
              <w:t>20240401-20240603</w:t>
            </w:r>
          </w:p>
        </w:tc>
        <w:tc>
          <w:tcPr>
            <w:tcW w:w="851" w:type="dxa"/>
            <w:vAlign w:val="center"/>
          </w:tcPr>
          <w:p w14:paraId="7922E8CB" w14:textId="77777777" w:rsidR="006365AB" w:rsidRDefault="00B4025F">
            <w:pPr>
              <w:jc w:val="center"/>
            </w:pPr>
            <w:r>
              <w:rPr>
                <w:color w:val="000000"/>
                <w:kern w:val="0"/>
                <w:szCs w:val="21"/>
              </w:rPr>
              <w:t>27,000,000.00</w:t>
            </w:r>
          </w:p>
        </w:tc>
        <w:tc>
          <w:tcPr>
            <w:tcW w:w="850" w:type="dxa"/>
            <w:vAlign w:val="center"/>
          </w:tcPr>
          <w:p w14:paraId="4B49B213" w14:textId="77777777" w:rsidR="006365AB" w:rsidRDefault="00B4025F">
            <w:pPr>
              <w:jc w:val="center"/>
            </w:pPr>
            <w:r>
              <w:rPr>
                <w:color w:val="000000"/>
                <w:kern w:val="0"/>
                <w:szCs w:val="21"/>
              </w:rPr>
              <w:t>0.00</w:t>
            </w:r>
          </w:p>
        </w:tc>
        <w:tc>
          <w:tcPr>
            <w:tcW w:w="1134" w:type="dxa"/>
            <w:vAlign w:val="center"/>
          </w:tcPr>
          <w:p w14:paraId="65416655" w14:textId="77777777" w:rsidR="006365AB" w:rsidRDefault="00B4025F">
            <w:pPr>
              <w:jc w:val="center"/>
            </w:pPr>
            <w:r>
              <w:rPr>
                <w:color w:val="000000"/>
                <w:kern w:val="0"/>
                <w:szCs w:val="21"/>
              </w:rPr>
              <w:t>27,000,000.00</w:t>
            </w:r>
          </w:p>
        </w:tc>
        <w:tc>
          <w:tcPr>
            <w:tcW w:w="1419" w:type="dxa"/>
            <w:vAlign w:val="center"/>
          </w:tcPr>
          <w:p w14:paraId="18FFA625" w14:textId="77777777" w:rsidR="006365AB" w:rsidRDefault="00B4025F">
            <w:pPr>
              <w:jc w:val="center"/>
            </w:pPr>
            <w:r>
              <w:rPr>
                <w:color w:val="000000"/>
                <w:kern w:val="0"/>
                <w:szCs w:val="21"/>
              </w:rPr>
              <w:t>0.00</w:t>
            </w:r>
          </w:p>
        </w:tc>
        <w:tc>
          <w:tcPr>
            <w:tcW w:w="1130" w:type="dxa"/>
            <w:vAlign w:val="center"/>
          </w:tcPr>
          <w:p w14:paraId="2295960F" w14:textId="77777777" w:rsidR="006365AB" w:rsidRDefault="00B4025F">
            <w:pPr>
              <w:jc w:val="center"/>
            </w:pPr>
            <w:r>
              <w:rPr>
                <w:color w:val="000000"/>
                <w:kern w:val="0"/>
                <w:szCs w:val="21"/>
              </w:rPr>
              <w:t>0.00%</w:t>
            </w:r>
          </w:p>
        </w:tc>
      </w:tr>
      <w:tr w:rsidR="00881A82" w:rsidRPr="00473486" w14:paraId="153FCCEE" w14:textId="77777777">
        <w:tc>
          <w:tcPr>
            <w:tcW w:w="9212" w:type="dxa"/>
            <w:gridSpan w:val="8"/>
            <w:vAlign w:val="center"/>
          </w:tcPr>
          <w:p w14:paraId="2E2D270C" w14:textId="77777777"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14:paraId="28C1E127" w14:textId="77777777">
        <w:tc>
          <w:tcPr>
            <w:tcW w:w="9212" w:type="dxa"/>
            <w:gridSpan w:val="8"/>
            <w:vAlign w:val="center"/>
          </w:tcPr>
          <w:p w14:paraId="4BA58A92" w14:textId="77777777"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14:paraId="30E74E0A"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§9</w:t>
      </w:r>
      <w:r w:rsidRPr="00473486">
        <w:rPr>
          <w:rFonts w:eastAsiaTheme="minorEastAsia"/>
          <w:color w:val="000000" w:themeColor="text1"/>
          <w:kern w:val="0"/>
          <w:sz w:val="24"/>
          <w:szCs w:val="24"/>
        </w:rPr>
        <w:t>备查文件目录</w:t>
      </w:r>
    </w:p>
    <w:p w14:paraId="34A9AA4E"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14:paraId="6BF72F8D" w14:textId="77777777" w:rsidR="006365AB" w:rsidRDefault="00B4025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04E81D6D" w14:textId="77777777" w:rsidR="006365AB" w:rsidRDefault="00B4025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摩根中证碳中和</w:t>
      </w:r>
      <w:r>
        <w:rPr>
          <w:rFonts w:eastAsiaTheme="minorEastAsia"/>
          <w:color w:val="000000" w:themeColor="text1"/>
          <w:szCs w:val="21"/>
        </w:rPr>
        <w:t>60</w:t>
      </w:r>
      <w:r>
        <w:rPr>
          <w:rFonts w:eastAsiaTheme="minorEastAsia"/>
          <w:color w:val="000000" w:themeColor="text1"/>
          <w:szCs w:val="21"/>
        </w:rPr>
        <w:t>交易型开放式指数证券投资基金基金合同</w:t>
      </w:r>
    </w:p>
    <w:p w14:paraId="57BD92F9" w14:textId="77777777" w:rsidR="006365AB" w:rsidRDefault="00B4025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摩根中证碳中和</w:t>
      </w:r>
      <w:r>
        <w:rPr>
          <w:rFonts w:eastAsiaTheme="minorEastAsia"/>
          <w:color w:val="000000" w:themeColor="text1"/>
          <w:szCs w:val="21"/>
        </w:rPr>
        <w:t>60</w:t>
      </w:r>
      <w:r>
        <w:rPr>
          <w:rFonts w:eastAsiaTheme="minorEastAsia"/>
          <w:color w:val="000000" w:themeColor="text1"/>
          <w:szCs w:val="21"/>
        </w:rPr>
        <w:t>交易型开放式指数证券投资基金托管协议</w:t>
      </w:r>
    </w:p>
    <w:p w14:paraId="1EBC3306" w14:textId="77777777" w:rsidR="006365AB" w:rsidRDefault="00B4025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34FE3B7B" w14:textId="77777777" w:rsidR="006365AB" w:rsidRDefault="00B4025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183CB068" w14:textId="77777777" w:rsidR="006365AB" w:rsidRDefault="00B4025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6B484DA3" w14:textId="77777777" w:rsidR="006365AB" w:rsidRDefault="00B4025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4FD74779"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14:paraId="10DDBE1C" w14:textId="77777777" w:rsidR="00881A82" w:rsidRPr="00473486" w:rsidRDefault="00881A82">
      <w:pPr>
        <w:spacing w:line="360" w:lineRule="auto"/>
        <w:ind w:firstLineChars="200" w:firstLine="480"/>
        <w:rPr>
          <w:rFonts w:eastAsiaTheme="minorEastAsia"/>
          <w:color w:val="000000" w:themeColor="text1"/>
          <w:sz w:val="24"/>
        </w:rPr>
      </w:pPr>
    </w:p>
    <w:p w14:paraId="25D2E0C9"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9.2 </w:t>
      </w:r>
      <w:r w:rsidRPr="00473486">
        <w:rPr>
          <w:rFonts w:eastAsiaTheme="minorEastAsia"/>
          <w:b/>
          <w:color w:val="000000" w:themeColor="text1"/>
          <w:sz w:val="24"/>
        </w:rPr>
        <w:t>存放地点</w:t>
      </w:r>
    </w:p>
    <w:p w14:paraId="260643BB"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基金管理人或基金托管人住所。</w:t>
      </w:r>
    </w:p>
    <w:p w14:paraId="59612610" w14:textId="77777777" w:rsidR="00881A82" w:rsidRPr="00473486" w:rsidRDefault="00881A82">
      <w:pPr>
        <w:spacing w:line="360" w:lineRule="auto"/>
        <w:ind w:firstLineChars="200" w:firstLine="480"/>
        <w:rPr>
          <w:rFonts w:eastAsiaTheme="minorEastAsia"/>
          <w:color w:val="000000" w:themeColor="text1"/>
          <w:sz w:val="24"/>
        </w:rPr>
      </w:pPr>
    </w:p>
    <w:p w14:paraId="7EFE1870"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14:paraId="74FC7EB7"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14:paraId="15962067" w14:textId="77777777" w:rsidR="00881A82" w:rsidRPr="00473486" w:rsidRDefault="00881A82">
      <w:pPr>
        <w:spacing w:line="360" w:lineRule="auto"/>
        <w:ind w:left="840"/>
        <w:jc w:val="right"/>
        <w:rPr>
          <w:rFonts w:eastAsiaTheme="minorEastAsia"/>
          <w:color w:val="000000" w:themeColor="text1"/>
          <w:sz w:val="24"/>
        </w:rPr>
      </w:pPr>
    </w:p>
    <w:p w14:paraId="3B65D4E1" w14:textId="77777777" w:rsidR="00881A82" w:rsidRPr="00473486" w:rsidRDefault="00881A82">
      <w:pPr>
        <w:spacing w:line="360" w:lineRule="auto"/>
        <w:ind w:left="840"/>
        <w:jc w:val="right"/>
        <w:rPr>
          <w:rFonts w:eastAsiaTheme="minorEastAsia"/>
          <w:color w:val="000000" w:themeColor="text1"/>
          <w:sz w:val="24"/>
        </w:rPr>
      </w:pPr>
    </w:p>
    <w:p w14:paraId="4CA47DD3" w14:textId="77777777" w:rsidR="00881A82" w:rsidRPr="00473486" w:rsidRDefault="00881A82">
      <w:pPr>
        <w:spacing w:line="360" w:lineRule="auto"/>
        <w:ind w:left="840"/>
        <w:jc w:val="right"/>
        <w:rPr>
          <w:rFonts w:eastAsiaTheme="minorEastAsia"/>
          <w:color w:val="000000" w:themeColor="text1"/>
          <w:sz w:val="24"/>
        </w:rPr>
      </w:pPr>
    </w:p>
    <w:p w14:paraId="5D7BE96F" w14:textId="77777777" w:rsidR="00881A82" w:rsidRPr="00473486" w:rsidRDefault="00881A82">
      <w:pPr>
        <w:spacing w:line="360" w:lineRule="auto"/>
        <w:ind w:left="840"/>
        <w:jc w:val="right"/>
        <w:rPr>
          <w:rFonts w:eastAsiaTheme="minorEastAsia"/>
          <w:color w:val="000000" w:themeColor="text1"/>
          <w:sz w:val="24"/>
        </w:rPr>
      </w:pPr>
    </w:p>
    <w:p w14:paraId="75B722BC" w14:textId="77777777" w:rsidR="00881A82" w:rsidRPr="00473486" w:rsidRDefault="00881A82">
      <w:pPr>
        <w:spacing w:line="360" w:lineRule="auto"/>
        <w:ind w:left="840"/>
        <w:jc w:val="right"/>
        <w:rPr>
          <w:rFonts w:eastAsiaTheme="minorEastAsia"/>
          <w:color w:val="000000" w:themeColor="text1"/>
          <w:sz w:val="24"/>
        </w:rPr>
      </w:pPr>
    </w:p>
    <w:p w14:paraId="0DBC7738"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14:paraId="123648A2"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二〇二四年七月十九日</w:t>
      </w:r>
    </w:p>
    <w:p w14:paraId="478D258D" w14:textId="77777777"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4632" w14:textId="77777777" w:rsidR="007F3EDF" w:rsidRDefault="007F3EDF">
      <w:r>
        <w:separator/>
      </w:r>
    </w:p>
  </w:endnote>
  <w:endnote w:type="continuationSeparator" w:id="0">
    <w:p w14:paraId="2557930B" w14:textId="77777777"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3ABC" w14:textId="77777777"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E587"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6A9E30E6" w14:textId="77777777"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73EF"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rPr>
      <w:t>27</w:t>
    </w:r>
    <w:r>
      <w:rPr>
        <w:rStyle w:val="af5"/>
      </w:rPr>
      <w:fldChar w:fldCharType="end"/>
    </w:r>
  </w:p>
  <w:p w14:paraId="27AB703E" w14:textId="77777777"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FFF6" w14:textId="77777777" w:rsidR="007F3EDF" w:rsidRDefault="007F3EDF">
      <w:r>
        <w:separator/>
      </w:r>
    </w:p>
  </w:footnote>
  <w:footnote w:type="continuationSeparator" w:id="0">
    <w:p w14:paraId="1282899F" w14:textId="77777777"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535B" w14:textId="77777777" w:rsidR="00881A82" w:rsidRDefault="007D1E3A">
    <w:pPr>
      <w:pStyle w:val="af"/>
      <w:pBdr>
        <w:bottom w:val="single" w:sz="6" w:space="0" w:color="auto"/>
      </w:pBdr>
      <w:jc w:val="right"/>
    </w:pPr>
    <w:r>
      <w:t>摩根</w:t>
    </w:r>
    <w:proofErr w:type="gramStart"/>
    <w:r>
      <w:t>中证碳中和</w:t>
    </w:r>
    <w:proofErr w:type="gramEnd"/>
    <w:r>
      <w:t>60</w:t>
    </w:r>
    <w:r>
      <w:t>交易型开放式指数证券投资基金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intPostScriptOverText/>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5AB"/>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4025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5D444A"/>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1104</Words>
  <Characters>6297</Characters>
  <Application>Microsoft Office Word</Application>
  <DocSecurity>0</DocSecurity>
  <Lines>52</Lines>
  <Paragraphs>14</Paragraphs>
  <ScaleCrop>false</ScaleCrop>
  <Company>TRT. Ltd. Co.</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158</cp:revision>
  <cp:lastPrinted>2007-07-19T00:46:00Z</cp:lastPrinted>
  <dcterms:created xsi:type="dcterms:W3CDTF">2012-11-21T04:46:00Z</dcterms:created>
  <dcterms:modified xsi:type="dcterms:W3CDTF">2024-07-18T06:24:00Z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